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Default Extension="jpeg" ContentType="image/jpeg"/>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80"/>
        <w:ind w:left="140" w:right="0" w:firstLine="0"/>
        <w:jc w:val="left"/>
        <w:rPr>
          <w:sz w:val="72"/>
        </w:rPr>
      </w:pPr>
      <w:bookmarkStart w:name="_bookmark0" w:id="1"/>
      <w:bookmarkEnd w:id="1"/>
      <w:r>
        <w:rPr/>
      </w:r>
      <w:bookmarkStart w:name="_bookmark1" w:id="2"/>
      <w:bookmarkEnd w:id="2"/>
      <w:r>
        <w:rPr/>
      </w:r>
      <w:r>
        <w:rPr>
          <w:sz w:val="72"/>
        </w:rPr>
        <w:t>City of Richland</w:t>
      </w:r>
    </w:p>
    <w:p>
      <w:pPr>
        <w:spacing w:before="120"/>
        <w:ind w:left="140" w:right="576" w:firstLine="0"/>
        <w:jc w:val="left"/>
        <w:rPr>
          <w:b/>
          <w:sz w:val="92"/>
        </w:rPr>
      </w:pPr>
      <w:r>
        <w:rPr/>
        <w:pict>
          <v:shape style="position:absolute;margin-left:70.559998pt;margin-top:172.229004pt;width:470.9pt;height:.1pt;mso-position-horizontal-relative:page;mso-position-vertical-relative:paragraph;z-index:-251658240;mso-wrap-distance-left:0;mso-wrap-distance-right:0" coordorigin="1411,3445" coordsize="9418,0" path="m1411,3445l10829,3445e" filled="false" stroked="true" strokeweight=".96pt" strokecolor="#4f81bc">
            <v:path arrowok="t"/>
            <v:stroke dashstyle="solid"/>
            <w10:wrap type="topAndBottom"/>
          </v:shape>
        </w:pict>
      </w:r>
      <w:r>
        <w:rPr>
          <w:b/>
          <w:sz w:val="92"/>
        </w:rPr>
        <w:t>COMPREHENSIVE PLAN SUPPORTING ANALYSIS</w:t>
      </w:r>
    </w:p>
    <w:p>
      <w:pPr>
        <w:pStyle w:val="Heading4"/>
        <w:spacing w:before="274"/>
        <w:ind w:left="140"/>
      </w:pPr>
      <w:r>
        <w:rPr/>
        <w:t>October 3, 2017</w:t>
      </w:r>
    </w:p>
    <w:p>
      <w:pPr>
        <w:spacing w:after="0"/>
        <w:sectPr>
          <w:footerReference w:type="default" r:id="rId5"/>
          <w:type w:val="continuous"/>
          <w:pgSz w:w="12240" w:h="15840"/>
          <w:pgMar w:footer="1132" w:top="1480" w:bottom="1320" w:left="1300" w:right="1100"/>
          <w:pgNumType w:start="1"/>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80"/>
        <w:ind w:left="140" w:right="0" w:firstLine="0"/>
        <w:jc w:val="left"/>
        <w:rPr>
          <w:sz w:val="28"/>
        </w:rPr>
      </w:pPr>
      <w:r>
        <w:rPr>
          <w:sz w:val="28"/>
        </w:rPr>
        <w:t>Prepared for:</w:t>
      </w:r>
    </w:p>
    <w:p>
      <w:pPr>
        <w:spacing w:before="118"/>
        <w:ind w:left="140" w:right="0" w:firstLine="0"/>
        <w:jc w:val="left"/>
        <w:rPr>
          <w:sz w:val="32"/>
        </w:rPr>
      </w:pPr>
      <w:r>
        <w:rPr/>
        <w:pict>
          <v:group style="position:absolute;margin-left:71.971085pt;margin-top:30.726879pt;width:54.95pt;height:95.25pt;mso-position-horizontal-relative:page;mso-position-vertical-relative:paragraph;z-index:-251657216;mso-wrap-distance-left:0;mso-wrap-distance-right:0" coordorigin="1439,615" coordsize="1099,1905">
            <v:shape style="position:absolute;left:1440;top:614;width:1095;height:1282" type="#_x0000_t75" stroked="false">
              <v:imagedata r:id="rId6" o:title=""/>
            </v:shape>
            <v:shape style="position:absolute;left:1439;top:1939;width:1099;height:580" type="#_x0000_t75" stroked="false">
              <v:imagedata r:id="rId7" o:title=""/>
            </v:shape>
            <w10:wrap type="topAndBottom"/>
          </v:group>
        </w:pict>
      </w:r>
      <w:r>
        <w:rPr>
          <w:sz w:val="32"/>
        </w:rPr>
        <w:t>City of Richland</w:t>
      </w:r>
    </w:p>
    <w:p>
      <w:pPr>
        <w:pStyle w:val="BodyText"/>
        <w:rPr>
          <w:sz w:val="36"/>
        </w:rPr>
      </w:pPr>
    </w:p>
    <w:p>
      <w:pPr>
        <w:pStyle w:val="BodyText"/>
        <w:rPr>
          <w:sz w:val="36"/>
        </w:rPr>
      </w:pPr>
    </w:p>
    <w:p>
      <w:pPr>
        <w:pStyle w:val="BodyText"/>
        <w:rPr>
          <w:sz w:val="36"/>
        </w:rPr>
      </w:pPr>
    </w:p>
    <w:p>
      <w:pPr>
        <w:pStyle w:val="BodyText"/>
        <w:spacing w:before="7"/>
        <w:rPr>
          <w:sz w:val="28"/>
        </w:rPr>
      </w:pPr>
    </w:p>
    <w:p>
      <w:pPr>
        <w:spacing w:before="0"/>
        <w:ind w:left="140" w:right="0" w:firstLine="0"/>
        <w:jc w:val="left"/>
        <w:rPr>
          <w:sz w:val="28"/>
        </w:rPr>
      </w:pPr>
      <w:r>
        <w:rPr>
          <w:sz w:val="28"/>
        </w:rPr>
        <w:t>Prepared by:</w:t>
      </w:r>
    </w:p>
    <w:p>
      <w:pPr>
        <w:spacing w:before="119"/>
        <w:ind w:left="140" w:right="0" w:firstLine="0"/>
        <w:jc w:val="left"/>
        <w:rPr>
          <w:sz w:val="32"/>
        </w:rPr>
      </w:pPr>
      <w:r>
        <w:rPr>
          <w:sz w:val="32"/>
        </w:rPr>
        <w:t>Oneza &amp; Associates</w:t>
      </w:r>
    </w:p>
    <w:p>
      <w:pPr>
        <w:pStyle w:val="BodyText"/>
        <w:spacing w:before="7"/>
        <w:rPr>
          <w:sz w:val="48"/>
        </w:rPr>
      </w:pPr>
    </w:p>
    <w:p>
      <w:pPr>
        <w:spacing w:line="328" w:lineRule="auto" w:before="0"/>
        <w:ind w:left="139" w:right="7093" w:firstLine="0"/>
        <w:jc w:val="left"/>
        <w:rPr>
          <w:sz w:val="28"/>
        </w:rPr>
      </w:pPr>
      <w:r>
        <w:rPr>
          <w:sz w:val="28"/>
        </w:rPr>
        <w:t>With assistance from: Anchor QEA ECONorthwest</w:t>
      </w:r>
    </w:p>
    <w:p>
      <w:pPr>
        <w:pStyle w:val="ListParagraph"/>
        <w:numPr>
          <w:ilvl w:val="2"/>
          <w:numId w:val="1"/>
        </w:numPr>
        <w:tabs>
          <w:tab w:pos="829" w:val="left" w:leader="none"/>
        </w:tabs>
        <w:spacing w:line="325" w:lineRule="exact" w:before="0" w:after="0"/>
        <w:ind w:left="828" w:right="0" w:hanging="690"/>
        <w:jc w:val="left"/>
        <w:rPr>
          <w:sz w:val="28"/>
        </w:rPr>
      </w:pPr>
      <w:r>
        <w:rPr>
          <w:sz w:val="28"/>
        </w:rPr>
        <w:t>Engineers</w:t>
      </w:r>
      <w:r>
        <w:rPr>
          <w:spacing w:val="-1"/>
          <w:sz w:val="28"/>
        </w:rPr>
        <w:t> </w:t>
      </w:r>
      <w:r>
        <w:rPr>
          <w:sz w:val="28"/>
        </w:rPr>
        <w:t>Inc.</w:t>
      </w:r>
    </w:p>
    <w:p>
      <w:pPr>
        <w:spacing w:after="0" w:line="325" w:lineRule="exact"/>
        <w:jc w:val="left"/>
        <w:rPr>
          <w:sz w:val="28"/>
        </w:rPr>
        <w:sectPr>
          <w:pgSz w:w="12240" w:h="15840"/>
          <w:pgMar w:header="0" w:footer="1132" w:top="1500" w:bottom="1320" w:left="1300" w:right="1100"/>
        </w:sectPr>
      </w:pPr>
    </w:p>
    <w:p>
      <w:pPr>
        <w:pStyle w:val="Heading2"/>
      </w:pPr>
      <w:bookmarkStart w:name="Table of Contents" w:id="3"/>
      <w:bookmarkEnd w:id="3"/>
      <w:r>
        <w:rPr>
          <w:b w:val="0"/>
        </w:rPr>
      </w:r>
      <w:bookmarkStart w:name="_bookmark2" w:id="4"/>
      <w:bookmarkEnd w:id="4"/>
      <w:r>
        <w:rPr>
          <w:b w:val="0"/>
        </w:rPr>
      </w:r>
      <w:r>
        <w:rPr/>
        <w:t>TABLE OF CONTENTS</w:t>
      </w:r>
    </w:p>
    <w:p>
      <w:pPr>
        <w:spacing w:after="0"/>
        <w:sectPr>
          <w:pgSz w:w="12240" w:h="15840"/>
          <w:pgMar w:header="0" w:footer="1132" w:top="1360" w:bottom="1651" w:left="1300" w:right="1100"/>
        </w:sectPr>
      </w:pPr>
    </w:p>
    <w:sdt>
      <w:sdtPr>
        <w:docPartObj>
          <w:docPartGallery w:val="Table of Contents"/>
          <w:docPartUnique/>
        </w:docPartObj>
      </w:sdtPr>
      <w:sdtEndPr/>
      <w:sdtContent>
        <w:p>
          <w:pPr>
            <w:pStyle w:val="TOC2"/>
            <w:tabs>
              <w:tab w:pos="9484" w:val="right" w:leader="dot"/>
            </w:tabs>
            <w:spacing w:before="496"/>
          </w:pPr>
          <w:hyperlink w:history="true" w:anchor="_bookmark2">
            <w:r>
              <w:rPr/>
              <w:t>Table</w:t>
            </w:r>
            <w:r>
              <w:rPr>
                <w:spacing w:val="-2"/>
              </w:rPr>
              <w:t> </w:t>
            </w:r>
            <w:r>
              <w:rPr/>
              <w:t>of</w:t>
            </w:r>
            <w:r>
              <w:rPr>
                <w:spacing w:val="-1"/>
              </w:rPr>
              <w:t> </w:t>
            </w:r>
            <w:r>
              <w:rPr/>
              <w:t>Contents</w:t>
              <w:tab/>
              <w:t>iii</w:t>
            </w:r>
          </w:hyperlink>
        </w:p>
        <w:p>
          <w:pPr>
            <w:pStyle w:val="TOC2"/>
            <w:tabs>
              <w:tab w:pos="9491" w:val="right" w:leader="dot"/>
            </w:tabs>
            <w:spacing w:before="122"/>
          </w:pPr>
          <w:hyperlink w:history="true" w:anchor="_bookmark3">
            <w:r>
              <w:rPr/>
              <w:t>Introduction</w:t>
            </w:r>
            <w:r>
              <w:rPr>
                <w:spacing w:val="-1"/>
              </w:rPr>
              <w:t> </w:t>
            </w:r>
            <w:r>
              <w:rPr/>
              <w:t>and</w:t>
            </w:r>
            <w:r>
              <w:rPr>
                <w:spacing w:val="-1"/>
              </w:rPr>
              <w:t> </w:t>
            </w:r>
            <w:r>
              <w:rPr/>
              <w:t>Background</w:t>
              <w:tab/>
              <w:t>1</w:t>
            </w:r>
          </w:hyperlink>
        </w:p>
        <w:p>
          <w:pPr>
            <w:pStyle w:val="TOC3"/>
            <w:tabs>
              <w:tab w:pos="9490" w:val="right" w:leader="dot"/>
            </w:tabs>
          </w:pPr>
          <w:hyperlink w:history="true" w:anchor="_bookmark4">
            <w:r>
              <w:rPr/>
              <w:t>Section</w:t>
            </w:r>
            <w:r>
              <w:rPr>
                <w:spacing w:val="-2"/>
              </w:rPr>
              <w:t> </w:t>
            </w:r>
            <w:r>
              <w:rPr/>
              <w:t>One</w:t>
              <w:tab/>
              <w:t>1</w:t>
            </w:r>
          </w:hyperlink>
        </w:p>
        <w:p>
          <w:pPr>
            <w:pStyle w:val="TOC4"/>
            <w:tabs>
              <w:tab w:pos="9490" w:val="right" w:leader="dot"/>
            </w:tabs>
          </w:pPr>
          <w:hyperlink w:history="true" w:anchor="_bookmark5">
            <w:r>
              <w:rPr/>
              <w:t>Introduction</w:t>
              <w:tab/>
              <w:t>1</w:t>
            </w:r>
          </w:hyperlink>
        </w:p>
        <w:p>
          <w:pPr>
            <w:pStyle w:val="TOC2"/>
            <w:tabs>
              <w:tab w:pos="9491" w:val="right" w:leader="dot"/>
            </w:tabs>
          </w:pPr>
          <w:hyperlink w:history="true" w:anchor="_bookmark6">
            <w:r>
              <w:rPr/>
              <w:t>Economic</w:t>
            </w:r>
            <w:r>
              <w:rPr>
                <w:spacing w:val="-2"/>
              </w:rPr>
              <w:t> </w:t>
            </w:r>
            <w:r>
              <w:rPr/>
              <w:t>Development</w:t>
              <w:tab/>
              <w:t>5</w:t>
            </w:r>
          </w:hyperlink>
        </w:p>
        <w:p>
          <w:pPr>
            <w:pStyle w:val="TOC3"/>
            <w:tabs>
              <w:tab w:pos="9490" w:val="right" w:leader="dot"/>
            </w:tabs>
            <w:ind w:left="361"/>
          </w:pPr>
          <w:hyperlink w:history="true" w:anchor="_bookmark7">
            <w:r>
              <w:rPr/>
              <w:t>Section</w:t>
            </w:r>
            <w:r>
              <w:rPr>
                <w:spacing w:val="-2"/>
              </w:rPr>
              <w:t> </w:t>
            </w:r>
            <w:r>
              <w:rPr/>
              <w:t>One</w:t>
              <w:tab/>
              <w:t>5</w:t>
            </w:r>
          </w:hyperlink>
        </w:p>
        <w:p>
          <w:pPr>
            <w:pStyle w:val="TOC4"/>
            <w:tabs>
              <w:tab w:pos="9490" w:val="right" w:leader="dot"/>
            </w:tabs>
          </w:pPr>
          <w:hyperlink w:history="true" w:anchor="_bookmark8">
            <w:r>
              <w:rPr/>
              <w:t>Introduction</w:t>
              <w:tab/>
              <w:t>5</w:t>
            </w:r>
          </w:hyperlink>
        </w:p>
        <w:p>
          <w:pPr>
            <w:pStyle w:val="TOC3"/>
            <w:tabs>
              <w:tab w:pos="9490" w:val="right" w:leader="dot"/>
            </w:tabs>
            <w:ind w:left="361"/>
          </w:pPr>
          <w:hyperlink w:history="true" w:anchor="_bookmark9">
            <w:r>
              <w:rPr/>
              <w:t>Section</w:t>
            </w:r>
            <w:r>
              <w:rPr>
                <w:spacing w:val="-4"/>
              </w:rPr>
              <w:t> </w:t>
            </w:r>
            <w:r>
              <w:rPr/>
              <w:t>Two</w:t>
              <w:tab/>
              <w:t>5</w:t>
            </w:r>
          </w:hyperlink>
        </w:p>
        <w:p>
          <w:pPr>
            <w:pStyle w:val="TOC4"/>
            <w:tabs>
              <w:tab w:pos="9490" w:val="right" w:leader="dot"/>
            </w:tabs>
          </w:pPr>
          <w:hyperlink w:history="true" w:anchor="_bookmark10">
            <w:r>
              <w:rPr/>
              <w:t>Existing</w:t>
            </w:r>
            <w:r>
              <w:rPr>
                <w:spacing w:val="-1"/>
              </w:rPr>
              <w:t> </w:t>
            </w:r>
            <w:r>
              <w:rPr/>
              <w:t>Conditions</w:t>
              <w:tab/>
              <w:t>5</w:t>
            </w:r>
          </w:hyperlink>
        </w:p>
        <w:p>
          <w:pPr>
            <w:pStyle w:val="TOC4"/>
            <w:tabs>
              <w:tab w:pos="9491" w:val="right" w:leader="dot"/>
            </w:tabs>
            <w:spacing w:before="119"/>
            <w:ind w:left="580"/>
          </w:pPr>
          <w:hyperlink w:history="true" w:anchor="_bookmark27">
            <w:r>
              <w:rPr/>
              <w:t>Future</w:t>
            </w:r>
            <w:r>
              <w:rPr>
                <w:spacing w:val="-2"/>
              </w:rPr>
              <w:t> </w:t>
            </w:r>
            <w:r>
              <w:rPr/>
              <w:t>Growth Forecasts</w:t>
              <w:tab/>
              <w:t>17</w:t>
            </w:r>
          </w:hyperlink>
        </w:p>
        <w:p>
          <w:pPr>
            <w:pStyle w:val="TOC3"/>
            <w:tabs>
              <w:tab w:pos="9491" w:val="right" w:leader="dot"/>
            </w:tabs>
            <w:spacing w:before="121"/>
            <w:ind w:left="361"/>
          </w:pPr>
          <w:hyperlink w:history="true" w:anchor="_bookmark28">
            <w:r>
              <w:rPr/>
              <w:t>Section</w:t>
            </w:r>
            <w:r>
              <w:rPr>
                <w:spacing w:val="-4"/>
              </w:rPr>
              <w:t> </w:t>
            </w:r>
            <w:r>
              <w:rPr/>
              <w:t>Three</w:t>
              <w:tab/>
              <w:t>19</w:t>
            </w:r>
          </w:hyperlink>
        </w:p>
        <w:p>
          <w:pPr>
            <w:pStyle w:val="TOC4"/>
            <w:tabs>
              <w:tab w:pos="9491" w:val="right" w:leader="dot"/>
            </w:tabs>
            <w:spacing w:before="119"/>
            <w:ind w:left="580"/>
          </w:pPr>
          <w:hyperlink w:history="true" w:anchor="_bookmark29">
            <w:r>
              <w:rPr/>
              <w:t>Challenges</w:t>
            </w:r>
            <w:r>
              <w:rPr>
                <w:spacing w:val="-1"/>
              </w:rPr>
              <w:t> </w:t>
            </w:r>
            <w:r>
              <w:rPr/>
              <w:t>and</w:t>
            </w:r>
            <w:r>
              <w:rPr>
                <w:spacing w:val="-1"/>
              </w:rPr>
              <w:t> </w:t>
            </w:r>
            <w:r>
              <w:rPr/>
              <w:t>Opportunities</w:t>
              <w:tab/>
              <w:t>19</w:t>
            </w:r>
          </w:hyperlink>
        </w:p>
        <w:p>
          <w:pPr>
            <w:pStyle w:val="TOC2"/>
            <w:tabs>
              <w:tab w:pos="9493" w:val="right" w:leader="dot"/>
            </w:tabs>
            <w:spacing w:before="121"/>
          </w:pPr>
          <w:hyperlink w:history="true" w:anchor="_bookmark30">
            <w:r>
              <w:rPr/>
              <w:t>Land</w:t>
            </w:r>
            <w:r>
              <w:rPr>
                <w:spacing w:val="-1"/>
              </w:rPr>
              <w:t> </w:t>
            </w:r>
            <w:r>
              <w:rPr/>
              <w:t>Use</w:t>
              <w:tab/>
              <w:t>21</w:t>
            </w:r>
          </w:hyperlink>
        </w:p>
        <w:p>
          <w:pPr>
            <w:pStyle w:val="TOC3"/>
            <w:tabs>
              <w:tab w:pos="9491" w:val="right" w:leader="dot"/>
            </w:tabs>
            <w:ind w:left="361"/>
          </w:pPr>
          <w:hyperlink w:history="true" w:anchor="_bookmark31">
            <w:r>
              <w:rPr/>
              <w:t>Section</w:t>
            </w:r>
            <w:r>
              <w:rPr>
                <w:spacing w:val="-2"/>
              </w:rPr>
              <w:t> </w:t>
            </w:r>
            <w:r>
              <w:rPr/>
              <w:t>One</w:t>
              <w:tab/>
              <w:t>21</w:t>
            </w:r>
          </w:hyperlink>
        </w:p>
        <w:p>
          <w:pPr>
            <w:pStyle w:val="TOC4"/>
            <w:tabs>
              <w:tab w:pos="9490" w:val="right" w:leader="dot"/>
            </w:tabs>
            <w:spacing w:before="122"/>
            <w:ind w:left="580"/>
          </w:pPr>
          <w:hyperlink w:history="true" w:anchor="_bookmark32">
            <w:r>
              <w:rPr/>
              <w:t>Introduction</w:t>
              <w:tab/>
              <w:t>21</w:t>
            </w:r>
          </w:hyperlink>
        </w:p>
        <w:p>
          <w:pPr>
            <w:pStyle w:val="TOC3"/>
            <w:tabs>
              <w:tab w:pos="9490" w:val="right" w:leader="dot"/>
            </w:tabs>
            <w:ind w:left="361"/>
          </w:pPr>
          <w:hyperlink w:history="true" w:anchor="_bookmark33">
            <w:r>
              <w:rPr/>
              <w:t>Section</w:t>
            </w:r>
            <w:r>
              <w:rPr>
                <w:spacing w:val="-4"/>
              </w:rPr>
              <w:t> </w:t>
            </w:r>
            <w:r>
              <w:rPr/>
              <w:t>Two</w:t>
              <w:tab/>
              <w:t>21</w:t>
            </w:r>
          </w:hyperlink>
        </w:p>
        <w:p>
          <w:pPr>
            <w:pStyle w:val="TOC4"/>
            <w:tabs>
              <w:tab w:pos="9490" w:val="right" w:leader="dot"/>
            </w:tabs>
          </w:pPr>
          <w:hyperlink w:history="true" w:anchor="_bookmark34">
            <w:r>
              <w:rPr/>
              <w:t>Description of</w:t>
            </w:r>
            <w:r>
              <w:rPr>
                <w:spacing w:val="-4"/>
              </w:rPr>
              <w:t> </w:t>
            </w:r>
            <w:r>
              <w:rPr/>
              <w:t>Land</w:t>
            </w:r>
            <w:r>
              <w:rPr>
                <w:spacing w:val="-1"/>
              </w:rPr>
              <w:t> </w:t>
            </w:r>
            <w:r>
              <w:rPr/>
              <w:t>Uses</w:t>
              <w:tab/>
              <w:t>21</w:t>
            </w:r>
          </w:hyperlink>
        </w:p>
        <w:p>
          <w:pPr>
            <w:pStyle w:val="TOC3"/>
            <w:tabs>
              <w:tab w:pos="9490" w:val="right" w:leader="dot"/>
            </w:tabs>
            <w:ind w:left="361"/>
          </w:pPr>
          <w:hyperlink w:history="true" w:anchor="_bookmark35">
            <w:r>
              <w:rPr/>
              <w:t>Section</w:t>
            </w:r>
            <w:r>
              <w:rPr>
                <w:spacing w:val="-4"/>
              </w:rPr>
              <w:t> </w:t>
            </w:r>
            <w:r>
              <w:rPr/>
              <w:t>Three</w:t>
              <w:tab/>
              <w:t>25</w:t>
            </w:r>
          </w:hyperlink>
        </w:p>
        <w:p>
          <w:pPr>
            <w:pStyle w:val="TOC4"/>
            <w:tabs>
              <w:tab w:pos="9490" w:val="right" w:leader="dot"/>
            </w:tabs>
          </w:pPr>
          <w:hyperlink w:history="true" w:anchor="_bookmark36">
            <w:r>
              <w:rPr/>
              <w:t>Population</w:t>
            </w:r>
            <w:r>
              <w:rPr>
                <w:spacing w:val="-2"/>
              </w:rPr>
              <w:t> </w:t>
            </w:r>
            <w:r>
              <w:rPr/>
              <w:t>Trend</w:t>
              <w:tab/>
              <w:t>25</w:t>
            </w:r>
          </w:hyperlink>
        </w:p>
        <w:p>
          <w:pPr>
            <w:pStyle w:val="TOC4"/>
            <w:tabs>
              <w:tab w:pos="9490" w:val="right" w:leader="dot"/>
            </w:tabs>
            <w:spacing w:before="119"/>
          </w:pPr>
          <w:hyperlink w:history="true" w:anchor="_bookmark38">
            <w:r>
              <w:rPr/>
              <w:t>Population</w:t>
            </w:r>
            <w:r>
              <w:rPr>
                <w:spacing w:val="-2"/>
              </w:rPr>
              <w:t> </w:t>
            </w:r>
            <w:r>
              <w:rPr/>
              <w:t>Forecast</w:t>
              <w:tab/>
              <w:t>26</w:t>
            </w:r>
          </w:hyperlink>
        </w:p>
        <w:p>
          <w:pPr>
            <w:pStyle w:val="TOC4"/>
            <w:tabs>
              <w:tab w:pos="9490" w:val="right" w:leader="dot"/>
            </w:tabs>
            <w:spacing w:before="119"/>
          </w:pPr>
          <w:hyperlink w:history="true" w:anchor="_bookmark40">
            <w:r>
              <w:rPr/>
              <w:t>Future</w:t>
            </w:r>
            <w:r>
              <w:rPr>
                <w:spacing w:val="-2"/>
              </w:rPr>
              <w:t> </w:t>
            </w:r>
            <w:r>
              <w:rPr/>
              <w:t>Land</w:t>
            </w:r>
            <w:r>
              <w:rPr>
                <w:spacing w:val="-1"/>
              </w:rPr>
              <w:t> </w:t>
            </w:r>
            <w:r>
              <w:rPr/>
              <w:t>Capacity</w:t>
              <w:tab/>
              <w:t>27</w:t>
            </w:r>
          </w:hyperlink>
        </w:p>
        <w:p>
          <w:pPr>
            <w:pStyle w:val="TOC4"/>
            <w:tabs>
              <w:tab w:pos="9490" w:val="right" w:leader="dot"/>
            </w:tabs>
          </w:pPr>
          <w:hyperlink w:history="true" w:anchor="_bookmark41">
            <w:r>
              <w:rPr/>
              <w:t>Addressing</w:t>
            </w:r>
            <w:r>
              <w:rPr>
                <w:spacing w:val="-1"/>
              </w:rPr>
              <w:t> </w:t>
            </w:r>
            <w:r>
              <w:rPr/>
              <w:t>the</w:t>
            </w:r>
            <w:r>
              <w:rPr>
                <w:spacing w:val="-1"/>
              </w:rPr>
              <w:t> </w:t>
            </w:r>
            <w:r>
              <w:rPr/>
              <w:t>Demand</w:t>
              <w:tab/>
              <w:t>30</w:t>
            </w:r>
          </w:hyperlink>
        </w:p>
        <w:p>
          <w:pPr>
            <w:pStyle w:val="TOC3"/>
            <w:tabs>
              <w:tab w:pos="9490" w:val="right" w:leader="dot"/>
            </w:tabs>
            <w:ind w:left="361"/>
          </w:pPr>
          <w:hyperlink w:history="true" w:anchor="_bookmark43">
            <w:r>
              <w:rPr/>
              <w:t>Section</w:t>
            </w:r>
            <w:r>
              <w:rPr>
                <w:spacing w:val="-2"/>
              </w:rPr>
              <w:t> </w:t>
            </w:r>
            <w:r>
              <w:rPr/>
              <w:t>Four</w:t>
              <w:tab/>
              <w:t>33</w:t>
            </w:r>
          </w:hyperlink>
        </w:p>
        <w:p>
          <w:pPr>
            <w:pStyle w:val="TOC4"/>
            <w:tabs>
              <w:tab w:pos="9490" w:val="right" w:leader="dot"/>
            </w:tabs>
          </w:pPr>
          <w:hyperlink w:history="true" w:anchor="_bookmark44">
            <w:r>
              <w:rPr/>
              <w:t>Natural</w:t>
            </w:r>
            <w:r>
              <w:rPr>
                <w:spacing w:val="-2"/>
              </w:rPr>
              <w:t> </w:t>
            </w:r>
            <w:r>
              <w:rPr/>
              <w:t>Environment</w:t>
              <w:tab/>
              <w:t>33</w:t>
            </w:r>
          </w:hyperlink>
        </w:p>
        <w:p>
          <w:pPr>
            <w:pStyle w:val="TOC2"/>
            <w:tabs>
              <w:tab w:pos="9493" w:val="right" w:leader="dot"/>
            </w:tabs>
          </w:pPr>
          <w:hyperlink w:history="true" w:anchor="_bookmark45">
            <w:r>
              <w:rPr/>
              <w:t>Housing</w:t>
              <w:tab/>
              <w:t>36</w:t>
            </w:r>
          </w:hyperlink>
        </w:p>
        <w:p>
          <w:pPr>
            <w:pStyle w:val="TOC3"/>
            <w:tabs>
              <w:tab w:pos="9491" w:val="right" w:leader="dot"/>
            </w:tabs>
            <w:spacing w:before="121"/>
            <w:ind w:left="361"/>
          </w:pPr>
          <w:hyperlink w:history="true" w:anchor="_bookmark46">
            <w:r>
              <w:rPr/>
              <w:t>Section</w:t>
            </w:r>
            <w:r>
              <w:rPr>
                <w:spacing w:val="-2"/>
              </w:rPr>
              <w:t> </w:t>
            </w:r>
            <w:r>
              <w:rPr/>
              <w:t>One</w:t>
              <w:tab/>
              <w:t>36</w:t>
            </w:r>
          </w:hyperlink>
        </w:p>
        <w:p>
          <w:pPr>
            <w:pStyle w:val="TOC4"/>
            <w:tabs>
              <w:tab w:pos="9491" w:val="right" w:leader="dot"/>
            </w:tabs>
            <w:spacing w:before="119"/>
            <w:ind w:left="580"/>
          </w:pPr>
          <w:hyperlink w:history="true" w:anchor="_bookmark47">
            <w:r>
              <w:rPr/>
              <w:t>Introduction</w:t>
              <w:tab/>
              <w:t>36</w:t>
            </w:r>
          </w:hyperlink>
        </w:p>
        <w:p>
          <w:pPr>
            <w:pStyle w:val="TOC3"/>
            <w:tabs>
              <w:tab w:pos="9490" w:val="right" w:leader="dot"/>
            </w:tabs>
            <w:spacing w:before="121"/>
          </w:pPr>
          <w:hyperlink w:history="true" w:anchor="_bookmark48">
            <w:r>
              <w:rPr/>
              <w:t>Section</w:t>
            </w:r>
            <w:r>
              <w:rPr>
                <w:spacing w:val="-4"/>
              </w:rPr>
              <w:t> </w:t>
            </w:r>
            <w:r>
              <w:rPr/>
              <w:t>Two</w:t>
              <w:tab/>
              <w:t>36</w:t>
            </w:r>
          </w:hyperlink>
        </w:p>
        <w:p>
          <w:pPr>
            <w:pStyle w:val="TOC4"/>
            <w:tabs>
              <w:tab w:pos="9490" w:val="right" w:leader="dot"/>
            </w:tabs>
            <w:spacing w:before="119"/>
          </w:pPr>
          <w:hyperlink w:history="true" w:anchor="_bookmark49">
            <w:r>
              <w:rPr/>
              <w:t>Exinting Inventory</w:t>
            </w:r>
            <w:r>
              <w:rPr>
                <w:spacing w:val="-3"/>
              </w:rPr>
              <w:t> </w:t>
            </w:r>
            <w:r>
              <w:rPr/>
              <w:t>and</w:t>
            </w:r>
            <w:r>
              <w:rPr>
                <w:spacing w:val="-1"/>
              </w:rPr>
              <w:t> </w:t>
            </w:r>
            <w:r>
              <w:rPr/>
              <w:t>Programs</w:t>
              <w:tab/>
              <w:t>36</w:t>
            </w:r>
          </w:hyperlink>
        </w:p>
        <w:p>
          <w:pPr>
            <w:pStyle w:val="TOC3"/>
            <w:tabs>
              <w:tab w:pos="9490" w:val="right" w:leader="dot"/>
            </w:tabs>
            <w:spacing w:before="121"/>
          </w:pPr>
          <w:hyperlink w:history="true" w:anchor="_bookmark50">
            <w:r>
              <w:rPr/>
              <w:t>Section</w:t>
            </w:r>
            <w:r>
              <w:rPr>
                <w:spacing w:val="-4"/>
              </w:rPr>
              <w:t> </w:t>
            </w:r>
            <w:r>
              <w:rPr/>
              <w:t>Three</w:t>
              <w:tab/>
              <w:t>37</w:t>
            </w:r>
          </w:hyperlink>
        </w:p>
        <w:p>
          <w:pPr>
            <w:pStyle w:val="TOC4"/>
            <w:tabs>
              <w:tab w:pos="9490" w:val="right" w:leader="dot"/>
            </w:tabs>
            <w:spacing w:before="119" w:after="46"/>
          </w:pPr>
          <w:hyperlink w:history="true" w:anchor="_bookmark51">
            <w:r>
              <w:rPr/>
              <w:t>Projected</w:t>
            </w:r>
            <w:r>
              <w:rPr>
                <w:spacing w:val="-4"/>
              </w:rPr>
              <w:t> </w:t>
            </w:r>
            <w:r>
              <w:rPr/>
              <w:t>Needs</w:t>
              <w:tab/>
              <w:t>37</w:t>
            </w:r>
          </w:hyperlink>
        </w:p>
        <w:p>
          <w:pPr>
            <w:pStyle w:val="TOC2"/>
            <w:tabs>
              <w:tab w:pos="9492" w:val="right" w:leader="dot"/>
            </w:tabs>
            <w:spacing w:before="80"/>
          </w:pPr>
          <w:hyperlink w:history="true" w:anchor="_bookmark52">
            <w:r>
              <w:rPr/>
              <w:t>Transportation</w:t>
              <w:tab/>
              <w:t>38</w:t>
            </w:r>
          </w:hyperlink>
        </w:p>
        <w:p>
          <w:pPr>
            <w:pStyle w:val="TOC3"/>
            <w:tabs>
              <w:tab w:pos="9489" w:val="right" w:leader="dot"/>
            </w:tabs>
          </w:pPr>
          <w:hyperlink w:history="true" w:anchor="_bookmark53">
            <w:r>
              <w:rPr/>
              <w:t>Section</w:t>
            </w:r>
            <w:r>
              <w:rPr>
                <w:spacing w:val="-2"/>
              </w:rPr>
              <w:t> </w:t>
            </w:r>
            <w:r>
              <w:rPr/>
              <w:t>One</w:t>
              <w:tab/>
              <w:t>38</w:t>
            </w:r>
          </w:hyperlink>
        </w:p>
        <w:p>
          <w:pPr>
            <w:pStyle w:val="TOC4"/>
            <w:tabs>
              <w:tab w:pos="9489" w:val="right" w:leader="dot"/>
            </w:tabs>
          </w:pPr>
          <w:hyperlink w:history="true" w:anchor="_bookmark54">
            <w:r>
              <w:rPr/>
              <w:t>Introduction</w:t>
              <w:tab/>
              <w:t>38</w:t>
            </w:r>
          </w:hyperlink>
        </w:p>
        <w:p>
          <w:pPr>
            <w:pStyle w:val="TOC3"/>
            <w:tabs>
              <w:tab w:pos="9489" w:val="right" w:leader="dot"/>
            </w:tabs>
          </w:pPr>
          <w:hyperlink w:history="true" w:anchor="_bookmark55">
            <w:r>
              <w:rPr/>
              <w:t>Section</w:t>
            </w:r>
            <w:r>
              <w:rPr>
                <w:spacing w:val="-4"/>
              </w:rPr>
              <w:t> </w:t>
            </w:r>
            <w:r>
              <w:rPr/>
              <w:t>Two</w:t>
              <w:tab/>
              <w:t>39</w:t>
            </w:r>
          </w:hyperlink>
        </w:p>
        <w:p>
          <w:pPr>
            <w:pStyle w:val="TOC4"/>
            <w:tabs>
              <w:tab w:pos="9489" w:val="right" w:leader="dot"/>
            </w:tabs>
            <w:ind w:left="578"/>
          </w:pPr>
          <w:hyperlink w:history="true" w:anchor="_bookmark56">
            <w:r>
              <w:rPr/>
              <w:t>Existing</w:t>
            </w:r>
            <w:r>
              <w:rPr>
                <w:spacing w:val="-1"/>
              </w:rPr>
              <w:t> </w:t>
            </w:r>
            <w:r>
              <w:rPr/>
              <w:t>Conditions</w:t>
              <w:tab/>
              <w:t>39</w:t>
            </w:r>
          </w:hyperlink>
        </w:p>
        <w:p>
          <w:pPr>
            <w:pStyle w:val="TOC3"/>
            <w:tabs>
              <w:tab w:pos="9489" w:val="right" w:leader="dot"/>
            </w:tabs>
          </w:pPr>
          <w:hyperlink w:history="true" w:anchor="_bookmark57">
            <w:r>
              <w:rPr/>
              <w:t>Section</w:t>
            </w:r>
            <w:r>
              <w:rPr>
                <w:spacing w:val="-4"/>
              </w:rPr>
              <w:t> </w:t>
            </w:r>
            <w:r>
              <w:rPr/>
              <w:t>Three</w:t>
              <w:tab/>
              <w:t>43</w:t>
            </w:r>
          </w:hyperlink>
        </w:p>
        <w:p>
          <w:pPr>
            <w:pStyle w:val="TOC4"/>
            <w:tabs>
              <w:tab w:pos="9489" w:val="right" w:leader="dot"/>
            </w:tabs>
            <w:spacing w:before="119"/>
            <w:ind w:left="578"/>
          </w:pPr>
          <w:hyperlink w:history="true" w:anchor="_bookmark58">
            <w:r>
              <w:rPr/>
              <w:t>Level</w:t>
            </w:r>
            <w:r>
              <w:rPr>
                <w:spacing w:val="-2"/>
              </w:rPr>
              <w:t> </w:t>
            </w:r>
            <w:r>
              <w:rPr/>
              <w:t>of</w:t>
            </w:r>
            <w:r>
              <w:rPr>
                <w:spacing w:val="-1"/>
              </w:rPr>
              <w:t> </w:t>
            </w:r>
            <w:r>
              <w:rPr/>
              <w:t>Service</w:t>
              <w:tab/>
              <w:t>43</w:t>
            </w:r>
          </w:hyperlink>
        </w:p>
        <w:p>
          <w:pPr>
            <w:pStyle w:val="TOC3"/>
            <w:tabs>
              <w:tab w:pos="9489" w:val="right" w:leader="dot"/>
            </w:tabs>
            <w:spacing w:before="121"/>
          </w:pPr>
          <w:hyperlink w:history="true" w:anchor="_bookmark59">
            <w:r>
              <w:rPr/>
              <w:t>Section</w:t>
            </w:r>
            <w:r>
              <w:rPr>
                <w:spacing w:val="-2"/>
              </w:rPr>
              <w:t> </w:t>
            </w:r>
            <w:r>
              <w:rPr/>
              <w:t>Four</w:t>
              <w:tab/>
              <w:t>45</w:t>
            </w:r>
          </w:hyperlink>
        </w:p>
        <w:p>
          <w:pPr>
            <w:pStyle w:val="TOC4"/>
            <w:tabs>
              <w:tab w:pos="9489" w:val="right" w:leader="dot"/>
            </w:tabs>
            <w:spacing w:before="119"/>
            <w:ind w:left="578"/>
          </w:pPr>
          <w:hyperlink w:history="true" w:anchor="_bookmark60">
            <w:r>
              <w:rPr/>
              <w:t>Deficiencies</w:t>
            </w:r>
            <w:r>
              <w:rPr>
                <w:spacing w:val="-1"/>
              </w:rPr>
              <w:t> </w:t>
            </w:r>
            <w:r>
              <w:rPr/>
              <w:t>and</w:t>
            </w:r>
            <w:r>
              <w:rPr>
                <w:spacing w:val="-1"/>
              </w:rPr>
              <w:t> </w:t>
            </w:r>
            <w:r>
              <w:rPr/>
              <w:t>Improvements</w:t>
              <w:tab/>
              <w:t>45</w:t>
            </w:r>
          </w:hyperlink>
        </w:p>
        <w:p>
          <w:pPr>
            <w:pStyle w:val="TOC1"/>
            <w:tabs>
              <w:tab w:pos="9492" w:val="right" w:leader="dot"/>
            </w:tabs>
            <w:spacing w:before="121"/>
          </w:pPr>
          <w:hyperlink w:history="true" w:anchor="_bookmark61">
            <w:r>
              <w:rPr/>
              <w:t>Utilities</w:t>
              <w:tab/>
              <w:t>65</w:t>
            </w:r>
          </w:hyperlink>
        </w:p>
        <w:p>
          <w:pPr>
            <w:pStyle w:val="TOC3"/>
            <w:tabs>
              <w:tab w:pos="9489" w:val="right" w:leader="dot"/>
            </w:tabs>
          </w:pPr>
          <w:hyperlink w:history="true" w:anchor="_bookmark62">
            <w:r>
              <w:rPr/>
              <w:t>Section</w:t>
            </w:r>
            <w:r>
              <w:rPr>
                <w:spacing w:val="-2"/>
              </w:rPr>
              <w:t> </w:t>
            </w:r>
            <w:r>
              <w:rPr/>
              <w:t>One</w:t>
              <w:tab/>
              <w:t>65</w:t>
            </w:r>
          </w:hyperlink>
        </w:p>
        <w:p>
          <w:pPr>
            <w:pStyle w:val="TOC4"/>
            <w:tabs>
              <w:tab w:pos="9489" w:val="right" w:leader="dot"/>
            </w:tabs>
            <w:spacing w:before="122"/>
            <w:ind w:left="578"/>
          </w:pPr>
          <w:hyperlink w:history="true" w:anchor="_bookmark63">
            <w:r>
              <w:rPr/>
              <w:t>Introduction</w:t>
              <w:tab/>
              <w:t>65</w:t>
            </w:r>
          </w:hyperlink>
        </w:p>
        <w:p>
          <w:pPr>
            <w:pStyle w:val="TOC3"/>
            <w:tabs>
              <w:tab w:pos="9489" w:val="right" w:leader="dot"/>
            </w:tabs>
          </w:pPr>
          <w:hyperlink w:history="true" w:anchor="_bookmark65">
            <w:r>
              <w:rPr/>
              <w:t>Section</w:t>
            </w:r>
            <w:r>
              <w:rPr>
                <w:spacing w:val="-4"/>
              </w:rPr>
              <w:t> </w:t>
            </w:r>
            <w:r>
              <w:rPr/>
              <w:t>Two</w:t>
              <w:tab/>
              <w:t>66</w:t>
            </w:r>
          </w:hyperlink>
        </w:p>
        <w:p>
          <w:pPr>
            <w:pStyle w:val="TOC4"/>
            <w:tabs>
              <w:tab w:pos="9489" w:val="right" w:leader="dot"/>
            </w:tabs>
            <w:ind w:left="578"/>
          </w:pPr>
          <w:hyperlink w:history="true" w:anchor="_bookmark66">
            <w:r>
              <w:rPr/>
              <w:t>Wastewater</w:t>
            </w:r>
            <w:r>
              <w:rPr>
                <w:spacing w:val="-2"/>
              </w:rPr>
              <w:t> </w:t>
            </w:r>
            <w:r>
              <w:rPr/>
              <w:t>Facilities</w:t>
              <w:tab/>
              <w:t>66</w:t>
            </w:r>
          </w:hyperlink>
        </w:p>
        <w:p>
          <w:pPr>
            <w:pStyle w:val="TOC3"/>
            <w:tabs>
              <w:tab w:pos="9489" w:val="right" w:leader="dot"/>
            </w:tabs>
          </w:pPr>
          <w:hyperlink w:history="true" w:anchor="_bookmark68">
            <w:r>
              <w:rPr/>
              <w:t>Section</w:t>
            </w:r>
            <w:r>
              <w:rPr>
                <w:spacing w:val="-4"/>
              </w:rPr>
              <w:t> </w:t>
            </w:r>
            <w:r>
              <w:rPr/>
              <w:t>Three</w:t>
              <w:tab/>
              <w:t>71</w:t>
            </w:r>
          </w:hyperlink>
        </w:p>
        <w:p>
          <w:pPr>
            <w:pStyle w:val="TOC4"/>
            <w:tabs>
              <w:tab w:pos="9489" w:val="right" w:leader="dot"/>
            </w:tabs>
            <w:ind w:left="578"/>
          </w:pPr>
          <w:hyperlink w:history="true" w:anchor="_bookmark69">
            <w:r>
              <w:rPr/>
              <w:t>Water</w:t>
            </w:r>
            <w:r>
              <w:rPr>
                <w:spacing w:val="-2"/>
              </w:rPr>
              <w:t> </w:t>
            </w:r>
            <w:r>
              <w:rPr/>
              <w:t>Supply</w:t>
            </w:r>
            <w:r>
              <w:rPr>
                <w:spacing w:val="-2"/>
              </w:rPr>
              <w:t> </w:t>
            </w:r>
            <w:r>
              <w:rPr/>
              <w:t>System</w:t>
              <w:tab/>
              <w:t>71</w:t>
            </w:r>
          </w:hyperlink>
        </w:p>
        <w:p>
          <w:pPr>
            <w:pStyle w:val="TOC3"/>
            <w:tabs>
              <w:tab w:pos="9489" w:val="right" w:leader="dot"/>
            </w:tabs>
          </w:pPr>
          <w:hyperlink w:history="true" w:anchor="_bookmark71">
            <w:r>
              <w:rPr/>
              <w:t>Section</w:t>
            </w:r>
            <w:r>
              <w:rPr>
                <w:spacing w:val="-2"/>
              </w:rPr>
              <w:t> </w:t>
            </w:r>
            <w:r>
              <w:rPr/>
              <w:t>Four</w:t>
              <w:tab/>
              <w:t>75</w:t>
            </w:r>
          </w:hyperlink>
        </w:p>
        <w:p>
          <w:pPr>
            <w:pStyle w:val="TOC4"/>
            <w:tabs>
              <w:tab w:pos="9490" w:val="right" w:leader="dot"/>
            </w:tabs>
          </w:pPr>
          <w:hyperlink w:history="true" w:anchor="_bookmark72">
            <w:r>
              <w:rPr/>
              <w:t>Storm</w:t>
            </w:r>
            <w:r>
              <w:rPr>
                <w:spacing w:val="-1"/>
              </w:rPr>
              <w:t> </w:t>
            </w:r>
            <w:r>
              <w:rPr/>
              <w:t>Water</w:t>
            </w:r>
            <w:r>
              <w:rPr>
                <w:spacing w:val="-1"/>
              </w:rPr>
              <w:t> </w:t>
            </w:r>
            <w:r>
              <w:rPr/>
              <w:t>System</w:t>
              <w:tab/>
              <w:t>75</w:t>
            </w:r>
          </w:hyperlink>
        </w:p>
        <w:p>
          <w:pPr>
            <w:pStyle w:val="TOC3"/>
            <w:tabs>
              <w:tab w:pos="9490" w:val="right" w:leader="dot"/>
            </w:tabs>
          </w:pPr>
          <w:hyperlink w:history="true" w:anchor="_bookmark74">
            <w:r>
              <w:rPr/>
              <w:t>Section</w:t>
            </w:r>
            <w:r>
              <w:rPr>
                <w:spacing w:val="-2"/>
              </w:rPr>
              <w:t> </w:t>
            </w:r>
            <w:r>
              <w:rPr/>
              <w:t>Five</w:t>
              <w:tab/>
              <w:t>79</w:t>
            </w:r>
          </w:hyperlink>
        </w:p>
        <w:p>
          <w:pPr>
            <w:pStyle w:val="TOC4"/>
            <w:tabs>
              <w:tab w:pos="9490" w:val="right" w:leader="dot"/>
            </w:tabs>
          </w:pPr>
          <w:hyperlink w:history="true" w:anchor="_bookmark75">
            <w:r>
              <w:rPr/>
              <w:t>Solid</w:t>
            </w:r>
            <w:r>
              <w:rPr>
                <w:spacing w:val="-2"/>
              </w:rPr>
              <w:t> </w:t>
            </w:r>
            <w:r>
              <w:rPr/>
              <w:t>Waste</w:t>
            </w:r>
            <w:r>
              <w:rPr>
                <w:spacing w:val="-1"/>
              </w:rPr>
              <w:t> </w:t>
            </w:r>
            <w:r>
              <w:rPr/>
              <w:t>Management</w:t>
              <w:tab/>
              <w:t>79</w:t>
            </w:r>
          </w:hyperlink>
        </w:p>
        <w:p>
          <w:pPr>
            <w:pStyle w:val="TOC3"/>
            <w:tabs>
              <w:tab w:pos="9490" w:val="right" w:leader="dot"/>
            </w:tabs>
          </w:pPr>
          <w:hyperlink w:history="true" w:anchor="_bookmark77">
            <w:r>
              <w:rPr/>
              <w:t>Section</w:t>
            </w:r>
            <w:r>
              <w:rPr>
                <w:spacing w:val="-2"/>
              </w:rPr>
              <w:t> </w:t>
            </w:r>
            <w:r>
              <w:rPr/>
              <w:t>Six</w:t>
              <w:tab/>
              <w:t>85</w:t>
            </w:r>
          </w:hyperlink>
        </w:p>
        <w:p>
          <w:pPr>
            <w:pStyle w:val="TOC4"/>
            <w:tabs>
              <w:tab w:pos="9490" w:val="right" w:leader="dot"/>
            </w:tabs>
            <w:spacing w:before="119"/>
          </w:pPr>
          <w:hyperlink w:history="true" w:anchor="_bookmark78">
            <w:r>
              <w:rPr/>
              <w:t>Energy/Electrical</w:t>
            </w:r>
            <w:r>
              <w:rPr>
                <w:spacing w:val="-2"/>
              </w:rPr>
              <w:t> </w:t>
            </w:r>
            <w:r>
              <w:rPr/>
              <w:t>Power</w:t>
              <w:tab/>
              <w:t>85</w:t>
            </w:r>
          </w:hyperlink>
        </w:p>
        <w:p>
          <w:pPr>
            <w:pStyle w:val="TOC2"/>
            <w:tabs>
              <w:tab w:pos="9492" w:val="right" w:leader="dot"/>
            </w:tabs>
            <w:spacing w:before="121"/>
          </w:pPr>
          <w:hyperlink w:history="true" w:anchor="_bookmark80">
            <w:r>
              <w:rPr/>
              <w:t>Utilities by</w:t>
            </w:r>
            <w:r>
              <w:rPr>
                <w:spacing w:val="-3"/>
              </w:rPr>
              <w:t> </w:t>
            </w:r>
            <w:r>
              <w:rPr/>
              <w:t>Other</w:t>
            </w:r>
            <w:r>
              <w:rPr>
                <w:spacing w:val="-2"/>
              </w:rPr>
              <w:t> </w:t>
            </w:r>
            <w:r>
              <w:rPr/>
              <w:t>Providers</w:t>
              <w:tab/>
              <w:t>89</w:t>
            </w:r>
          </w:hyperlink>
        </w:p>
        <w:p>
          <w:pPr>
            <w:pStyle w:val="TOC3"/>
            <w:tabs>
              <w:tab w:pos="9490" w:val="right" w:leader="dot"/>
            </w:tabs>
          </w:pPr>
          <w:hyperlink w:history="true" w:anchor="_bookmark81">
            <w:r>
              <w:rPr/>
              <w:t>Section</w:t>
            </w:r>
            <w:r>
              <w:rPr>
                <w:spacing w:val="-2"/>
              </w:rPr>
              <w:t> </w:t>
            </w:r>
            <w:r>
              <w:rPr/>
              <w:t>One</w:t>
              <w:tab/>
              <w:t>89</w:t>
            </w:r>
          </w:hyperlink>
        </w:p>
        <w:p>
          <w:pPr>
            <w:pStyle w:val="TOC4"/>
            <w:tabs>
              <w:tab w:pos="9490" w:val="right" w:leader="dot"/>
            </w:tabs>
            <w:spacing w:before="122"/>
          </w:pPr>
          <w:hyperlink w:history="true" w:anchor="_bookmark82">
            <w:r>
              <w:rPr/>
              <w:t>Natural</w:t>
            </w:r>
            <w:r>
              <w:rPr>
                <w:spacing w:val="-1"/>
              </w:rPr>
              <w:t> </w:t>
            </w:r>
            <w:r>
              <w:rPr/>
              <w:t>Gas</w:t>
            </w:r>
            <w:r>
              <w:rPr>
                <w:spacing w:val="-2"/>
              </w:rPr>
              <w:t> </w:t>
            </w:r>
            <w:r>
              <w:rPr/>
              <w:t>Supply</w:t>
              <w:tab/>
              <w:t>89</w:t>
            </w:r>
          </w:hyperlink>
        </w:p>
        <w:p>
          <w:pPr>
            <w:pStyle w:val="TOC3"/>
            <w:tabs>
              <w:tab w:pos="9490" w:val="right" w:leader="dot"/>
            </w:tabs>
            <w:ind w:left="361"/>
          </w:pPr>
          <w:hyperlink w:history="true" w:anchor="_bookmark83">
            <w:r>
              <w:rPr/>
              <w:t>Section</w:t>
            </w:r>
            <w:r>
              <w:rPr>
                <w:spacing w:val="-4"/>
              </w:rPr>
              <w:t> </w:t>
            </w:r>
            <w:r>
              <w:rPr/>
              <w:t>Two</w:t>
              <w:tab/>
              <w:t>89</w:t>
            </w:r>
          </w:hyperlink>
        </w:p>
        <w:p>
          <w:pPr>
            <w:pStyle w:val="TOC4"/>
            <w:tabs>
              <w:tab w:pos="9490" w:val="right" w:leader="dot"/>
            </w:tabs>
          </w:pPr>
          <w:hyperlink w:history="true" w:anchor="_bookmark84">
            <w:r>
              <w:rPr/>
              <w:t>Telecommunications</w:t>
              <w:tab/>
              <w:t>89</w:t>
            </w:r>
          </w:hyperlink>
        </w:p>
        <w:p>
          <w:pPr>
            <w:pStyle w:val="TOC3"/>
            <w:tabs>
              <w:tab w:pos="9489" w:val="right" w:leader="dot"/>
            </w:tabs>
            <w:spacing w:before="118"/>
          </w:pPr>
          <w:hyperlink w:history="true" w:anchor="_bookmark85">
            <w:r>
              <w:rPr/>
              <w:t>Section</w:t>
            </w:r>
            <w:r>
              <w:rPr>
                <w:spacing w:val="-4"/>
              </w:rPr>
              <w:t> </w:t>
            </w:r>
            <w:r>
              <w:rPr/>
              <w:t>Three</w:t>
              <w:tab/>
              <w:t>91</w:t>
            </w:r>
          </w:hyperlink>
        </w:p>
        <w:p>
          <w:pPr>
            <w:pStyle w:val="TOC4"/>
            <w:tabs>
              <w:tab w:pos="9489" w:val="right" w:leader="dot"/>
            </w:tabs>
            <w:ind w:left="578"/>
          </w:pPr>
          <w:hyperlink w:history="true" w:anchor="_bookmark86">
            <w:r>
              <w:rPr/>
              <w:t>Irrigation</w:t>
            </w:r>
            <w:r>
              <w:rPr>
                <w:spacing w:val="-3"/>
              </w:rPr>
              <w:t> </w:t>
            </w:r>
            <w:r>
              <w:rPr/>
              <w:t>District</w:t>
            </w:r>
            <w:r>
              <w:rPr>
                <w:spacing w:val="-1"/>
              </w:rPr>
              <w:t> </w:t>
            </w:r>
            <w:r>
              <w:rPr/>
              <w:t>Facilities</w:t>
              <w:tab/>
              <w:t>91</w:t>
            </w:r>
          </w:hyperlink>
        </w:p>
        <w:p>
          <w:pPr>
            <w:pStyle w:val="TOC1"/>
            <w:tabs>
              <w:tab w:pos="9492" w:val="right" w:leader="dot"/>
            </w:tabs>
          </w:pPr>
          <w:hyperlink w:history="true" w:anchor="_bookmark87">
            <w:r>
              <w:rPr/>
              <w:t>Capital</w:t>
            </w:r>
            <w:r>
              <w:rPr>
                <w:spacing w:val="-2"/>
              </w:rPr>
              <w:t> </w:t>
            </w:r>
            <w:r>
              <w:rPr/>
              <w:t>Facilities</w:t>
              <w:tab/>
              <w:t>92</w:t>
            </w:r>
          </w:hyperlink>
        </w:p>
        <w:p>
          <w:pPr>
            <w:pStyle w:val="TOC3"/>
            <w:tabs>
              <w:tab w:pos="9489" w:val="right" w:leader="dot"/>
            </w:tabs>
            <w:spacing w:before="121"/>
          </w:pPr>
          <w:hyperlink w:history="true" w:anchor="_bookmark88">
            <w:r>
              <w:rPr/>
              <w:t>Section</w:t>
            </w:r>
            <w:r>
              <w:rPr>
                <w:spacing w:val="-2"/>
              </w:rPr>
              <w:t> </w:t>
            </w:r>
            <w:r>
              <w:rPr/>
              <w:t>One</w:t>
              <w:tab/>
              <w:t>92</w:t>
            </w:r>
          </w:hyperlink>
        </w:p>
        <w:p>
          <w:pPr>
            <w:pStyle w:val="TOC4"/>
            <w:tabs>
              <w:tab w:pos="9490" w:val="right" w:leader="dot"/>
            </w:tabs>
            <w:spacing w:before="119"/>
            <w:ind w:left="578"/>
          </w:pPr>
          <w:hyperlink w:history="true" w:anchor="_bookmark89">
            <w:r>
              <w:rPr/>
              <w:t>Introduction</w:t>
              <w:tab/>
              <w:t>92</w:t>
            </w:r>
          </w:hyperlink>
        </w:p>
        <w:p>
          <w:pPr>
            <w:pStyle w:val="TOC3"/>
            <w:tabs>
              <w:tab w:pos="9490" w:val="right" w:leader="dot"/>
            </w:tabs>
            <w:spacing w:before="122"/>
          </w:pPr>
          <w:hyperlink w:history="true" w:anchor="_bookmark90">
            <w:r>
              <w:rPr/>
              <w:t>Section</w:t>
            </w:r>
            <w:r>
              <w:rPr>
                <w:spacing w:val="-4"/>
              </w:rPr>
              <w:t> </w:t>
            </w:r>
            <w:r>
              <w:rPr/>
              <w:t>Two</w:t>
              <w:tab/>
              <w:t>93</w:t>
            </w:r>
          </w:hyperlink>
        </w:p>
        <w:p>
          <w:pPr>
            <w:pStyle w:val="TOC4"/>
            <w:tabs>
              <w:tab w:pos="9490" w:val="right" w:leader="dot"/>
            </w:tabs>
            <w:spacing w:before="119" w:after="20"/>
          </w:pPr>
          <w:hyperlink w:history="true" w:anchor="_bookmark91">
            <w:r>
              <w:rPr/>
              <w:t>Parks, Recreation, and</w:t>
            </w:r>
            <w:r>
              <w:rPr>
                <w:spacing w:val="-4"/>
              </w:rPr>
              <w:t> </w:t>
            </w:r>
            <w:r>
              <w:rPr/>
              <w:t>Open</w:t>
            </w:r>
            <w:r>
              <w:rPr>
                <w:spacing w:val="-2"/>
              </w:rPr>
              <w:t> </w:t>
            </w:r>
            <w:r>
              <w:rPr/>
              <w:t>Space</w:t>
              <w:tab/>
              <w:t>93</w:t>
            </w:r>
          </w:hyperlink>
        </w:p>
        <w:p>
          <w:pPr>
            <w:pStyle w:val="TOC3"/>
            <w:tabs>
              <w:tab w:pos="9492" w:val="right" w:leader="dot"/>
            </w:tabs>
            <w:spacing w:before="80"/>
          </w:pPr>
          <w:hyperlink w:history="true" w:anchor="_bookmark93">
            <w:r>
              <w:rPr/>
              <w:t>Section</w:t>
            </w:r>
            <w:r>
              <w:rPr>
                <w:spacing w:val="-4"/>
              </w:rPr>
              <w:t> </w:t>
            </w:r>
            <w:r>
              <w:rPr/>
              <w:t>Three</w:t>
              <w:tab/>
              <w:t>103</w:t>
            </w:r>
          </w:hyperlink>
        </w:p>
        <w:p>
          <w:pPr>
            <w:pStyle w:val="TOC4"/>
            <w:tabs>
              <w:tab w:pos="9492" w:val="right" w:leader="dot"/>
            </w:tabs>
            <w:spacing w:before="119"/>
          </w:pPr>
          <w:hyperlink w:history="true" w:anchor="_bookmark94">
            <w:r>
              <w:rPr/>
              <w:t>Municipal</w:t>
            </w:r>
            <w:r>
              <w:rPr>
                <w:spacing w:val="-1"/>
              </w:rPr>
              <w:t> </w:t>
            </w:r>
            <w:r>
              <w:rPr/>
              <w:t>Facilities</w:t>
              <w:tab/>
              <w:t>103</w:t>
            </w:r>
          </w:hyperlink>
        </w:p>
        <w:p>
          <w:pPr>
            <w:pStyle w:val="TOC3"/>
            <w:tabs>
              <w:tab w:pos="9492" w:val="right" w:leader="dot"/>
            </w:tabs>
            <w:spacing w:before="121"/>
          </w:pPr>
          <w:hyperlink w:history="true" w:anchor="_bookmark96">
            <w:r>
              <w:rPr/>
              <w:t>Section</w:t>
            </w:r>
            <w:r>
              <w:rPr>
                <w:spacing w:val="-2"/>
              </w:rPr>
              <w:t> </w:t>
            </w:r>
            <w:r>
              <w:rPr/>
              <w:t>Four</w:t>
              <w:tab/>
              <w:t>109</w:t>
            </w:r>
          </w:hyperlink>
        </w:p>
        <w:p>
          <w:pPr>
            <w:pStyle w:val="TOC4"/>
            <w:tabs>
              <w:tab w:pos="9492" w:val="right" w:leader="dot"/>
            </w:tabs>
            <w:spacing w:before="119"/>
          </w:pPr>
          <w:hyperlink w:history="true" w:anchor="_bookmark97">
            <w:r>
              <w:rPr/>
              <w:t>Fire and Emergency Services</w:t>
            </w:r>
            <w:r>
              <w:rPr>
                <w:spacing w:val="-7"/>
              </w:rPr>
              <w:t> </w:t>
            </w:r>
            <w:r>
              <w:rPr/>
              <w:t>and</w:t>
            </w:r>
            <w:r>
              <w:rPr>
                <w:spacing w:val="-1"/>
              </w:rPr>
              <w:t> </w:t>
            </w:r>
            <w:r>
              <w:rPr/>
              <w:t>Facilities</w:t>
              <w:tab/>
              <w:t>109</w:t>
            </w:r>
          </w:hyperlink>
        </w:p>
        <w:p>
          <w:pPr>
            <w:pStyle w:val="TOC3"/>
            <w:tabs>
              <w:tab w:pos="9492" w:val="right" w:leader="dot"/>
            </w:tabs>
            <w:spacing w:before="121"/>
            <w:ind w:left="361"/>
          </w:pPr>
          <w:hyperlink w:history="true" w:anchor="_bookmark99">
            <w:r>
              <w:rPr/>
              <w:t>Section</w:t>
            </w:r>
            <w:r>
              <w:rPr>
                <w:spacing w:val="-2"/>
              </w:rPr>
              <w:t> </w:t>
            </w:r>
            <w:r>
              <w:rPr/>
              <w:t>Five</w:t>
              <w:tab/>
              <w:t>112</w:t>
            </w:r>
          </w:hyperlink>
        </w:p>
        <w:p>
          <w:pPr>
            <w:pStyle w:val="TOC4"/>
            <w:tabs>
              <w:tab w:pos="9492" w:val="right" w:leader="dot"/>
            </w:tabs>
            <w:spacing w:before="119"/>
          </w:pPr>
          <w:hyperlink w:history="true" w:anchor="_bookmark100">
            <w:r>
              <w:rPr/>
              <w:t>Police</w:t>
            </w:r>
            <w:r>
              <w:rPr>
                <w:spacing w:val="-2"/>
              </w:rPr>
              <w:t> </w:t>
            </w:r>
            <w:r>
              <w:rPr/>
              <w:t>Service</w:t>
            </w:r>
            <w:r>
              <w:rPr>
                <w:spacing w:val="-1"/>
              </w:rPr>
              <w:t> </w:t>
            </w:r>
            <w:r>
              <w:rPr/>
              <w:t>Facilities</w:t>
              <w:tab/>
              <w:t>112</w:t>
            </w:r>
          </w:hyperlink>
        </w:p>
        <w:p>
          <w:pPr>
            <w:pStyle w:val="TOC3"/>
            <w:tabs>
              <w:tab w:pos="9492" w:val="right" w:leader="dot"/>
            </w:tabs>
          </w:pPr>
          <w:hyperlink w:history="true" w:anchor="_bookmark103">
            <w:r>
              <w:rPr/>
              <w:t>Section</w:t>
            </w:r>
            <w:r>
              <w:rPr>
                <w:spacing w:val="-2"/>
              </w:rPr>
              <w:t> </w:t>
            </w:r>
            <w:r>
              <w:rPr/>
              <w:t>Six</w:t>
              <w:tab/>
              <w:t>116</w:t>
            </w:r>
          </w:hyperlink>
        </w:p>
        <w:p>
          <w:pPr>
            <w:pStyle w:val="TOC4"/>
            <w:tabs>
              <w:tab w:pos="9492" w:val="right" w:leader="dot"/>
            </w:tabs>
          </w:pPr>
          <w:hyperlink w:history="true" w:anchor="_bookmark104">
            <w:r>
              <w:rPr/>
              <w:t>Library</w:t>
            </w:r>
            <w:r>
              <w:rPr>
                <w:spacing w:val="-2"/>
              </w:rPr>
              <w:t> </w:t>
            </w:r>
            <w:r>
              <w:rPr/>
              <w:t>Facilities</w:t>
              <w:tab/>
              <w:t>116</w:t>
            </w:r>
          </w:hyperlink>
        </w:p>
        <w:p>
          <w:pPr>
            <w:pStyle w:val="TOC3"/>
            <w:tabs>
              <w:tab w:pos="9492" w:val="right" w:leader="dot"/>
            </w:tabs>
            <w:ind w:left="361"/>
          </w:pPr>
          <w:hyperlink w:history="true" w:anchor="_bookmark105">
            <w:r>
              <w:rPr/>
              <w:t>Section</w:t>
            </w:r>
            <w:r>
              <w:rPr>
                <w:spacing w:val="-2"/>
              </w:rPr>
              <w:t> </w:t>
            </w:r>
            <w:r>
              <w:rPr/>
              <w:t>Seven</w:t>
              <w:tab/>
              <w:t>117</w:t>
            </w:r>
          </w:hyperlink>
        </w:p>
        <w:p>
          <w:pPr>
            <w:pStyle w:val="TOC4"/>
            <w:tabs>
              <w:tab w:pos="9492" w:val="right" w:leader="dot"/>
            </w:tabs>
          </w:pPr>
          <w:hyperlink w:history="true" w:anchor="_bookmark106">
            <w:r>
              <w:rPr/>
              <w:t>Schools</w:t>
              <w:tab/>
              <w:t>117</w:t>
            </w:r>
          </w:hyperlink>
        </w:p>
        <w:p>
          <w:pPr>
            <w:pStyle w:val="TOC3"/>
            <w:tabs>
              <w:tab w:pos="9492" w:val="right" w:leader="dot"/>
            </w:tabs>
            <w:ind w:left="361"/>
          </w:pPr>
          <w:hyperlink w:history="true" w:anchor="_bookmark108">
            <w:r>
              <w:rPr/>
              <w:t>Section</w:t>
            </w:r>
            <w:r>
              <w:rPr>
                <w:spacing w:val="-2"/>
              </w:rPr>
              <w:t> </w:t>
            </w:r>
            <w:r>
              <w:rPr/>
              <w:t>Eight</w:t>
              <w:tab/>
              <w:t>121</w:t>
            </w:r>
          </w:hyperlink>
        </w:p>
        <w:p>
          <w:pPr>
            <w:pStyle w:val="TOC4"/>
            <w:tabs>
              <w:tab w:pos="9492" w:val="right" w:leader="dot"/>
            </w:tabs>
            <w:spacing w:before="122"/>
          </w:pPr>
          <w:hyperlink w:history="true" w:anchor="_bookmark109">
            <w:r>
              <w:rPr/>
              <w:t>Essential</w:t>
            </w:r>
            <w:r>
              <w:rPr>
                <w:spacing w:val="-2"/>
              </w:rPr>
              <w:t> </w:t>
            </w:r>
            <w:r>
              <w:rPr/>
              <w:t>Public Facilities</w:t>
              <w:tab/>
              <w:t>121</w:t>
            </w:r>
          </w:hyperlink>
        </w:p>
        <w:p>
          <w:pPr>
            <w:pStyle w:val="TOC1"/>
            <w:tabs>
              <w:tab w:pos="9490" w:val="right" w:leader="dot"/>
            </w:tabs>
          </w:pPr>
          <w:hyperlink w:history="true" w:anchor="_bookmark110">
            <w:r>
              <w:rPr/>
              <w:t>References</w:t>
              <w:tab/>
              <w:t>122</w:t>
            </w:r>
          </w:hyperlink>
        </w:p>
      </w:sdtContent>
    </w:sdt>
    <w:p>
      <w:pPr>
        <w:spacing w:after="0"/>
        <w:sectPr>
          <w:type w:val="continuous"/>
          <w:pgSz w:w="12240" w:h="15840"/>
          <w:pgMar w:top="1359" w:bottom="1651" w:left="1300" w:right="1100"/>
        </w:sectPr>
      </w:pPr>
    </w:p>
    <w:p>
      <w:pPr>
        <w:pStyle w:val="BodyText"/>
        <w:rPr>
          <w:b/>
          <w:sz w:val="26"/>
        </w:rPr>
      </w:pPr>
    </w:p>
    <w:p>
      <w:pPr>
        <w:spacing w:before="195"/>
        <w:ind w:left="140" w:right="0" w:firstLine="0"/>
        <w:jc w:val="left"/>
        <w:rPr>
          <w:b/>
          <w:sz w:val="24"/>
        </w:rPr>
      </w:pPr>
      <w:r>
        <w:rPr>
          <w:b/>
          <w:sz w:val="24"/>
        </w:rPr>
        <w:t>List of Figures</w:t>
      </w:r>
    </w:p>
    <w:p>
      <w:pPr>
        <w:pStyle w:val="BodyText"/>
        <w:tabs>
          <w:tab w:pos="9368" w:val="left" w:leader="dot"/>
        </w:tabs>
        <w:spacing w:before="119"/>
        <w:ind w:left="140"/>
      </w:pPr>
      <w:hyperlink w:history="true" w:anchor="_bookmark11">
        <w:r>
          <w:rPr/>
          <w:t>Figure ED-1:  Real GDP Kennewick-Richland Metropolitan Statistical Area</w:t>
        </w:r>
        <w:r>
          <w:rPr>
            <w:spacing w:val="-20"/>
          </w:rPr>
          <w:t> </w:t>
        </w:r>
        <w:r>
          <w:rPr/>
          <w:t>(in</w:t>
        </w:r>
        <w:r>
          <w:rPr>
            <w:spacing w:val="-3"/>
          </w:rPr>
          <w:t> </w:t>
        </w:r>
        <w:r>
          <w:rPr/>
          <w:t>millions)</w:t>
          <w:tab/>
          <w:t>6</w:t>
        </w:r>
      </w:hyperlink>
    </w:p>
    <w:p>
      <w:pPr>
        <w:pStyle w:val="BodyText"/>
        <w:tabs>
          <w:tab w:pos="9368" w:val="left" w:leader="dot"/>
        </w:tabs>
        <w:spacing w:before="119"/>
        <w:ind w:left="140"/>
      </w:pPr>
      <w:hyperlink w:history="true" w:anchor="_bookmark12">
        <w:r>
          <w:rPr/>
          <w:t>Figure ED-2:  Benton and Franklin County Annual Population</w:t>
        </w:r>
        <w:r>
          <w:rPr>
            <w:spacing w:val="-19"/>
          </w:rPr>
          <w:t> </w:t>
        </w:r>
        <w:r>
          <w:rPr/>
          <w:t>Growth,</w:t>
        </w:r>
        <w:r>
          <w:rPr>
            <w:spacing w:val="-1"/>
          </w:rPr>
          <w:t> </w:t>
        </w:r>
        <w:r>
          <w:rPr/>
          <w:t>2000-2016</w:t>
          <w:tab/>
          <w:t>6</w:t>
        </w:r>
      </w:hyperlink>
    </w:p>
    <w:p>
      <w:pPr>
        <w:pStyle w:val="BodyText"/>
        <w:tabs>
          <w:tab w:pos="9491" w:val="right" w:leader="dot"/>
        </w:tabs>
        <w:spacing w:before="121"/>
        <w:ind w:left="140"/>
      </w:pPr>
      <w:hyperlink w:history="true" w:anchor="_bookmark13">
        <w:r>
          <w:rPr/>
          <w:t>Figure ED-3:  GDP per</w:t>
        </w:r>
        <w:r>
          <w:rPr>
            <w:spacing w:val="-6"/>
          </w:rPr>
          <w:t> </w:t>
        </w:r>
        <w:r>
          <w:rPr/>
          <w:t>Capita,</w:t>
        </w:r>
        <w:r>
          <w:rPr>
            <w:spacing w:val="-1"/>
          </w:rPr>
          <w:t> </w:t>
        </w:r>
        <w:r>
          <w:rPr/>
          <w:t>2001-2015</w:t>
          <w:tab/>
          <w:t>7</w:t>
        </w:r>
      </w:hyperlink>
    </w:p>
    <w:p>
      <w:pPr>
        <w:pStyle w:val="BodyText"/>
        <w:tabs>
          <w:tab w:pos="9491" w:val="right" w:leader="dot"/>
        </w:tabs>
        <w:spacing w:before="119"/>
        <w:ind w:left="141"/>
      </w:pPr>
      <w:hyperlink w:history="true" w:anchor="_bookmark14">
        <w:r>
          <w:rPr/>
          <w:t>Figure ED-4: Benton and Franklin Counties Cumulative Employment</w:t>
        </w:r>
        <w:r>
          <w:rPr>
            <w:spacing w:val="-14"/>
          </w:rPr>
          <w:t> </w:t>
        </w:r>
        <w:r>
          <w:rPr/>
          <w:t>by</w:t>
        </w:r>
        <w:r>
          <w:rPr>
            <w:spacing w:val="-2"/>
          </w:rPr>
          <w:t> </w:t>
        </w:r>
        <w:r>
          <w:rPr/>
          <w:t>Sector</w:t>
          <w:tab/>
          <w:t>8</w:t>
        </w:r>
      </w:hyperlink>
    </w:p>
    <w:p>
      <w:pPr>
        <w:pStyle w:val="BodyText"/>
        <w:tabs>
          <w:tab w:pos="9491" w:val="right" w:leader="dot"/>
        </w:tabs>
        <w:spacing w:before="121"/>
        <w:ind w:left="141"/>
      </w:pPr>
      <w:hyperlink w:history="true" w:anchor="_bookmark15">
        <w:r>
          <w:rPr/>
          <w:t>Figure ED-5: Benton and Franklin Counties Cumulative Percent Employment Growth</w:t>
        </w:r>
        <w:r>
          <w:rPr>
            <w:spacing w:val="-22"/>
          </w:rPr>
          <w:t> </w:t>
        </w:r>
        <w:r>
          <w:rPr/>
          <w:t>by</w:t>
        </w:r>
        <w:r>
          <w:rPr>
            <w:spacing w:val="-2"/>
          </w:rPr>
          <w:t> </w:t>
        </w:r>
        <w:r>
          <w:rPr/>
          <w:t>Sector</w:t>
          <w:tab/>
          <w:t>8</w:t>
        </w:r>
      </w:hyperlink>
    </w:p>
    <w:p>
      <w:pPr>
        <w:pStyle w:val="BodyText"/>
        <w:spacing w:before="119"/>
        <w:ind w:left="141"/>
      </w:pPr>
      <w:hyperlink w:history="true" w:anchor="_bookmark16">
        <w:r>
          <w:rPr/>
          <w:t>Figure ED-6: Benton and Franklin Counties Employment Concentration and Change by Sector,</w:t>
        </w:r>
      </w:hyperlink>
    </w:p>
    <w:p>
      <w:pPr>
        <w:pStyle w:val="BodyText"/>
        <w:spacing w:before="2"/>
        <w:ind w:left="141"/>
      </w:pPr>
      <w:hyperlink w:history="true" w:anchor="_bookmark16">
        <w:r>
          <w:rPr/>
          <w:t>2006-2015.................................................................................................................................................................................. 9</w:t>
        </w:r>
      </w:hyperlink>
    </w:p>
    <w:p>
      <w:pPr>
        <w:pStyle w:val="BodyText"/>
        <w:tabs>
          <w:tab w:pos="9492" w:val="right" w:leader="dot"/>
        </w:tabs>
        <w:spacing w:before="119"/>
        <w:ind w:left="141"/>
      </w:pPr>
      <w:hyperlink w:history="true" w:anchor="_bookmark17">
        <w:r>
          <w:rPr/>
          <w:t>Figure ED-7: Hanford and PNNL Employment, Fiscal Year 2009 to Fiscal</w:t>
        </w:r>
        <w:r>
          <w:rPr>
            <w:spacing w:val="-17"/>
          </w:rPr>
          <w:t> </w:t>
        </w:r>
        <w:r>
          <w:rPr/>
          <w:t>Year</w:t>
        </w:r>
        <w:r>
          <w:rPr>
            <w:spacing w:val="-4"/>
          </w:rPr>
          <w:t> </w:t>
        </w:r>
        <w:r>
          <w:rPr/>
          <w:t>2016</w:t>
          <w:tab/>
          <w:t>10</w:t>
        </w:r>
      </w:hyperlink>
    </w:p>
    <w:p>
      <w:pPr>
        <w:pStyle w:val="BodyText"/>
        <w:tabs>
          <w:tab w:pos="9492" w:val="right" w:leader="dot"/>
        </w:tabs>
        <w:spacing w:before="121"/>
        <w:ind w:left="141"/>
      </w:pPr>
      <w:hyperlink w:history="true" w:anchor="_bookmark18">
        <w:r>
          <w:rPr/>
          <w:t>Figure ED-8:  Commercial Building Sizes and Types</w:t>
        </w:r>
        <w:r>
          <w:rPr>
            <w:spacing w:val="-12"/>
          </w:rPr>
          <w:t> </w:t>
        </w:r>
        <w:r>
          <w:rPr/>
          <w:t>in</w:t>
        </w:r>
        <w:r>
          <w:rPr>
            <w:spacing w:val="-2"/>
          </w:rPr>
          <w:t> </w:t>
        </w:r>
        <w:r>
          <w:rPr/>
          <w:t>Richland</w:t>
          <w:tab/>
          <w:t>11</w:t>
        </w:r>
      </w:hyperlink>
    </w:p>
    <w:p>
      <w:pPr>
        <w:pStyle w:val="BodyText"/>
        <w:tabs>
          <w:tab w:pos="9492" w:val="right" w:leader="dot"/>
        </w:tabs>
        <w:spacing w:before="119"/>
        <w:ind w:left="141"/>
      </w:pPr>
      <w:hyperlink w:history="true" w:anchor="_bookmark19">
        <w:r>
          <w:rPr/>
          <w:t>Figure ED-9:  Labor</w:t>
        </w:r>
        <w:r>
          <w:rPr>
            <w:spacing w:val="-5"/>
          </w:rPr>
          <w:t> </w:t>
        </w:r>
        <w:r>
          <w:rPr/>
          <w:t>Force</w:t>
        </w:r>
        <w:r>
          <w:rPr>
            <w:spacing w:val="-3"/>
          </w:rPr>
          <w:t> </w:t>
        </w:r>
        <w:r>
          <w:rPr/>
          <w:t>Participation</w:t>
          <w:tab/>
          <w:t>12</w:t>
        </w:r>
      </w:hyperlink>
    </w:p>
    <w:p>
      <w:pPr>
        <w:pStyle w:val="BodyText"/>
        <w:tabs>
          <w:tab w:pos="9492" w:val="right" w:leader="dot"/>
        </w:tabs>
        <w:spacing w:before="119"/>
        <w:ind w:left="142"/>
      </w:pPr>
      <w:hyperlink w:history="true" w:anchor="_bookmark20">
        <w:r>
          <w:rPr/>
          <w:t>Figure ED-10:  Total Employment, 1990</w:t>
        </w:r>
        <w:r>
          <w:rPr>
            <w:spacing w:val="-7"/>
          </w:rPr>
          <w:t> </w:t>
        </w:r>
        <w:r>
          <w:rPr/>
          <w:t>-</w:t>
        </w:r>
        <w:r>
          <w:rPr>
            <w:spacing w:val="1"/>
          </w:rPr>
          <w:t> </w:t>
        </w:r>
        <w:r>
          <w:rPr/>
          <w:t>2016</w:t>
          <w:tab/>
          <w:t>12</w:t>
        </w:r>
      </w:hyperlink>
    </w:p>
    <w:p>
      <w:pPr>
        <w:pStyle w:val="BodyText"/>
        <w:tabs>
          <w:tab w:pos="9492" w:val="right" w:leader="dot"/>
        </w:tabs>
        <w:spacing w:before="121"/>
        <w:ind w:left="142"/>
      </w:pPr>
      <w:hyperlink w:history="true" w:anchor="_bookmark21">
        <w:r>
          <w:rPr/>
          <w:t>Figure ED-11:  Unemployment Rate, 1990</w:t>
        </w:r>
        <w:r>
          <w:rPr>
            <w:spacing w:val="-8"/>
          </w:rPr>
          <w:t> </w:t>
        </w:r>
        <w:r>
          <w:rPr/>
          <w:t>- 2016</w:t>
          <w:tab/>
          <w:t>12</w:t>
        </w:r>
      </w:hyperlink>
    </w:p>
    <w:p>
      <w:pPr>
        <w:pStyle w:val="BodyText"/>
        <w:tabs>
          <w:tab w:pos="9493" w:val="right" w:leader="dot"/>
        </w:tabs>
        <w:spacing w:before="119"/>
        <w:ind w:left="142"/>
      </w:pPr>
      <w:hyperlink w:history="true" w:anchor="_bookmark22">
        <w:r>
          <w:rPr/>
          <w:t>Figure ED-12:  Median</w:t>
        </w:r>
        <w:r>
          <w:rPr>
            <w:spacing w:val="-6"/>
          </w:rPr>
          <w:t> </w:t>
        </w:r>
        <w:r>
          <w:rPr/>
          <w:t>Household</w:t>
        </w:r>
        <w:r>
          <w:rPr>
            <w:spacing w:val="-1"/>
          </w:rPr>
          <w:t> </w:t>
        </w:r>
        <w:r>
          <w:rPr/>
          <w:t>Income</w:t>
          <w:tab/>
          <w:t>13</w:t>
        </w:r>
      </w:hyperlink>
    </w:p>
    <w:p>
      <w:pPr>
        <w:pStyle w:val="BodyText"/>
        <w:tabs>
          <w:tab w:pos="9493" w:val="right" w:leader="dot"/>
        </w:tabs>
        <w:spacing w:before="121"/>
        <w:ind w:left="142"/>
      </w:pPr>
      <w:hyperlink w:history="true" w:anchor="_bookmark23">
        <w:r>
          <w:rPr/>
          <w:t>Figure ED-13:  Share of Population Living in Poverty, 2011</w:t>
        </w:r>
        <w:r>
          <w:rPr>
            <w:spacing w:val="-12"/>
          </w:rPr>
          <w:t> </w:t>
        </w:r>
        <w:r>
          <w:rPr/>
          <w:t>-</w:t>
        </w:r>
        <w:r>
          <w:rPr>
            <w:spacing w:val="1"/>
          </w:rPr>
          <w:t> </w:t>
        </w:r>
        <w:r>
          <w:rPr/>
          <w:t>2015</w:t>
          <w:tab/>
          <w:t>13</w:t>
        </w:r>
      </w:hyperlink>
    </w:p>
    <w:p>
      <w:pPr>
        <w:pStyle w:val="BodyText"/>
        <w:tabs>
          <w:tab w:pos="9490" w:val="right" w:leader="dot"/>
        </w:tabs>
        <w:spacing w:before="119"/>
        <w:ind w:left="139"/>
      </w:pPr>
      <w:hyperlink w:history="true" w:anchor="_bookmark24">
        <w:r>
          <w:rPr/>
          <w:t>Figure ED-14:  Age Distribution, Average from 2011</w:t>
        </w:r>
        <w:r>
          <w:rPr>
            <w:spacing w:val="-9"/>
          </w:rPr>
          <w:t> </w:t>
        </w:r>
        <w:r>
          <w:rPr/>
          <w:t>–</w:t>
        </w:r>
        <w:r>
          <w:rPr>
            <w:spacing w:val="-1"/>
          </w:rPr>
          <w:t> </w:t>
        </w:r>
        <w:r>
          <w:rPr/>
          <w:t>2015</w:t>
          <w:tab/>
          <w:t>14</w:t>
        </w:r>
      </w:hyperlink>
    </w:p>
    <w:p>
      <w:pPr>
        <w:pStyle w:val="BodyText"/>
        <w:tabs>
          <w:tab w:pos="9490" w:val="right" w:leader="dot"/>
        </w:tabs>
        <w:spacing w:before="121"/>
        <w:ind w:left="140"/>
      </w:pPr>
      <w:hyperlink w:history="true" w:anchor="_bookmark25">
        <w:r>
          <w:rPr/>
          <w:t>Figure ED-15:  Select Category Sales, Richland in 2016 Dollars</w:t>
        </w:r>
        <w:r>
          <w:rPr>
            <w:spacing w:val="-17"/>
          </w:rPr>
          <w:t> </w:t>
        </w:r>
        <w:r>
          <w:rPr/>
          <w:t>(in</w:t>
        </w:r>
        <w:r>
          <w:rPr>
            <w:spacing w:val="-2"/>
          </w:rPr>
          <w:t> </w:t>
        </w:r>
        <w:r>
          <w:rPr/>
          <w:t>Millions)</w:t>
          <w:tab/>
          <w:t>15</w:t>
        </w:r>
      </w:hyperlink>
    </w:p>
    <w:p>
      <w:pPr>
        <w:pStyle w:val="BodyText"/>
        <w:tabs>
          <w:tab w:pos="9491" w:val="right" w:leader="dot"/>
        </w:tabs>
        <w:spacing w:before="119"/>
        <w:ind w:left="140"/>
      </w:pPr>
      <w:hyperlink w:history="true" w:anchor="_bookmark26">
        <w:r>
          <w:rPr/>
          <w:t>Figure ED-16: Taxable Retail Sales in Millions Indexed</w:t>
        </w:r>
        <w:r>
          <w:rPr>
            <w:spacing w:val="-13"/>
          </w:rPr>
          <w:t> </w:t>
        </w:r>
        <w:r>
          <w:rPr/>
          <w:t>to</w:t>
        </w:r>
        <w:r>
          <w:rPr>
            <w:spacing w:val="-1"/>
          </w:rPr>
          <w:t> </w:t>
        </w:r>
        <w:r>
          <w:rPr/>
          <w:t>2000</w:t>
          <w:tab/>
          <w:t>16</w:t>
        </w:r>
      </w:hyperlink>
    </w:p>
    <w:p>
      <w:pPr>
        <w:pStyle w:val="BodyText"/>
        <w:tabs>
          <w:tab w:pos="9491" w:val="right" w:leader="dot"/>
        </w:tabs>
        <w:spacing w:before="121"/>
        <w:ind w:left="141"/>
      </w:pPr>
      <w:hyperlink w:history="true" w:anchor="_bookmark37">
        <w:r>
          <w:rPr/>
          <w:t>Figure LU-1: Population Growth in Richland in the Last</w:t>
        </w:r>
        <w:r>
          <w:rPr>
            <w:spacing w:val="-13"/>
          </w:rPr>
          <w:t> </w:t>
        </w:r>
        <w:r>
          <w:rPr/>
          <w:t>10</w:t>
        </w:r>
        <w:r>
          <w:rPr>
            <w:spacing w:val="-3"/>
          </w:rPr>
          <w:t> </w:t>
        </w:r>
        <w:r>
          <w:rPr/>
          <w:t>Years</w:t>
          <w:tab/>
          <w:t>26</w:t>
        </w:r>
      </w:hyperlink>
    </w:p>
    <w:p>
      <w:pPr>
        <w:pStyle w:val="BodyText"/>
        <w:tabs>
          <w:tab w:pos="9491" w:val="right" w:leader="dot"/>
        </w:tabs>
        <w:spacing w:before="119"/>
        <w:ind w:left="141"/>
      </w:pPr>
      <w:hyperlink w:history="true" w:anchor="_bookmark39">
        <w:r>
          <w:rPr/>
          <w:t>Figure LU-2: Richland and Benton County’s</w:t>
        </w:r>
        <w:r>
          <w:rPr>
            <w:spacing w:val="-11"/>
          </w:rPr>
          <w:t> </w:t>
        </w:r>
        <w:r>
          <w:rPr/>
          <w:t>Population</w:t>
        </w:r>
        <w:r>
          <w:rPr>
            <w:spacing w:val="-2"/>
          </w:rPr>
          <w:t> </w:t>
        </w:r>
        <w:r>
          <w:rPr/>
          <w:t>Forecast</w:t>
          <w:tab/>
          <w:t>27</w:t>
        </w:r>
      </w:hyperlink>
    </w:p>
    <w:p>
      <w:pPr>
        <w:spacing w:after="0"/>
        <w:sectPr>
          <w:type w:val="continuous"/>
          <w:pgSz w:w="12240" w:h="15840"/>
          <w:pgMar w:top="1360" w:bottom="1320" w:left="1300" w:right="1100"/>
        </w:sectPr>
      </w:pPr>
    </w:p>
    <w:p>
      <w:pPr>
        <w:pStyle w:val="BodyText"/>
        <w:tabs>
          <w:tab w:pos="9490" w:val="right" w:leader="dot"/>
        </w:tabs>
        <w:spacing w:before="80"/>
        <w:ind w:left="140"/>
      </w:pPr>
      <w:hyperlink w:history="true" w:anchor="_bookmark42">
        <w:r>
          <w:rPr/>
          <w:t>Figure LU-3: Future Land</w:t>
        </w:r>
        <w:r>
          <w:rPr>
            <w:spacing w:val="-8"/>
          </w:rPr>
          <w:t> </w:t>
        </w:r>
        <w:r>
          <w:rPr/>
          <w:t>Use</w:t>
        </w:r>
        <w:r>
          <w:rPr>
            <w:spacing w:val="-3"/>
          </w:rPr>
          <w:t> </w:t>
        </w:r>
        <w:r>
          <w:rPr/>
          <w:t>Map</w:t>
          <w:tab/>
          <w:t>32</w:t>
        </w:r>
      </w:hyperlink>
    </w:p>
    <w:p>
      <w:pPr>
        <w:pStyle w:val="BodyText"/>
        <w:tabs>
          <w:tab w:pos="9490" w:val="right" w:leader="dot"/>
        </w:tabs>
        <w:spacing w:before="119"/>
        <w:ind w:left="140"/>
      </w:pPr>
      <w:hyperlink w:history="true" w:anchor="_bookmark0">
        <w:r>
          <w:rPr/>
          <w:t>Figure T-1: Functionally</w:t>
        </w:r>
        <w:r>
          <w:rPr>
            <w:spacing w:val="-6"/>
          </w:rPr>
          <w:t> </w:t>
        </w:r>
        <w:r>
          <w:rPr/>
          <w:t>Classified</w:t>
        </w:r>
        <w:r>
          <w:rPr>
            <w:spacing w:val="-1"/>
          </w:rPr>
          <w:t> </w:t>
        </w:r>
        <w:r>
          <w:rPr/>
          <w:t>Roads</w:t>
          <w:tab/>
          <w:t>53</w:t>
        </w:r>
      </w:hyperlink>
    </w:p>
    <w:p>
      <w:pPr>
        <w:pStyle w:val="BodyText"/>
        <w:tabs>
          <w:tab w:pos="9490" w:val="right" w:leader="dot"/>
        </w:tabs>
        <w:spacing w:before="121"/>
        <w:ind w:left="140"/>
      </w:pPr>
      <w:hyperlink w:history="true" w:anchor="_bookmark0">
        <w:r>
          <w:rPr/>
          <w:t>Figure T-2: Number</w:t>
        </w:r>
        <w:r>
          <w:rPr>
            <w:spacing w:val="-5"/>
          </w:rPr>
          <w:t> </w:t>
        </w:r>
        <w:r>
          <w:rPr/>
          <w:t>of</w:t>
        </w:r>
        <w:r>
          <w:rPr>
            <w:spacing w:val="-1"/>
          </w:rPr>
          <w:t> </w:t>
        </w:r>
        <w:r>
          <w:rPr/>
          <w:t>Lanes</w:t>
          <w:tab/>
          <w:t>54</w:t>
        </w:r>
      </w:hyperlink>
    </w:p>
    <w:p>
      <w:pPr>
        <w:pStyle w:val="BodyText"/>
        <w:tabs>
          <w:tab w:pos="9490" w:val="right" w:leader="dot"/>
        </w:tabs>
        <w:spacing w:before="119"/>
        <w:ind w:left="140"/>
      </w:pPr>
      <w:hyperlink w:history="true" w:anchor="_bookmark1">
        <w:r>
          <w:rPr/>
          <w:t>Figure T-3: Intersection</w:t>
        </w:r>
        <w:r>
          <w:rPr>
            <w:spacing w:val="-8"/>
          </w:rPr>
          <w:t> </w:t>
        </w:r>
        <w:r>
          <w:rPr/>
          <w:t>Traffic Control</w:t>
          <w:tab/>
          <w:t>55</w:t>
        </w:r>
      </w:hyperlink>
    </w:p>
    <w:p>
      <w:pPr>
        <w:pStyle w:val="BodyText"/>
        <w:tabs>
          <w:tab w:pos="9490" w:val="right" w:leader="dot"/>
        </w:tabs>
        <w:spacing w:before="121"/>
        <w:ind w:left="140"/>
      </w:pPr>
      <w:hyperlink w:history="true" w:anchor="_bookmark1">
        <w:r>
          <w:rPr/>
          <w:t>Figure T-4: 2016 All Day</w:t>
        </w:r>
        <w:r>
          <w:rPr>
            <w:spacing w:val="-10"/>
          </w:rPr>
          <w:t> </w:t>
        </w:r>
        <w:r>
          <w:rPr/>
          <w:t>Traffic Counts</w:t>
          <w:tab/>
          <w:t>56</w:t>
        </w:r>
      </w:hyperlink>
    </w:p>
    <w:p>
      <w:pPr>
        <w:pStyle w:val="BodyText"/>
        <w:tabs>
          <w:tab w:pos="9490" w:val="right" w:leader="dot"/>
        </w:tabs>
        <w:spacing w:before="119"/>
        <w:ind w:left="140"/>
      </w:pPr>
      <w:hyperlink w:history="true" w:anchor="_bookmark1">
        <w:r>
          <w:rPr/>
          <w:t>Figure T-5: 2016 Peak</w:t>
        </w:r>
        <w:r>
          <w:rPr>
            <w:spacing w:val="-6"/>
          </w:rPr>
          <w:t> </w:t>
        </w:r>
        <w:r>
          <w:rPr/>
          <w:t>Traffic Volumes</w:t>
          <w:tab/>
          <w:t>57</w:t>
        </w:r>
      </w:hyperlink>
    </w:p>
    <w:p>
      <w:pPr>
        <w:pStyle w:val="BodyText"/>
        <w:tabs>
          <w:tab w:pos="9489" w:val="right" w:leader="dot"/>
        </w:tabs>
        <w:spacing w:before="121"/>
        <w:ind w:left="140"/>
      </w:pPr>
      <w:hyperlink w:history="true" w:anchor="_bookmark1">
        <w:r>
          <w:rPr/>
          <w:t>Figure T-6: Bike Routes</w:t>
        </w:r>
        <w:r>
          <w:rPr>
            <w:spacing w:val="-5"/>
          </w:rPr>
          <w:t> </w:t>
        </w:r>
        <w:r>
          <w:rPr/>
          <w:t>and</w:t>
        </w:r>
        <w:r>
          <w:rPr>
            <w:spacing w:val="-1"/>
          </w:rPr>
          <w:t> </w:t>
        </w:r>
        <w:r>
          <w:rPr/>
          <w:t>Paths</w:t>
          <w:tab/>
          <w:t>58</w:t>
        </w:r>
      </w:hyperlink>
    </w:p>
    <w:p>
      <w:pPr>
        <w:pStyle w:val="BodyText"/>
        <w:tabs>
          <w:tab w:pos="9490" w:val="right" w:leader="dot"/>
        </w:tabs>
        <w:spacing w:before="119"/>
        <w:ind w:left="139"/>
      </w:pPr>
      <w:hyperlink w:history="true" w:anchor="_bookmark0">
        <w:r>
          <w:rPr/>
          <w:t>Figure T-7: Airport and</w:t>
        </w:r>
        <w:r>
          <w:rPr>
            <w:spacing w:val="-6"/>
          </w:rPr>
          <w:t> </w:t>
        </w:r>
        <w:r>
          <w:rPr/>
          <w:t>Port</w:t>
        </w:r>
        <w:r>
          <w:rPr>
            <w:spacing w:val="-1"/>
          </w:rPr>
          <w:t> </w:t>
        </w:r>
        <w:r>
          <w:rPr/>
          <w:t>Facilities</w:t>
          <w:tab/>
          <w:t>59</w:t>
        </w:r>
      </w:hyperlink>
    </w:p>
    <w:p>
      <w:pPr>
        <w:pStyle w:val="BodyText"/>
        <w:tabs>
          <w:tab w:pos="9490" w:val="right" w:leader="dot"/>
        </w:tabs>
        <w:spacing w:before="121"/>
        <w:ind w:left="140"/>
      </w:pPr>
      <w:hyperlink w:history="true" w:anchor="_bookmark0">
        <w:r>
          <w:rPr/>
          <w:t>Figure T-8:</w:t>
        </w:r>
        <w:r>
          <w:rPr>
            <w:spacing w:val="-4"/>
          </w:rPr>
          <w:t> </w:t>
        </w:r>
        <w:r>
          <w:rPr/>
          <w:t>Transit</w:t>
        </w:r>
        <w:r>
          <w:rPr>
            <w:spacing w:val="-1"/>
          </w:rPr>
          <w:t> </w:t>
        </w:r>
        <w:r>
          <w:rPr/>
          <w:t>Routes</w:t>
          <w:tab/>
          <w:t>60</w:t>
        </w:r>
      </w:hyperlink>
    </w:p>
    <w:p>
      <w:pPr>
        <w:pStyle w:val="BodyText"/>
        <w:tabs>
          <w:tab w:pos="9490" w:val="right" w:leader="dot"/>
        </w:tabs>
        <w:spacing w:before="119"/>
        <w:ind w:left="140"/>
      </w:pPr>
      <w:hyperlink w:history="true" w:anchor="_bookmark0">
        <w:r>
          <w:rPr/>
          <w:t>Figure T-9: Volume to</w:t>
        </w:r>
        <w:r>
          <w:rPr>
            <w:spacing w:val="-8"/>
          </w:rPr>
          <w:t> </w:t>
        </w:r>
        <w:r>
          <w:rPr/>
          <w:t>Capacity</w:t>
        </w:r>
        <w:r>
          <w:rPr>
            <w:spacing w:val="-2"/>
          </w:rPr>
          <w:t> </w:t>
        </w:r>
        <w:r>
          <w:rPr/>
          <w:t>Ratio</w:t>
          <w:tab/>
          <w:t>61</w:t>
        </w:r>
      </w:hyperlink>
    </w:p>
    <w:p>
      <w:pPr>
        <w:pStyle w:val="BodyText"/>
        <w:tabs>
          <w:tab w:pos="9490" w:val="right" w:leader="dot"/>
        </w:tabs>
        <w:spacing w:before="122"/>
        <w:ind w:left="140"/>
      </w:pPr>
      <w:hyperlink w:history="true" w:anchor="_bookmark0">
        <w:r>
          <w:rPr/>
          <w:t>Figure T-10: Intersection Traffic</w:t>
        </w:r>
        <w:r>
          <w:rPr>
            <w:spacing w:val="-6"/>
          </w:rPr>
          <w:t> </w:t>
        </w:r>
        <w:r>
          <w:rPr/>
          <w:t>Control</w:t>
        </w:r>
        <w:r>
          <w:rPr>
            <w:spacing w:val="-1"/>
          </w:rPr>
          <w:t> </w:t>
        </w:r>
        <w:r>
          <w:rPr/>
          <w:t>Evaluations</w:t>
          <w:tab/>
          <w:t>62</w:t>
        </w:r>
      </w:hyperlink>
    </w:p>
    <w:p>
      <w:pPr>
        <w:pStyle w:val="BodyText"/>
        <w:tabs>
          <w:tab w:pos="9490" w:val="right" w:leader="dot"/>
        </w:tabs>
        <w:spacing w:before="119"/>
        <w:ind w:left="140"/>
      </w:pPr>
      <w:hyperlink w:history="true" w:anchor="_bookmark0">
        <w:r>
          <w:rPr/>
          <w:t>Figure T-11: 2017 - 2022</w:t>
        </w:r>
        <w:r>
          <w:rPr>
            <w:spacing w:val="-7"/>
          </w:rPr>
          <w:t> </w:t>
        </w:r>
        <w:r>
          <w:rPr/>
          <w:t>Six-Year</w:t>
        </w:r>
        <w:r>
          <w:rPr>
            <w:spacing w:val="-2"/>
          </w:rPr>
          <w:t> </w:t>
        </w:r>
        <w:r>
          <w:rPr/>
          <w:t>TIP</w:t>
          <w:tab/>
          <w:t>63</w:t>
        </w:r>
      </w:hyperlink>
    </w:p>
    <w:p>
      <w:pPr>
        <w:pStyle w:val="BodyText"/>
        <w:tabs>
          <w:tab w:pos="9490" w:val="right" w:leader="dot"/>
        </w:tabs>
        <w:spacing w:before="121"/>
        <w:ind w:left="140"/>
      </w:pPr>
      <w:hyperlink w:history="true" w:anchor="_bookmark0">
        <w:r>
          <w:rPr/>
          <w:t>Figure T-12:</w:t>
        </w:r>
        <w:r>
          <w:rPr>
            <w:spacing w:val="-6"/>
          </w:rPr>
          <w:t> </w:t>
        </w:r>
        <w:r>
          <w:rPr/>
          <w:t>Transportation</w:t>
        </w:r>
        <w:r>
          <w:rPr>
            <w:spacing w:val="-2"/>
          </w:rPr>
          <w:t> </w:t>
        </w:r>
        <w:r>
          <w:rPr/>
          <w:t>Improvements</w:t>
          <w:tab/>
          <w:t>64</w:t>
        </w:r>
      </w:hyperlink>
    </w:p>
    <w:p>
      <w:pPr>
        <w:pStyle w:val="BodyText"/>
        <w:tabs>
          <w:tab w:pos="9491" w:val="right" w:leader="dot"/>
        </w:tabs>
        <w:spacing w:before="119"/>
        <w:ind w:left="140"/>
      </w:pPr>
      <w:hyperlink w:history="true" w:anchor="_bookmark64">
        <w:r>
          <w:rPr/>
          <w:t>Figure U-1: Utility</w:t>
        </w:r>
        <w:r>
          <w:rPr>
            <w:spacing w:val="-7"/>
          </w:rPr>
          <w:t> </w:t>
        </w:r>
        <w:r>
          <w:rPr/>
          <w:t>Service</w:t>
        </w:r>
        <w:r>
          <w:rPr>
            <w:spacing w:val="-3"/>
          </w:rPr>
          <w:t> </w:t>
        </w:r>
        <w:r>
          <w:rPr/>
          <w:t>Areas</w:t>
          <w:tab/>
          <w:t>65</w:t>
        </w:r>
      </w:hyperlink>
    </w:p>
    <w:p>
      <w:pPr>
        <w:pStyle w:val="BodyText"/>
        <w:tabs>
          <w:tab w:pos="9491" w:val="right" w:leader="dot"/>
        </w:tabs>
        <w:spacing w:before="121"/>
        <w:ind w:left="140"/>
      </w:pPr>
      <w:hyperlink w:history="true" w:anchor="_bookmark67">
        <w:r>
          <w:rPr/>
          <w:t>Figure U-2: Sanitary</w:t>
        </w:r>
        <w:r>
          <w:rPr>
            <w:spacing w:val="-6"/>
          </w:rPr>
          <w:t> </w:t>
        </w:r>
        <w:r>
          <w:rPr/>
          <w:t>Sewer</w:t>
        </w:r>
        <w:r>
          <w:rPr>
            <w:spacing w:val="-1"/>
          </w:rPr>
          <w:t> </w:t>
        </w:r>
        <w:r>
          <w:rPr/>
          <w:t>Mains</w:t>
          <w:tab/>
          <w:t>70</w:t>
        </w:r>
      </w:hyperlink>
    </w:p>
    <w:p>
      <w:pPr>
        <w:pStyle w:val="BodyText"/>
        <w:tabs>
          <w:tab w:pos="9491" w:val="right" w:leader="dot"/>
        </w:tabs>
        <w:spacing w:before="119"/>
        <w:ind w:left="141"/>
      </w:pPr>
      <w:hyperlink w:history="true" w:anchor="_bookmark70">
        <w:r>
          <w:rPr/>
          <w:t>Figure U-3:</w:t>
        </w:r>
        <w:r>
          <w:rPr>
            <w:spacing w:val="-4"/>
          </w:rPr>
          <w:t> </w:t>
        </w:r>
        <w:r>
          <w:rPr/>
          <w:t>Water</w:t>
        </w:r>
        <w:r>
          <w:rPr>
            <w:spacing w:val="-1"/>
          </w:rPr>
          <w:t> </w:t>
        </w:r>
        <w:r>
          <w:rPr/>
          <w:t>Mains</w:t>
          <w:tab/>
          <w:t>74</w:t>
        </w:r>
      </w:hyperlink>
    </w:p>
    <w:p>
      <w:pPr>
        <w:pStyle w:val="BodyText"/>
        <w:tabs>
          <w:tab w:pos="9491" w:val="right" w:leader="dot"/>
        </w:tabs>
        <w:spacing w:before="119"/>
        <w:ind w:left="141"/>
      </w:pPr>
      <w:hyperlink w:history="true" w:anchor="_bookmark73">
        <w:r>
          <w:rPr/>
          <w:t>Figure U4:</w:t>
        </w:r>
        <w:r>
          <w:rPr>
            <w:spacing w:val="-5"/>
          </w:rPr>
          <w:t> </w:t>
        </w:r>
        <w:r>
          <w:rPr/>
          <w:t>Storm</w:t>
        </w:r>
        <w:r>
          <w:rPr>
            <w:spacing w:val="-1"/>
          </w:rPr>
          <w:t> </w:t>
        </w:r>
        <w:r>
          <w:rPr/>
          <w:t>Water</w:t>
          <w:tab/>
          <w:t>78</w:t>
        </w:r>
      </w:hyperlink>
    </w:p>
    <w:p>
      <w:pPr>
        <w:pStyle w:val="BodyText"/>
        <w:tabs>
          <w:tab w:pos="9492" w:val="right" w:leader="dot"/>
        </w:tabs>
        <w:spacing w:before="121"/>
        <w:ind w:left="141"/>
      </w:pPr>
      <w:hyperlink w:history="true" w:anchor="_bookmark76">
        <w:r>
          <w:rPr/>
          <w:t>Figure U-5:</w:t>
        </w:r>
        <w:r>
          <w:rPr>
            <w:spacing w:val="-3"/>
          </w:rPr>
          <w:t> </w:t>
        </w:r>
        <w:r>
          <w:rPr/>
          <w:t>Solid</w:t>
        </w:r>
        <w:r>
          <w:rPr>
            <w:spacing w:val="-4"/>
          </w:rPr>
          <w:t> </w:t>
        </w:r>
        <w:r>
          <w:rPr/>
          <w:t>Waste</w:t>
          <w:tab/>
          <w:t>84</w:t>
        </w:r>
      </w:hyperlink>
    </w:p>
    <w:p>
      <w:pPr>
        <w:pStyle w:val="BodyText"/>
        <w:tabs>
          <w:tab w:pos="9492" w:val="right" w:leader="dot"/>
        </w:tabs>
        <w:spacing w:before="119"/>
        <w:ind w:left="142"/>
      </w:pPr>
      <w:hyperlink w:history="true" w:anchor="_bookmark79">
        <w:r>
          <w:rPr/>
          <w:t>Figure U-6: Major Electrical</w:t>
        </w:r>
        <w:r>
          <w:rPr>
            <w:spacing w:val="-6"/>
          </w:rPr>
          <w:t> </w:t>
        </w:r>
        <w:r>
          <w:rPr/>
          <w:t>Transmission</w:t>
        </w:r>
        <w:r>
          <w:rPr>
            <w:spacing w:val="-2"/>
          </w:rPr>
          <w:t> </w:t>
        </w:r>
        <w:r>
          <w:rPr/>
          <w:t>Lines</w:t>
          <w:tab/>
          <w:t>88</w:t>
        </w:r>
      </w:hyperlink>
    </w:p>
    <w:p>
      <w:pPr>
        <w:pStyle w:val="BodyText"/>
        <w:tabs>
          <w:tab w:pos="9494" w:val="right" w:leader="dot"/>
        </w:tabs>
        <w:spacing w:before="121"/>
        <w:ind w:left="142"/>
      </w:pPr>
      <w:hyperlink w:history="true" w:anchor="_bookmark92">
        <w:r>
          <w:rPr/>
          <w:t>Figure CF-1: Parks, Schools and</w:t>
        </w:r>
        <w:r>
          <w:rPr>
            <w:spacing w:val="-8"/>
          </w:rPr>
          <w:t> </w:t>
        </w:r>
        <w:r>
          <w:rPr/>
          <w:t>Open</w:t>
        </w:r>
        <w:r>
          <w:rPr>
            <w:spacing w:val="-2"/>
          </w:rPr>
          <w:t> </w:t>
        </w:r>
        <w:r>
          <w:rPr/>
          <w:t>Space</w:t>
          <w:tab/>
          <w:t>102</w:t>
        </w:r>
      </w:hyperlink>
    </w:p>
    <w:p>
      <w:pPr>
        <w:pStyle w:val="BodyText"/>
        <w:tabs>
          <w:tab w:pos="9494" w:val="right" w:leader="dot"/>
        </w:tabs>
        <w:spacing w:before="119"/>
        <w:ind w:left="142"/>
      </w:pPr>
      <w:hyperlink w:history="true" w:anchor="_bookmark95">
        <w:r>
          <w:rPr/>
          <w:t>Figure CF-2:</w:t>
        </w:r>
        <w:r>
          <w:rPr>
            <w:spacing w:val="-4"/>
          </w:rPr>
          <w:t> </w:t>
        </w:r>
        <w:r>
          <w:rPr/>
          <w:t>Municipal</w:t>
        </w:r>
        <w:r>
          <w:rPr>
            <w:spacing w:val="-1"/>
          </w:rPr>
          <w:t> </w:t>
        </w:r>
        <w:r>
          <w:rPr/>
          <w:t>Facilities</w:t>
          <w:tab/>
          <w:t>108</w:t>
        </w:r>
      </w:hyperlink>
    </w:p>
    <w:p>
      <w:pPr>
        <w:pStyle w:val="BodyText"/>
        <w:tabs>
          <w:tab w:pos="9494" w:val="right" w:leader="dot"/>
        </w:tabs>
        <w:spacing w:before="121"/>
        <w:ind w:left="142"/>
      </w:pPr>
      <w:hyperlink w:history="true" w:anchor="_bookmark98">
        <w:r>
          <w:rPr/>
          <w:t>Figure CF-3: Emergency</w:t>
        </w:r>
        <w:r>
          <w:rPr>
            <w:spacing w:val="-6"/>
          </w:rPr>
          <w:t> </w:t>
        </w:r>
        <w:r>
          <w:rPr/>
          <w:t>Service</w:t>
        </w:r>
        <w:r>
          <w:rPr>
            <w:spacing w:val="-1"/>
          </w:rPr>
          <w:t> </w:t>
        </w:r>
        <w:r>
          <w:rPr/>
          <w:t>Zone</w:t>
          <w:tab/>
          <w:t>111</w:t>
        </w:r>
      </w:hyperlink>
    </w:p>
    <w:p>
      <w:pPr>
        <w:pStyle w:val="BodyText"/>
        <w:tabs>
          <w:tab w:pos="9494" w:val="right" w:leader="dot"/>
        </w:tabs>
        <w:spacing w:before="119"/>
        <w:ind w:left="142"/>
      </w:pPr>
      <w:hyperlink w:history="true" w:anchor="_bookmark101">
        <w:r>
          <w:rPr/>
          <w:t>Figure CF-4: Code</w:t>
        </w:r>
        <w:r>
          <w:rPr>
            <w:spacing w:val="-7"/>
          </w:rPr>
          <w:t> </w:t>
        </w:r>
        <w:r>
          <w:rPr/>
          <w:t>Enforcement</w:t>
        </w:r>
        <w:r>
          <w:rPr>
            <w:spacing w:val="-1"/>
          </w:rPr>
          <w:t> </w:t>
        </w:r>
        <w:r>
          <w:rPr/>
          <w:t>Incidents</w:t>
          <w:tab/>
          <w:t>113</w:t>
        </w:r>
      </w:hyperlink>
    </w:p>
    <w:p>
      <w:pPr>
        <w:pStyle w:val="BodyText"/>
        <w:tabs>
          <w:tab w:pos="9494" w:val="right" w:leader="dot"/>
        </w:tabs>
        <w:spacing w:before="122"/>
        <w:ind w:left="142"/>
      </w:pPr>
      <w:hyperlink w:history="true" w:anchor="_bookmark102">
        <w:r>
          <w:rPr/>
          <w:t>Figure CF-5: Police</w:t>
        </w:r>
        <w:r>
          <w:rPr>
            <w:spacing w:val="-5"/>
          </w:rPr>
          <w:t> </w:t>
        </w:r>
        <w:r>
          <w:rPr/>
          <w:t>Patrol</w:t>
        </w:r>
        <w:r>
          <w:rPr>
            <w:spacing w:val="-1"/>
          </w:rPr>
          <w:t> </w:t>
        </w:r>
        <w:r>
          <w:rPr/>
          <w:t>Zone</w:t>
          <w:tab/>
          <w:t>115</w:t>
        </w:r>
      </w:hyperlink>
    </w:p>
    <w:p>
      <w:pPr>
        <w:pStyle w:val="BodyText"/>
        <w:tabs>
          <w:tab w:pos="9494" w:val="right" w:leader="dot"/>
        </w:tabs>
        <w:spacing w:before="119"/>
        <w:ind w:left="142"/>
      </w:pPr>
      <w:hyperlink w:history="true" w:anchor="_bookmark107">
        <w:r>
          <w:rPr/>
          <w:t>Figure</w:t>
        </w:r>
        <w:r>
          <w:rPr>
            <w:spacing w:val="-1"/>
          </w:rPr>
          <w:t> </w:t>
        </w:r>
        <w:r>
          <w:rPr/>
          <w:t>CF-6:</w:t>
        </w:r>
        <w:r>
          <w:rPr>
            <w:spacing w:val="-3"/>
          </w:rPr>
          <w:t> </w:t>
        </w:r>
        <w:r>
          <w:rPr/>
          <w:t>Schools</w:t>
          <w:tab/>
          <w:t>120</w:t>
        </w:r>
      </w:hyperlink>
    </w:p>
    <w:p>
      <w:pPr>
        <w:spacing w:after="0"/>
        <w:sectPr>
          <w:pgSz w:w="12240" w:h="15840"/>
          <w:pgMar w:header="0" w:footer="1132" w:top="1360" w:bottom="1320" w:left="1300" w:right="1100"/>
        </w:sectPr>
      </w:pPr>
    </w:p>
    <w:p>
      <w:pPr>
        <w:pStyle w:val="Heading2"/>
        <w:spacing w:before="420"/>
      </w:pPr>
      <w:bookmarkStart w:name="Introduction and Background" w:id="5"/>
      <w:bookmarkEnd w:id="5"/>
      <w:r>
        <w:rPr>
          <w:b w:val="0"/>
        </w:rPr>
      </w:r>
      <w:bookmarkStart w:name="Section One" w:id="6"/>
      <w:bookmarkEnd w:id="6"/>
      <w:r>
        <w:rPr>
          <w:b w:val="0"/>
        </w:rPr>
      </w:r>
      <w:bookmarkStart w:name="_bookmark3" w:id="7"/>
      <w:bookmarkEnd w:id="7"/>
      <w:r>
        <w:rPr>
          <w:b w:val="0"/>
        </w:rPr>
      </w:r>
      <w:bookmarkStart w:name="_bookmark4" w:id="8"/>
      <w:bookmarkEnd w:id="8"/>
      <w:r>
        <w:rPr>
          <w:b w:val="0"/>
        </w:rPr>
      </w:r>
      <w:r>
        <w:rPr/>
        <w:t>INTRODUCTION AND BACKGROUND</w:t>
      </w:r>
    </w:p>
    <w:p>
      <w:pPr>
        <w:pStyle w:val="Heading7"/>
        <w:spacing w:before="199"/>
        <w:ind w:left="140"/>
      </w:pPr>
      <w:r>
        <w:rPr>
          <w:color w:val="4F81BC"/>
        </w:rPr>
        <w:t>SECTION ONE</w:t>
      </w:r>
    </w:p>
    <w:p>
      <w:pPr>
        <w:pStyle w:val="Heading6"/>
        <w:spacing w:before="201"/>
      </w:pPr>
      <w:bookmarkStart w:name="Introduction" w:id="9"/>
      <w:bookmarkEnd w:id="9"/>
      <w:r>
        <w:rPr>
          <w:b w:val="0"/>
        </w:rPr>
      </w:r>
      <w:bookmarkStart w:name="_bookmark5" w:id="10"/>
      <w:bookmarkEnd w:id="10"/>
      <w:r>
        <w:rPr>
          <w:b w:val="0"/>
        </w:rPr>
      </w:r>
      <w:r>
        <w:rPr/>
        <w:t>INTRODUCTION</w:t>
      </w:r>
    </w:p>
    <w:p>
      <w:pPr>
        <w:pStyle w:val="BodyText"/>
        <w:spacing w:before="120"/>
        <w:ind w:left="139" w:right="334"/>
        <w:jc w:val="both"/>
      </w:pPr>
      <w:r>
        <w:rPr/>
        <w:t>This document elaborates on the discussion in the Core Comprehensive Plan. It also contains technical analysis of most of the Comprehensive Plan elements. Organization of this document follows the same hierarchy of elements as in the Core Comprehensive Plan with additional information included in it.</w:t>
      </w:r>
    </w:p>
    <w:p>
      <w:pPr>
        <w:pStyle w:val="BodyText"/>
        <w:spacing w:before="120"/>
        <w:ind w:left="140" w:right="333"/>
        <w:jc w:val="both"/>
      </w:pPr>
      <w:r>
        <w:rPr/>
        <w:t>Every comprehensive plan must include key pieces to fulfill its purpose of providing a yardstick for future</w:t>
      </w:r>
      <w:r>
        <w:rPr>
          <w:spacing w:val="-10"/>
        </w:rPr>
        <w:t> </w:t>
      </w:r>
      <w:r>
        <w:rPr/>
        <w:t>government</w:t>
      </w:r>
      <w:r>
        <w:rPr>
          <w:spacing w:val="-7"/>
        </w:rPr>
        <w:t> </w:t>
      </w:r>
      <w:r>
        <w:rPr/>
        <w:t>activities.</w:t>
      </w:r>
      <w:r>
        <w:rPr>
          <w:spacing w:val="-6"/>
        </w:rPr>
        <w:t> </w:t>
      </w:r>
      <w:r>
        <w:rPr/>
        <w:t>The</w:t>
      </w:r>
      <w:r>
        <w:rPr>
          <w:spacing w:val="-6"/>
        </w:rPr>
        <w:t> </w:t>
      </w:r>
      <w:r>
        <w:rPr/>
        <w:t>following</w:t>
      </w:r>
      <w:r>
        <w:rPr>
          <w:spacing w:val="-5"/>
        </w:rPr>
        <w:t> </w:t>
      </w:r>
      <w:r>
        <w:rPr/>
        <w:t>terms</w:t>
      </w:r>
      <w:r>
        <w:rPr>
          <w:spacing w:val="-6"/>
        </w:rPr>
        <w:t> </w:t>
      </w:r>
      <w:r>
        <w:rPr/>
        <w:t>have</w:t>
      </w:r>
      <w:r>
        <w:rPr>
          <w:spacing w:val="-6"/>
        </w:rPr>
        <w:t> </w:t>
      </w:r>
      <w:r>
        <w:rPr/>
        <w:t>special</w:t>
      </w:r>
      <w:r>
        <w:rPr>
          <w:spacing w:val="-7"/>
        </w:rPr>
        <w:t> </w:t>
      </w:r>
      <w:r>
        <w:rPr/>
        <w:t>meanings</w:t>
      </w:r>
      <w:r>
        <w:rPr>
          <w:spacing w:val="-5"/>
        </w:rPr>
        <w:t> </w:t>
      </w:r>
      <w:r>
        <w:rPr/>
        <w:t>in</w:t>
      </w:r>
      <w:r>
        <w:rPr>
          <w:spacing w:val="-8"/>
        </w:rPr>
        <w:t> </w:t>
      </w:r>
      <w:r>
        <w:rPr/>
        <w:t>comprehensive</w:t>
      </w:r>
      <w:r>
        <w:rPr>
          <w:spacing w:val="-6"/>
        </w:rPr>
        <w:t> </w:t>
      </w:r>
      <w:r>
        <w:rPr/>
        <w:t>planning and it’s important to understand their meaning and</w:t>
      </w:r>
      <w:r>
        <w:rPr>
          <w:spacing w:val="-11"/>
        </w:rPr>
        <w:t> </w:t>
      </w:r>
      <w:r>
        <w:rPr/>
        <w:t>purpose.</w:t>
      </w:r>
    </w:p>
    <w:p>
      <w:pPr>
        <w:pStyle w:val="BodyText"/>
        <w:spacing w:before="119"/>
        <w:ind w:left="139" w:right="335"/>
        <w:jc w:val="both"/>
      </w:pPr>
      <w:r>
        <w:rPr>
          <w:i/>
        </w:rPr>
        <w:t>Vision Statement</w:t>
      </w:r>
      <w:r>
        <w:rPr/>
        <w:t>: The Vision Statement is the target the City decides to aim for. It is a verbal picture of</w:t>
      </w:r>
      <w:r>
        <w:rPr>
          <w:spacing w:val="-5"/>
        </w:rPr>
        <w:t> </w:t>
      </w:r>
      <w:r>
        <w:rPr/>
        <w:t>what</w:t>
      </w:r>
      <w:r>
        <w:rPr>
          <w:spacing w:val="-6"/>
        </w:rPr>
        <w:t> </w:t>
      </w:r>
      <w:r>
        <w:rPr/>
        <w:t>Richland</w:t>
      </w:r>
      <w:r>
        <w:rPr>
          <w:spacing w:val="-5"/>
        </w:rPr>
        <w:t> </w:t>
      </w:r>
      <w:r>
        <w:rPr/>
        <w:t>will</w:t>
      </w:r>
      <w:r>
        <w:rPr>
          <w:spacing w:val="-6"/>
        </w:rPr>
        <w:t> </w:t>
      </w:r>
      <w:r>
        <w:rPr/>
        <w:t>be</w:t>
      </w:r>
      <w:r>
        <w:rPr>
          <w:spacing w:val="-5"/>
        </w:rPr>
        <w:t> </w:t>
      </w:r>
      <w:r>
        <w:rPr/>
        <w:t>like</w:t>
      </w:r>
      <w:r>
        <w:rPr>
          <w:spacing w:val="-4"/>
        </w:rPr>
        <w:t> </w:t>
      </w:r>
      <w:r>
        <w:rPr/>
        <w:t>at</w:t>
      </w:r>
      <w:r>
        <w:rPr>
          <w:spacing w:val="-6"/>
        </w:rPr>
        <w:t> </w:t>
      </w:r>
      <w:r>
        <w:rPr/>
        <w:t>the</w:t>
      </w:r>
      <w:r>
        <w:rPr>
          <w:spacing w:val="-4"/>
        </w:rPr>
        <w:t> </w:t>
      </w:r>
      <w:r>
        <w:rPr/>
        <w:t>end</w:t>
      </w:r>
      <w:r>
        <w:rPr>
          <w:spacing w:val="-6"/>
        </w:rPr>
        <w:t> </w:t>
      </w:r>
      <w:r>
        <w:rPr/>
        <w:t>of</w:t>
      </w:r>
      <w:r>
        <w:rPr>
          <w:spacing w:val="-5"/>
        </w:rPr>
        <w:t> </w:t>
      </w:r>
      <w:r>
        <w:rPr/>
        <w:t>the</w:t>
      </w:r>
      <w:r>
        <w:rPr>
          <w:spacing w:val="-4"/>
        </w:rPr>
        <w:t> </w:t>
      </w:r>
      <w:r>
        <w:rPr/>
        <w:t>period</w:t>
      </w:r>
      <w:r>
        <w:rPr>
          <w:spacing w:val="-6"/>
        </w:rPr>
        <w:t> </w:t>
      </w:r>
      <w:r>
        <w:rPr/>
        <w:t>covered</w:t>
      </w:r>
      <w:r>
        <w:rPr>
          <w:spacing w:val="-6"/>
        </w:rPr>
        <w:t> </w:t>
      </w:r>
      <w:r>
        <w:rPr/>
        <w:t>by</w:t>
      </w:r>
      <w:r>
        <w:rPr>
          <w:spacing w:val="-6"/>
        </w:rPr>
        <w:t> </w:t>
      </w:r>
      <w:r>
        <w:rPr/>
        <w:t>a</w:t>
      </w:r>
      <w:r>
        <w:rPr>
          <w:spacing w:val="-6"/>
        </w:rPr>
        <w:t> </w:t>
      </w:r>
      <w:r>
        <w:rPr/>
        <w:t>comprehensive</w:t>
      </w:r>
      <w:r>
        <w:rPr>
          <w:spacing w:val="-4"/>
        </w:rPr>
        <w:t> </w:t>
      </w:r>
      <w:r>
        <w:rPr/>
        <w:t>plan.</w:t>
      </w:r>
      <w:r>
        <w:rPr>
          <w:spacing w:val="-6"/>
        </w:rPr>
        <w:t> </w:t>
      </w:r>
      <w:r>
        <w:rPr/>
        <w:t>An</w:t>
      </w:r>
      <w:r>
        <w:rPr>
          <w:spacing w:val="-7"/>
        </w:rPr>
        <w:t> </w:t>
      </w:r>
      <w:r>
        <w:rPr/>
        <w:t>important part of future decision-making should be to ask, “Which of our choices will best help us become like the City described in the vision</w:t>
      </w:r>
      <w:r>
        <w:rPr>
          <w:spacing w:val="-9"/>
        </w:rPr>
        <w:t> </w:t>
      </w:r>
      <w:r>
        <w:rPr/>
        <w:t>statement?”</w:t>
      </w:r>
    </w:p>
    <w:p>
      <w:pPr>
        <w:pStyle w:val="BodyText"/>
        <w:spacing w:before="121"/>
        <w:ind w:left="140" w:right="335" w:hanging="1"/>
        <w:jc w:val="both"/>
      </w:pPr>
      <w:r>
        <w:rPr>
          <w:i/>
        </w:rPr>
        <w:t>Existing Conditions Inventory</w:t>
      </w:r>
      <w:r>
        <w:rPr/>
        <w:t>: We can’t decide how to get from the present to our desired future without a clear picture of where we are today. That’s why comprehensive plans must include a detailed</w:t>
      </w:r>
      <w:r>
        <w:rPr>
          <w:spacing w:val="-2"/>
        </w:rPr>
        <w:t> </w:t>
      </w:r>
      <w:r>
        <w:rPr/>
        <w:t>inventory</w:t>
      </w:r>
      <w:r>
        <w:rPr>
          <w:spacing w:val="-3"/>
        </w:rPr>
        <w:t> </w:t>
      </w:r>
      <w:r>
        <w:rPr/>
        <w:t>of</w:t>
      </w:r>
      <w:r>
        <w:rPr>
          <w:spacing w:val="-2"/>
        </w:rPr>
        <w:t> </w:t>
      </w:r>
      <w:r>
        <w:rPr/>
        <w:t>the</w:t>
      </w:r>
      <w:r>
        <w:rPr>
          <w:spacing w:val="-4"/>
        </w:rPr>
        <w:t> </w:t>
      </w:r>
      <w:r>
        <w:rPr/>
        <w:t>existing</w:t>
      </w:r>
      <w:r>
        <w:rPr>
          <w:spacing w:val="-2"/>
        </w:rPr>
        <w:t> </w:t>
      </w:r>
      <w:r>
        <w:rPr/>
        <w:t>state</w:t>
      </w:r>
      <w:r>
        <w:rPr>
          <w:spacing w:val="-4"/>
        </w:rPr>
        <w:t> </w:t>
      </w:r>
      <w:r>
        <w:rPr/>
        <w:t>of</w:t>
      </w:r>
      <w:r>
        <w:rPr>
          <w:spacing w:val="-2"/>
        </w:rPr>
        <w:t> </w:t>
      </w:r>
      <w:r>
        <w:rPr/>
        <w:t>the</w:t>
      </w:r>
      <w:r>
        <w:rPr>
          <w:spacing w:val="-4"/>
        </w:rPr>
        <w:t> </w:t>
      </w:r>
      <w:r>
        <w:rPr/>
        <w:t>City:</w:t>
      </w:r>
      <w:r>
        <w:rPr>
          <w:spacing w:val="-4"/>
        </w:rPr>
        <w:t> </w:t>
      </w:r>
      <w:r>
        <w:rPr/>
        <w:t>How</w:t>
      </w:r>
      <w:r>
        <w:rPr>
          <w:spacing w:val="-3"/>
        </w:rPr>
        <w:t> </w:t>
      </w:r>
      <w:r>
        <w:rPr/>
        <w:t>are</w:t>
      </w:r>
      <w:r>
        <w:rPr>
          <w:spacing w:val="-4"/>
        </w:rPr>
        <w:t> </w:t>
      </w:r>
      <w:r>
        <w:rPr/>
        <w:t>our</w:t>
      </w:r>
      <w:r>
        <w:rPr>
          <w:spacing w:val="-2"/>
        </w:rPr>
        <w:t> </w:t>
      </w:r>
      <w:r>
        <w:rPr/>
        <w:t>roads?</w:t>
      </w:r>
      <w:r>
        <w:rPr>
          <w:spacing w:val="-2"/>
        </w:rPr>
        <w:t> </w:t>
      </w:r>
      <w:r>
        <w:rPr/>
        <w:t>Is</w:t>
      </w:r>
      <w:r>
        <w:rPr>
          <w:spacing w:val="-2"/>
        </w:rPr>
        <w:t> </w:t>
      </w:r>
      <w:r>
        <w:rPr/>
        <w:t>our</w:t>
      </w:r>
      <w:r>
        <w:rPr>
          <w:spacing w:val="-5"/>
        </w:rPr>
        <w:t> </w:t>
      </w:r>
      <w:r>
        <w:rPr/>
        <w:t>water</w:t>
      </w:r>
      <w:r>
        <w:rPr>
          <w:spacing w:val="-4"/>
        </w:rPr>
        <w:t> </w:t>
      </w:r>
      <w:r>
        <w:rPr/>
        <w:t>system</w:t>
      </w:r>
      <w:r>
        <w:rPr>
          <w:spacing w:val="-1"/>
        </w:rPr>
        <w:t> </w:t>
      </w:r>
      <w:r>
        <w:rPr/>
        <w:t>adequate to accommodate future growth? Do we have the parks and other recreation facilities to satisfy the community’s desire for such public</w:t>
      </w:r>
      <w:r>
        <w:rPr>
          <w:spacing w:val="-5"/>
        </w:rPr>
        <w:t> </w:t>
      </w:r>
      <w:r>
        <w:rPr/>
        <w:t>amenities?</w:t>
      </w:r>
    </w:p>
    <w:p>
      <w:pPr>
        <w:pStyle w:val="BodyText"/>
        <w:spacing w:before="119"/>
        <w:ind w:left="140" w:right="335" w:hanging="1"/>
        <w:jc w:val="both"/>
      </w:pPr>
      <w:r>
        <w:rPr>
          <w:i/>
        </w:rPr>
        <w:t>Goals</w:t>
      </w:r>
      <w:r>
        <w:rPr/>
        <w:t>: If the Vision Statement defines the target for comprehensive planning, then goals are like individual points on the target. We set as goals the distinct achievements we hope for: maintain adequate and affordable housing; avoid traffic congestion; protect natural resources; ensure economic vitality. We have reached our vision if all our goals are accomplished.</w:t>
      </w:r>
    </w:p>
    <w:p>
      <w:pPr>
        <w:pStyle w:val="BodyText"/>
        <w:spacing w:before="120"/>
        <w:ind w:left="140" w:right="333"/>
        <w:jc w:val="both"/>
      </w:pPr>
      <w:r>
        <w:rPr>
          <w:i/>
        </w:rPr>
        <w:t>Policies</w:t>
      </w:r>
      <w:r>
        <w:rPr/>
        <w:t>: Goals are what we want to accomplish; policies define how we accomplish them. For each goal established in a comprehensive plan, one or more policies define the steps that goal calls for. If we</w:t>
      </w:r>
      <w:r>
        <w:rPr>
          <w:spacing w:val="-9"/>
        </w:rPr>
        <w:t> </w:t>
      </w:r>
      <w:r>
        <w:rPr/>
        <w:t>have</w:t>
      </w:r>
      <w:r>
        <w:rPr>
          <w:spacing w:val="-9"/>
        </w:rPr>
        <w:t> </w:t>
      </w:r>
      <w:r>
        <w:rPr/>
        <w:t>a</w:t>
      </w:r>
      <w:r>
        <w:rPr>
          <w:spacing w:val="-9"/>
        </w:rPr>
        <w:t> </w:t>
      </w:r>
      <w:r>
        <w:rPr/>
        <w:t>goal</w:t>
      </w:r>
      <w:r>
        <w:rPr>
          <w:spacing w:val="-8"/>
        </w:rPr>
        <w:t> </w:t>
      </w:r>
      <w:r>
        <w:rPr/>
        <w:t>of</w:t>
      </w:r>
      <w:r>
        <w:rPr>
          <w:spacing w:val="-9"/>
        </w:rPr>
        <w:t> </w:t>
      </w:r>
      <w:r>
        <w:rPr/>
        <w:t>protecting</w:t>
      </w:r>
      <w:r>
        <w:rPr>
          <w:spacing w:val="-8"/>
        </w:rPr>
        <w:t> </w:t>
      </w:r>
      <w:r>
        <w:rPr/>
        <w:t>natural</w:t>
      </w:r>
      <w:r>
        <w:rPr>
          <w:spacing w:val="-9"/>
        </w:rPr>
        <w:t> </w:t>
      </w:r>
      <w:r>
        <w:rPr/>
        <w:t>resources,</w:t>
      </w:r>
      <w:r>
        <w:rPr>
          <w:spacing w:val="-9"/>
        </w:rPr>
        <w:t> </w:t>
      </w:r>
      <w:r>
        <w:rPr/>
        <w:t>for</w:t>
      </w:r>
      <w:r>
        <w:rPr>
          <w:spacing w:val="-8"/>
        </w:rPr>
        <w:t> </w:t>
      </w:r>
      <w:r>
        <w:rPr/>
        <w:t>example,</w:t>
      </w:r>
      <w:r>
        <w:rPr>
          <w:spacing w:val="-9"/>
        </w:rPr>
        <w:t> </w:t>
      </w:r>
      <w:r>
        <w:rPr/>
        <w:t>we</w:t>
      </w:r>
      <w:r>
        <w:rPr>
          <w:spacing w:val="-11"/>
        </w:rPr>
        <w:t> </w:t>
      </w:r>
      <w:r>
        <w:rPr/>
        <w:t>might</w:t>
      </w:r>
      <w:r>
        <w:rPr>
          <w:spacing w:val="-8"/>
        </w:rPr>
        <w:t> </w:t>
      </w:r>
      <w:r>
        <w:rPr/>
        <w:t>establish</w:t>
      </w:r>
      <w:r>
        <w:rPr>
          <w:spacing w:val="-9"/>
        </w:rPr>
        <w:t> </w:t>
      </w:r>
      <w:r>
        <w:rPr/>
        <w:t>a</w:t>
      </w:r>
      <w:r>
        <w:rPr>
          <w:spacing w:val="-9"/>
        </w:rPr>
        <w:t> </w:t>
      </w:r>
      <w:r>
        <w:rPr/>
        <w:t>policy</w:t>
      </w:r>
      <w:r>
        <w:rPr>
          <w:spacing w:val="-10"/>
        </w:rPr>
        <w:t> </w:t>
      </w:r>
      <w:r>
        <w:rPr/>
        <w:t>that</w:t>
      </w:r>
      <w:r>
        <w:rPr>
          <w:spacing w:val="-8"/>
        </w:rPr>
        <w:t> </w:t>
      </w:r>
      <w:r>
        <w:rPr/>
        <w:t>says</w:t>
      </w:r>
      <w:r>
        <w:rPr>
          <w:spacing w:val="-8"/>
        </w:rPr>
        <w:t> </w:t>
      </w:r>
      <w:r>
        <w:rPr/>
        <w:t>that development shall be restricted on and near</w:t>
      </w:r>
      <w:r>
        <w:rPr>
          <w:spacing w:val="-9"/>
        </w:rPr>
        <w:t> </w:t>
      </w:r>
      <w:r>
        <w:rPr/>
        <w:t>wetlands.</w:t>
      </w:r>
    </w:p>
    <w:p>
      <w:pPr>
        <w:pStyle w:val="BodyText"/>
        <w:spacing w:before="121"/>
        <w:ind w:left="140" w:right="333"/>
        <w:jc w:val="both"/>
      </w:pPr>
      <w:r>
        <w:rPr>
          <w:i/>
        </w:rPr>
        <w:t>Planning Time Frame</w:t>
      </w:r>
      <w:r>
        <w:rPr/>
        <w:t>: A comprehensive plan must define time frames for achieving its vision and goals.</w:t>
      </w:r>
      <w:r>
        <w:rPr>
          <w:spacing w:val="-12"/>
        </w:rPr>
        <w:t> </w:t>
      </w:r>
      <w:r>
        <w:rPr/>
        <w:t>These</w:t>
      </w:r>
      <w:r>
        <w:rPr>
          <w:spacing w:val="-9"/>
        </w:rPr>
        <w:t> </w:t>
      </w:r>
      <w:r>
        <w:rPr/>
        <w:t>time</w:t>
      </w:r>
      <w:r>
        <w:rPr>
          <w:spacing w:val="-9"/>
        </w:rPr>
        <w:t> </w:t>
      </w:r>
      <w:r>
        <w:rPr/>
        <w:t>frames</w:t>
      </w:r>
      <w:r>
        <w:rPr>
          <w:spacing w:val="-8"/>
        </w:rPr>
        <w:t> </w:t>
      </w:r>
      <w:r>
        <w:rPr/>
        <w:t>are</w:t>
      </w:r>
      <w:r>
        <w:rPr>
          <w:spacing w:val="-9"/>
        </w:rPr>
        <w:t> </w:t>
      </w:r>
      <w:r>
        <w:rPr/>
        <w:t>called</w:t>
      </w:r>
      <w:r>
        <w:rPr>
          <w:spacing w:val="-9"/>
        </w:rPr>
        <w:t> </w:t>
      </w:r>
      <w:r>
        <w:rPr/>
        <w:t>the</w:t>
      </w:r>
      <w:r>
        <w:rPr>
          <w:spacing w:val="-9"/>
        </w:rPr>
        <w:t> </w:t>
      </w:r>
      <w:r>
        <w:rPr/>
        <w:t>planning</w:t>
      </w:r>
      <w:r>
        <w:rPr>
          <w:spacing w:val="-9"/>
        </w:rPr>
        <w:t> </w:t>
      </w:r>
      <w:r>
        <w:rPr/>
        <w:t>horizons.</w:t>
      </w:r>
      <w:r>
        <w:rPr>
          <w:spacing w:val="-9"/>
        </w:rPr>
        <w:t> </w:t>
      </w:r>
      <w:r>
        <w:rPr/>
        <w:t>In</w:t>
      </w:r>
      <w:r>
        <w:rPr>
          <w:spacing w:val="-12"/>
        </w:rPr>
        <w:t> </w:t>
      </w:r>
      <w:r>
        <w:rPr/>
        <w:t>Washington</w:t>
      </w:r>
      <w:r>
        <w:rPr>
          <w:spacing w:val="-10"/>
        </w:rPr>
        <w:t> </w:t>
      </w:r>
      <w:r>
        <w:rPr/>
        <w:t>State,</w:t>
      </w:r>
      <w:r>
        <w:rPr>
          <w:spacing w:val="-11"/>
        </w:rPr>
        <w:t> </w:t>
      </w:r>
      <w:r>
        <w:rPr/>
        <w:t>comprehensive</w:t>
      </w:r>
      <w:r>
        <w:rPr>
          <w:spacing w:val="-9"/>
        </w:rPr>
        <w:t> </w:t>
      </w:r>
      <w:r>
        <w:rPr/>
        <w:t>plans use</w:t>
      </w:r>
      <w:r>
        <w:rPr>
          <w:spacing w:val="-12"/>
        </w:rPr>
        <w:t> </w:t>
      </w:r>
      <w:r>
        <w:rPr/>
        <w:t>both</w:t>
      </w:r>
      <w:r>
        <w:rPr>
          <w:spacing w:val="-11"/>
        </w:rPr>
        <w:t> </w:t>
      </w:r>
      <w:r>
        <w:rPr/>
        <w:t>a</w:t>
      </w:r>
      <w:r>
        <w:rPr>
          <w:spacing w:val="-11"/>
        </w:rPr>
        <w:t> </w:t>
      </w:r>
      <w:r>
        <w:rPr/>
        <w:t>ten-year</w:t>
      </w:r>
      <w:r>
        <w:rPr>
          <w:spacing w:val="-13"/>
        </w:rPr>
        <w:t> </w:t>
      </w:r>
      <w:r>
        <w:rPr/>
        <w:t>short-term</w:t>
      </w:r>
      <w:r>
        <w:rPr>
          <w:spacing w:val="-10"/>
        </w:rPr>
        <w:t> </w:t>
      </w:r>
      <w:r>
        <w:rPr/>
        <w:t>planning</w:t>
      </w:r>
      <w:r>
        <w:rPr>
          <w:spacing w:val="-11"/>
        </w:rPr>
        <w:t> </w:t>
      </w:r>
      <w:r>
        <w:rPr/>
        <w:t>horizon</w:t>
      </w:r>
      <w:r>
        <w:rPr>
          <w:spacing w:val="-12"/>
        </w:rPr>
        <w:t> </w:t>
      </w:r>
      <w:r>
        <w:rPr/>
        <w:t>and</w:t>
      </w:r>
      <w:r>
        <w:rPr>
          <w:spacing w:val="-12"/>
        </w:rPr>
        <w:t> </w:t>
      </w:r>
      <w:r>
        <w:rPr/>
        <w:t>a</w:t>
      </w:r>
      <w:r>
        <w:rPr>
          <w:spacing w:val="-11"/>
        </w:rPr>
        <w:t> </w:t>
      </w:r>
      <w:r>
        <w:rPr/>
        <w:t>20-year</w:t>
      </w:r>
      <w:r>
        <w:rPr>
          <w:spacing w:val="-11"/>
        </w:rPr>
        <w:t> </w:t>
      </w:r>
      <w:r>
        <w:rPr/>
        <w:t>long-term</w:t>
      </w:r>
      <w:r>
        <w:rPr>
          <w:spacing w:val="-11"/>
        </w:rPr>
        <w:t> </w:t>
      </w:r>
      <w:r>
        <w:rPr/>
        <w:t>planning</w:t>
      </w:r>
      <w:r>
        <w:rPr>
          <w:spacing w:val="-10"/>
        </w:rPr>
        <w:t> </w:t>
      </w:r>
      <w:r>
        <w:rPr/>
        <w:t>horizon.</w:t>
      </w:r>
      <w:r>
        <w:rPr>
          <w:spacing w:val="-11"/>
        </w:rPr>
        <w:t> </w:t>
      </w:r>
      <w:r>
        <w:rPr/>
        <w:t>The</w:t>
      </w:r>
      <w:r>
        <w:rPr>
          <w:spacing w:val="-11"/>
        </w:rPr>
        <w:t> </w:t>
      </w:r>
      <w:r>
        <w:rPr/>
        <w:t>long- term planning horizon is the full period for achieving the vision in our Vision Statement. The short- term planning horizon is the period for which we can make more concrete plans for specific steps toward our</w:t>
      </w:r>
      <w:r>
        <w:rPr>
          <w:spacing w:val="-4"/>
        </w:rPr>
        <w:t> </w:t>
      </w:r>
      <w:r>
        <w:rPr/>
        <w:t>goals.</w:t>
      </w:r>
    </w:p>
    <w:p>
      <w:pPr>
        <w:pStyle w:val="BodyText"/>
        <w:spacing w:before="120"/>
        <w:ind w:left="140" w:right="331"/>
        <w:jc w:val="both"/>
      </w:pPr>
      <w:r>
        <w:rPr/>
        <w:t>These are the features that a Comprehensive Plan needs to include in order to act as our yardstick for</w:t>
      </w:r>
      <w:r>
        <w:rPr>
          <w:spacing w:val="-7"/>
        </w:rPr>
        <w:t> </w:t>
      </w:r>
      <w:r>
        <w:rPr/>
        <w:t>the</w:t>
      </w:r>
      <w:r>
        <w:rPr>
          <w:spacing w:val="-6"/>
        </w:rPr>
        <w:t> </w:t>
      </w:r>
      <w:r>
        <w:rPr/>
        <w:t>future.</w:t>
      </w:r>
      <w:r>
        <w:rPr>
          <w:spacing w:val="-8"/>
        </w:rPr>
        <w:t> </w:t>
      </w:r>
      <w:r>
        <w:rPr/>
        <w:t>The</w:t>
      </w:r>
      <w:r>
        <w:rPr>
          <w:spacing w:val="-5"/>
        </w:rPr>
        <w:t> </w:t>
      </w:r>
      <w:r>
        <w:rPr/>
        <w:t>Comprehensive</w:t>
      </w:r>
      <w:r>
        <w:rPr>
          <w:spacing w:val="-7"/>
        </w:rPr>
        <w:t> </w:t>
      </w:r>
      <w:r>
        <w:rPr/>
        <w:t>Plan</w:t>
      </w:r>
      <w:r>
        <w:rPr>
          <w:spacing w:val="-7"/>
        </w:rPr>
        <w:t> </w:t>
      </w:r>
      <w:r>
        <w:rPr/>
        <w:t>must</w:t>
      </w:r>
      <w:r>
        <w:rPr>
          <w:spacing w:val="-7"/>
        </w:rPr>
        <w:t> </w:t>
      </w:r>
      <w:r>
        <w:rPr/>
        <w:t>apply</w:t>
      </w:r>
      <w:r>
        <w:rPr>
          <w:spacing w:val="-9"/>
        </w:rPr>
        <w:t> </w:t>
      </w:r>
      <w:r>
        <w:rPr/>
        <w:t>these</w:t>
      </w:r>
      <w:r>
        <w:rPr>
          <w:spacing w:val="-6"/>
        </w:rPr>
        <w:t> </w:t>
      </w:r>
      <w:r>
        <w:rPr/>
        <w:t>features</w:t>
      </w:r>
      <w:r>
        <w:rPr>
          <w:spacing w:val="-4"/>
        </w:rPr>
        <w:t> </w:t>
      </w:r>
      <w:r>
        <w:rPr/>
        <w:t>to</w:t>
      </w:r>
      <w:r>
        <w:rPr>
          <w:spacing w:val="-9"/>
        </w:rPr>
        <w:t> </w:t>
      </w:r>
      <w:r>
        <w:rPr/>
        <w:t>specific</w:t>
      </w:r>
      <w:r>
        <w:rPr>
          <w:spacing w:val="-7"/>
        </w:rPr>
        <w:t> </w:t>
      </w:r>
      <w:r>
        <w:rPr/>
        <w:t>aspects</w:t>
      </w:r>
      <w:r>
        <w:rPr>
          <w:spacing w:val="-5"/>
        </w:rPr>
        <w:t> </w:t>
      </w:r>
      <w:r>
        <w:rPr/>
        <w:t>of</w:t>
      </w:r>
      <w:r>
        <w:rPr>
          <w:spacing w:val="-5"/>
        </w:rPr>
        <w:t> </w:t>
      </w:r>
      <w:r>
        <w:rPr/>
        <w:t>the</w:t>
      </w:r>
      <w:r>
        <w:rPr>
          <w:spacing w:val="-6"/>
        </w:rPr>
        <w:t> </w:t>
      </w:r>
      <w:r>
        <w:rPr/>
        <w:t>City’s</w:t>
      </w:r>
      <w:r>
        <w:rPr>
          <w:spacing w:val="-5"/>
        </w:rPr>
        <w:t> </w:t>
      </w:r>
      <w:r>
        <w:rPr/>
        <w:t>life. The parts of a plan addressing each of these are commonly called “elements.” Under State law, all Washington city and county comprehensive plans must address at least five specific elements: land use, transportation, utilities, capital facilities, and housing. Each element includes an inventory of existing</w:t>
      </w:r>
      <w:r>
        <w:rPr>
          <w:spacing w:val="8"/>
        </w:rPr>
        <w:t> </w:t>
      </w:r>
      <w:r>
        <w:rPr/>
        <w:t>conditions</w:t>
      </w:r>
      <w:r>
        <w:rPr>
          <w:spacing w:val="11"/>
        </w:rPr>
        <w:t> </w:t>
      </w:r>
      <w:r>
        <w:rPr/>
        <w:t>as</w:t>
      </w:r>
      <w:r>
        <w:rPr>
          <w:spacing w:val="11"/>
        </w:rPr>
        <w:t> </w:t>
      </w:r>
      <w:r>
        <w:rPr/>
        <w:t>well</w:t>
      </w:r>
      <w:r>
        <w:rPr>
          <w:spacing w:val="9"/>
        </w:rPr>
        <w:t> </w:t>
      </w:r>
      <w:r>
        <w:rPr/>
        <w:t>as</w:t>
      </w:r>
      <w:r>
        <w:rPr>
          <w:spacing w:val="11"/>
        </w:rPr>
        <w:t> </w:t>
      </w:r>
      <w:r>
        <w:rPr/>
        <w:t>goals</w:t>
      </w:r>
      <w:r>
        <w:rPr>
          <w:spacing w:val="11"/>
        </w:rPr>
        <w:t> </w:t>
      </w:r>
      <w:r>
        <w:rPr/>
        <w:t>and</w:t>
      </w:r>
      <w:r>
        <w:rPr>
          <w:spacing w:val="10"/>
        </w:rPr>
        <w:t> </w:t>
      </w:r>
      <w:r>
        <w:rPr/>
        <w:t>policies</w:t>
      </w:r>
      <w:r>
        <w:rPr>
          <w:spacing w:val="8"/>
        </w:rPr>
        <w:t> </w:t>
      </w:r>
      <w:r>
        <w:rPr/>
        <w:t>specific</w:t>
      </w:r>
      <w:r>
        <w:rPr>
          <w:spacing w:val="11"/>
        </w:rPr>
        <w:t> </w:t>
      </w:r>
      <w:r>
        <w:rPr/>
        <w:t>to</w:t>
      </w:r>
      <w:r>
        <w:rPr>
          <w:spacing w:val="11"/>
        </w:rPr>
        <w:t> </w:t>
      </w:r>
      <w:r>
        <w:rPr/>
        <w:t>the</w:t>
      </w:r>
      <w:r>
        <w:rPr>
          <w:spacing w:val="9"/>
        </w:rPr>
        <w:t> </w:t>
      </w:r>
      <w:r>
        <w:rPr/>
        <w:t>element.</w:t>
      </w:r>
      <w:r>
        <w:rPr>
          <w:spacing w:val="10"/>
        </w:rPr>
        <w:t> </w:t>
      </w:r>
      <w:r>
        <w:rPr/>
        <w:t>In</w:t>
      </w:r>
      <w:r>
        <w:rPr>
          <w:spacing w:val="9"/>
        </w:rPr>
        <w:t> </w:t>
      </w:r>
      <w:r>
        <w:rPr/>
        <w:t>addition</w:t>
      </w:r>
      <w:r>
        <w:rPr>
          <w:spacing w:val="9"/>
        </w:rPr>
        <w:t> </w:t>
      </w:r>
      <w:r>
        <w:rPr/>
        <w:t>to</w:t>
      </w:r>
      <w:r>
        <w:rPr>
          <w:spacing w:val="10"/>
        </w:rPr>
        <w:t> </w:t>
      </w:r>
      <w:r>
        <w:rPr/>
        <w:t>the</w:t>
      </w:r>
      <w:r>
        <w:rPr>
          <w:spacing w:val="10"/>
        </w:rPr>
        <w:t> </w:t>
      </w:r>
      <w:r>
        <w:rPr/>
        <w:t>required</w:t>
      </w:r>
    </w:p>
    <w:p>
      <w:pPr>
        <w:spacing w:after="0"/>
        <w:jc w:val="both"/>
        <w:sectPr>
          <w:footerReference w:type="default" r:id="rId8"/>
          <w:pgSz w:w="12240" w:h="15840"/>
          <w:pgMar w:footer="1132" w:header="0" w:top="1500" w:bottom="1320" w:left="1300" w:right="1100"/>
          <w:pgNumType w:start="1"/>
        </w:sectPr>
      </w:pPr>
    </w:p>
    <w:p>
      <w:pPr>
        <w:pStyle w:val="BodyText"/>
        <w:spacing w:before="80"/>
        <w:ind w:left="140" w:right="336"/>
        <w:jc w:val="both"/>
      </w:pPr>
      <w:r>
        <w:rPr/>
        <w:t>five</w:t>
      </w:r>
      <w:r>
        <w:rPr>
          <w:spacing w:val="-4"/>
        </w:rPr>
        <w:t> </w:t>
      </w:r>
      <w:r>
        <w:rPr/>
        <w:t>elements,</w:t>
      </w:r>
      <w:r>
        <w:rPr>
          <w:spacing w:val="-4"/>
        </w:rPr>
        <w:t> </w:t>
      </w:r>
      <w:r>
        <w:rPr/>
        <w:t>the</w:t>
      </w:r>
      <w:r>
        <w:rPr>
          <w:spacing w:val="-3"/>
        </w:rPr>
        <w:t> </w:t>
      </w:r>
      <w:r>
        <w:rPr/>
        <w:t>City</w:t>
      </w:r>
      <w:r>
        <w:rPr>
          <w:spacing w:val="-5"/>
        </w:rPr>
        <w:t> </w:t>
      </w:r>
      <w:r>
        <w:rPr/>
        <w:t>of</w:t>
      </w:r>
      <w:r>
        <w:rPr>
          <w:spacing w:val="-3"/>
        </w:rPr>
        <w:t> </w:t>
      </w:r>
      <w:r>
        <w:rPr/>
        <w:t>Richland</w:t>
      </w:r>
      <w:r>
        <w:rPr>
          <w:spacing w:val="-5"/>
        </w:rPr>
        <w:t> </w:t>
      </w:r>
      <w:r>
        <w:rPr/>
        <w:t>has</w:t>
      </w:r>
      <w:r>
        <w:rPr>
          <w:spacing w:val="-2"/>
        </w:rPr>
        <w:t> </w:t>
      </w:r>
      <w:r>
        <w:rPr/>
        <w:t>chosen</w:t>
      </w:r>
      <w:r>
        <w:rPr>
          <w:spacing w:val="-5"/>
        </w:rPr>
        <w:t> </w:t>
      </w:r>
      <w:r>
        <w:rPr/>
        <w:t>to</w:t>
      </w:r>
      <w:r>
        <w:rPr>
          <w:spacing w:val="-4"/>
        </w:rPr>
        <w:t> </w:t>
      </w:r>
      <w:r>
        <w:rPr/>
        <w:t>include</w:t>
      </w:r>
      <w:r>
        <w:rPr>
          <w:spacing w:val="-3"/>
        </w:rPr>
        <w:t> </w:t>
      </w:r>
      <w:r>
        <w:rPr/>
        <w:t>an</w:t>
      </w:r>
      <w:r>
        <w:rPr>
          <w:spacing w:val="-5"/>
        </w:rPr>
        <w:t> </w:t>
      </w:r>
      <w:r>
        <w:rPr/>
        <w:t>optional</w:t>
      </w:r>
      <w:r>
        <w:rPr>
          <w:spacing w:val="-3"/>
        </w:rPr>
        <w:t> </w:t>
      </w:r>
      <w:r>
        <w:rPr/>
        <w:t>economic</w:t>
      </w:r>
      <w:r>
        <w:rPr>
          <w:spacing w:val="-3"/>
        </w:rPr>
        <w:t> </w:t>
      </w:r>
      <w:r>
        <w:rPr/>
        <w:t>development</w:t>
      </w:r>
      <w:r>
        <w:rPr>
          <w:spacing w:val="-4"/>
        </w:rPr>
        <w:t> </w:t>
      </w:r>
      <w:r>
        <w:rPr/>
        <w:t>element in this Comprehensive</w:t>
      </w:r>
      <w:r>
        <w:rPr>
          <w:spacing w:val="-4"/>
        </w:rPr>
        <w:t> </w:t>
      </w:r>
      <w:r>
        <w:rPr/>
        <w:t>Plan.</w:t>
      </w:r>
    </w:p>
    <w:p>
      <w:pPr>
        <w:pStyle w:val="BodyText"/>
        <w:spacing w:before="120"/>
        <w:ind w:left="140" w:right="335"/>
        <w:jc w:val="both"/>
      </w:pPr>
      <w:r>
        <w:rPr/>
        <w:t>The final feature of comprehensive plans in Washington is a Finance Plan. This is the proposal for specific</w:t>
      </w:r>
      <w:r>
        <w:rPr>
          <w:spacing w:val="-8"/>
        </w:rPr>
        <w:t> </w:t>
      </w:r>
      <w:r>
        <w:rPr/>
        <w:t>capital</w:t>
      </w:r>
      <w:r>
        <w:rPr>
          <w:spacing w:val="-5"/>
        </w:rPr>
        <w:t> </w:t>
      </w:r>
      <w:r>
        <w:rPr/>
        <w:t>improvements</w:t>
      </w:r>
      <w:r>
        <w:rPr>
          <w:spacing w:val="-4"/>
        </w:rPr>
        <w:t> </w:t>
      </w:r>
      <w:r>
        <w:rPr/>
        <w:t>required</w:t>
      </w:r>
      <w:r>
        <w:rPr>
          <w:spacing w:val="-6"/>
        </w:rPr>
        <w:t> </w:t>
      </w:r>
      <w:r>
        <w:rPr/>
        <w:t>over</w:t>
      </w:r>
      <w:r>
        <w:rPr>
          <w:spacing w:val="-6"/>
        </w:rPr>
        <w:t> </w:t>
      </w:r>
      <w:r>
        <w:rPr/>
        <w:t>the</w:t>
      </w:r>
      <w:r>
        <w:rPr>
          <w:spacing w:val="-5"/>
        </w:rPr>
        <w:t> </w:t>
      </w:r>
      <w:r>
        <w:rPr/>
        <w:t>short-term</w:t>
      </w:r>
      <w:r>
        <w:rPr>
          <w:spacing w:val="-5"/>
        </w:rPr>
        <w:t> </w:t>
      </w:r>
      <w:r>
        <w:rPr/>
        <w:t>(six-year)</w:t>
      </w:r>
      <w:r>
        <w:rPr>
          <w:spacing w:val="-6"/>
        </w:rPr>
        <w:t> </w:t>
      </w:r>
      <w:r>
        <w:rPr/>
        <w:t>planning</w:t>
      </w:r>
      <w:r>
        <w:rPr>
          <w:spacing w:val="-4"/>
        </w:rPr>
        <w:t> </w:t>
      </w:r>
      <w:r>
        <w:rPr/>
        <w:t>horizon.</w:t>
      </w:r>
      <w:r>
        <w:rPr>
          <w:spacing w:val="-5"/>
        </w:rPr>
        <w:t> </w:t>
      </w:r>
      <w:r>
        <w:rPr/>
        <w:t>It</w:t>
      </w:r>
      <w:r>
        <w:rPr>
          <w:spacing w:val="-6"/>
        </w:rPr>
        <w:t> </w:t>
      </w:r>
      <w:r>
        <w:rPr/>
        <w:t>describes projects to be carried out, their estimated costs, a schedule for completing them, and a plan to pay for them. Financing plans from the City’s Capital Improvement Plan (CIP) are included under the</w:t>
      </w:r>
      <w:bookmarkStart w:name="GMA AND BACKGROUND" w:id="11"/>
      <w:bookmarkEnd w:id="11"/>
      <w:r>
        <w:rPr/>
      </w:r>
      <w:r>
        <w:rPr/>
        <w:t> Capital Facilities and Utilities Chapters in this</w:t>
      </w:r>
      <w:r>
        <w:rPr>
          <w:spacing w:val="-10"/>
        </w:rPr>
        <w:t> </w:t>
      </w:r>
      <w:r>
        <w:rPr/>
        <w:t>document.</w:t>
      </w:r>
    </w:p>
    <w:p>
      <w:pPr>
        <w:spacing w:before="201"/>
        <w:ind w:left="140" w:right="0" w:firstLine="0"/>
        <w:jc w:val="both"/>
        <w:rPr>
          <w:b/>
          <w:sz w:val="24"/>
        </w:rPr>
      </w:pPr>
      <w:r>
        <w:rPr>
          <w:b/>
          <w:sz w:val="24"/>
        </w:rPr>
        <w:t>GMA AND BACKGROUND</w:t>
      </w:r>
    </w:p>
    <w:p>
      <w:pPr>
        <w:pStyle w:val="BodyText"/>
        <w:spacing w:before="119"/>
        <w:ind w:left="140" w:right="337"/>
        <w:jc w:val="both"/>
      </w:pPr>
      <w:r>
        <w:rPr/>
        <w:t>The Washington State Growth Management Act (GMA) includes 14 broad goals for comprehensive planning,</w:t>
      </w:r>
      <w:r>
        <w:rPr>
          <w:spacing w:val="-8"/>
        </w:rPr>
        <w:t> </w:t>
      </w:r>
      <w:r>
        <w:rPr/>
        <w:t>which</w:t>
      </w:r>
      <w:r>
        <w:rPr>
          <w:spacing w:val="-6"/>
        </w:rPr>
        <w:t> </w:t>
      </w:r>
      <w:r>
        <w:rPr/>
        <w:t>local</w:t>
      </w:r>
      <w:r>
        <w:rPr>
          <w:spacing w:val="-7"/>
        </w:rPr>
        <w:t> </w:t>
      </w:r>
      <w:r>
        <w:rPr/>
        <w:t>governments</w:t>
      </w:r>
      <w:r>
        <w:rPr>
          <w:spacing w:val="-6"/>
        </w:rPr>
        <w:t> </w:t>
      </w:r>
      <w:r>
        <w:rPr/>
        <w:t>must</w:t>
      </w:r>
      <w:r>
        <w:rPr>
          <w:spacing w:val="-7"/>
        </w:rPr>
        <w:t> </w:t>
      </w:r>
      <w:r>
        <w:rPr/>
        <w:t>balance</w:t>
      </w:r>
      <w:r>
        <w:rPr>
          <w:spacing w:val="-6"/>
        </w:rPr>
        <w:t> </w:t>
      </w:r>
      <w:r>
        <w:rPr/>
        <w:t>to</w:t>
      </w:r>
      <w:r>
        <w:rPr>
          <w:spacing w:val="-9"/>
        </w:rPr>
        <w:t> </w:t>
      </w:r>
      <w:r>
        <w:rPr/>
        <w:t>develop</w:t>
      </w:r>
      <w:r>
        <w:rPr>
          <w:spacing w:val="-7"/>
        </w:rPr>
        <w:t> </w:t>
      </w:r>
      <w:r>
        <w:rPr/>
        <w:t>an</w:t>
      </w:r>
      <w:r>
        <w:rPr>
          <w:spacing w:val="-8"/>
        </w:rPr>
        <w:t> </w:t>
      </w:r>
      <w:r>
        <w:rPr/>
        <w:t>approach</w:t>
      </w:r>
      <w:r>
        <w:rPr>
          <w:spacing w:val="-6"/>
        </w:rPr>
        <w:t> </w:t>
      </w:r>
      <w:r>
        <w:rPr/>
        <w:t>consistent</w:t>
      </w:r>
      <w:r>
        <w:rPr>
          <w:spacing w:val="-7"/>
        </w:rPr>
        <w:t> </w:t>
      </w:r>
      <w:r>
        <w:rPr/>
        <w:t>with</w:t>
      </w:r>
      <w:r>
        <w:rPr>
          <w:spacing w:val="-6"/>
        </w:rPr>
        <w:t> </w:t>
      </w:r>
      <w:r>
        <w:rPr/>
        <w:t>their</w:t>
      </w:r>
      <w:r>
        <w:rPr>
          <w:spacing w:val="-7"/>
        </w:rPr>
        <w:t> </w:t>
      </w:r>
      <w:r>
        <w:rPr/>
        <w:t>vision of the future. The 14 GMA goals are as</w:t>
      </w:r>
      <w:r>
        <w:rPr>
          <w:spacing w:val="-13"/>
        </w:rPr>
        <w:t> </w:t>
      </w:r>
      <w:r>
        <w:rPr/>
        <w:t>follows:</w:t>
      </w:r>
    </w:p>
    <w:p>
      <w:pPr>
        <w:pStyle w:val="ListParagraph"/>
        <w:numPr>
          <w:ilvl w:val="3"/>
          <w:numId w:val="1"/>
        </w:numPr>
        <w:tabs>
          <w:tab w:pos="861" w:val="left" w:leader="none"/>
        </w:tabs>
        <w:spacing w:line="240" w:lineRule="auto" w:before="119" w:after="0"/>
        <w:ind w:left="860" w:right="336" w:hanging="360"/>
        <w:jc w:val="both"/>
        <w:rPr>
          <w:sz w:val="22"/>
        </w:rPr>
      </w:pPr>
      <w:r>
        <w:rPr>
          <w:sz w:val="22"/>
        </w:rPr>
        <w:t>Urban Growth - Encourage development in urban areas where adequate public facilities and services exist or can be provided in an efficient</w:t>
      </w:r>
      <w:r>
        <w:rPr>
          <w:spacing w:val="-14"/>
          <w:sz w:val="22"/>
        </w:rPr>
        <w:t> </w:t>
      </w:r>
      <w:r>
        <w:rPr>
          <w:sz w:val="22"/>
        </w:rPr>
        <w:t>manner.</w:t>
      </w:r>
    </w:p>
    <w:p>
      <w:pPr>
        <w:pStyle w:val="ListParagraph"/>
        <w:numPr>
          <w:ilvl w:val="3"/>
          <w:numId w:val="1"/>
        </w:numPr>
        <w:tabs>
          <w:tab w:pos="861" w:val="left" w:leader="none"/>
        </w:tabs>
        <w:spacing w:line="240" w:lineRule="auto" w:before="120" w:after="0"/>
        <w:ind w:left="860" w:right="334" w:hanging="361"/>
        <w:jc w:val="both"/>
        <w:rPr>
          <w:sz w:val="22"/>
        </w:rPr>
      </w:pPr>
      <w:r>
        <w:rPr>
          <w:sz w:val="22"/>
        </w:rPr>
        <w:t>Reduce Sprawl - Reduce inappropriate conversion of undeveloped land into sprawling, low- density</w:t>
      </w:r>
      <w:r>
        <w:rPr>
          <w:spacing w:val="-3"/>
          <w:sz w:val="22"/>
        </w:rPr>
        <w:t> </w:t>
      </w:r>
      <w:r>
        <w:rPr>
          <w:sz w:val="22"/>
        </w:rPr>
        <w:t>development.</w:t>
      </w:r>
    </w:p>
    <w:p>
      <w:pPr>
        <w:pStyle w:val="ListParagraph"/>
        <w:numPr>
          <w:ilvl w:val="3"/>
          <w:numId w:val="1"/>
        </w:numPr>
        <w:tabs>
          <w:tab w:pos="861" w:val="left" w:leader="none"/>
        </w:tabs>
        <w:spacing w:line="240" w:lineRule="auto" w:before="121" w:after="0"/>
        <w:ind w:left="860" w:right="334" w:hanging="361"/>
        <w:jc w:val="both"/>
        <w:rPr>
          <w:sz w:val="22"/>
        </w:rPr>
      </w:pPr>
      <w:r>
        <w:rPr>
          <w:sz w:val="22"/>
        </w:rPr>
        <w:t>Transportation - Encourage efficient multi-modal transportation systems based on regional priorities and coordinated with county and city comprehensive</w:t>
      </w:r>
      <w:r>
        <w:rPr>
          <w:spacing w:val="-11"/>
          <w:sz w:val="22"/>
        </w:rPr>
        <w:t> </w:t>
      </w:r>
      <w:r>
        <w:rPr>
          <w:sz w:val="22"/>
        </w:rPr>
        <w:t>plans.</w:t>
      </w:r>
    </w:p>
    <w:p>
      <w:pPr>
        <w:pStyle w:val="ListParagraph"/>
        <w:numPr>
          <w:ilvl w:val="3"/>
          <w:numId w:val="1"/>
        </w:numPr>
        <w:tabs>
          <w:tab w:pos="861" w:val="left" w:leader="none"/>
        </w:tabs>
        <w:spacing w:line="240" w:lineRule="auto" w:before="120" w:after="0"/>
        <w:ind w:left="860" w:right="335" w:hanging="360"/>
        <w:jc w:val="both"/>
        <w:rPr>
          <w:sz w:val="22"/>
        </w:rPr>
      </w:pPr>
      <w:r>
        <w:rPr>
          <w:sz w:val="22"/>
        </w:rPr>
        <w:t>Housing - Encourage the availability of affordable housing to all economic segments of the population of the state, promote a variety of residential densities and housing types, and encourage preservation of existing housing</w:t>
      </w:r>
      <w:r>
        <w:rPr>
          <w:spacing w:val="-5"/>
          <w:sz w:val="22"/>
        </w:rPr>
        <w:t> </w:t>
      </w:r>
      <w:r>
        <w:rPr>
          <w:sz w:val="22"/>
        </w:rPr>
        <w:t>stock.</w:t>
      </w:r>
    </w:p>
    <w:p>
      <w:pPr>
        <w:pStyle w:val="ListParagraph"/>
        <w:numPr>
          <w:ilvl w:val="3"/>
          <w:numId w:val="1"/>
        </w:numPr>
        <w:tabs>
          <w:tab w:pos="861" w:val="left" w:leader="none"/>
        </w:tabs>
        <w:spacing w:line="240" w:lineRule="auto" w:before="119" w:after="0"/>
        <w:ind w:left="860" w:right="335" w:hanging="361"/>
        <w:jc w:val="both"/>
        <w:rPr>
          <w:sz w:val="22"/>
        </w:rPr>
      </w:pPr>
      <w:r>
        <w:rPr>
          <w:sz w:val="22"/>
        </w:rPr>
        <w:t>Economic Development - Encourage economic development throughout the state consistent with adopted comprehensive plans, promote economic opportunity for all citizens of the state, especially for the unemployed and the disadvantaged, and encourage growth in areas experiencing insufficient economic growth, all within the capacity of the state’s natural resources, public services, and public</w:t>
      </w:r>
      <w:r>
        <w:rPr>
          <w:spacing w:val="-6"/>
          <w:sz w:val="22"/>
        </w:rPr>
        <w:t> </w:t>
      </w:r>
      <w:r>
        <w:rPr>
          <w:sz w:val="22"/>
        </w:rPr>
        <w:t>facilities.</w:t>
      </w:r>
    </w:p>
    <w:p>
      <w:pPr>
        <w:pStyle w:val="ListParagraph"/>
        <w:numPr>
          <w:ilvl w:val="3"/>
          <w:numId w:val="1"/>
        </w:numPr>
        <w:tabs>
          <w:tab w:pos="861" w:val="left" w:leader="none"/>
        </w:tabs>
        <w:spacing w:line="240" w:lineRule="auto" w:before="122" w:after="0"/>
        <w:ind w:left="860" w:right="335" w:hanging="361"/>
        <w:jc w:val="both"/>
        <w:rPr>
          <w:sz w:val="22"/>
        </w:rPr>
      </w:pPr>
      <w:r>
        <w:rPr>
          <w:sz w:val="22"/>
        </w:rPr>
        <w:t>Property Rights - Private property shall not be taken for public use without just compensation. The property rights of landowners shall be protected from arbitrary and discriminatory</w:t>
      </w:r>
      <w:r>
        <w:rPr>
          <w:spacing w:val="-3"/>
          <w:sz w:val="22"/>
        </w:rPr>
        <w:t> </w:t>
      </w:r>
      <w:r>
        <w:rPr>
          <w:sz w:val="22"/>
        </w:rPr>
        <w:t>action.</w:t>
      </w:r>
    </w:p>
    <w:p>
      <w:pPr>
        <w:pStyle w:val="ListParagraph"/>
        <w:numPr>
          <w:ilvl w:val="3"/>
          <w:numId w:val="1"/>
        </w:numPr>
        <w:tabs>
          <w:tab w:pos="861" w:val="left" w:leader="none"/>
        </w:tabs>
        <w:spacing w:line="240" w:lineRule="auto" w:before="119" w:after="0"/>
        <w:ind w:left="860" w:right="335" w:hanging="361"/>
        <w:jc w:val="both"/>
        <w:rPr>
          <w:sz w:val="22"/>
        </w:rPr>
      </w:pPr>
      <w:r>
        <w:rPr>
          <w:sz w:val="22"/>
        </w:rPr>
        <w:t>Permits</w:t>
      </w:r>
      <w:r>
        <w:rPr>
          <w:spacing w:val="-6"/>
          <w:sz w:val="22"/>
        </w:rPr>
        <w:t> </w:t>
      </w:r>
      <w:r>
        <w:rPr>
          <w:sz w:val="22"/>
        </w:rPr>
        <w:t>-</w:t>
      </w:r>
      <w:r>
        <w:rPr>
          <w:spacing w:val="-2"/>
          <w:sz w:val="22"/>
        </w:rPr>
        <w:t> </w:t>
      </w:r>
      <w:r>
        <w:rPr>
          <w:sz w:val="22"/>
        </w:rPr>
        <w:t>Application</w:t>
      </w:r>
      <w:r>
        <w:rPr>
          <w:spacing w:val="-5"/>
          <w:sz w:val="22"/>
        </w:rPr>
        <w:t> </w:t>
      </w:r>
      <w:r>
        <w:rPr>
          <w:sz w:val="22"/>
        </w:rPr>
        <w:t>for</w:t>
      </w:r>
      <w:r>
        <w:rPr>
          <w:spacing w:val="-6"/>
          <w:sz w:val="22"/>
        </w:rPr>
        <w:t> </w:t>
      </w:r>
      <w:r>
        <w:rPr>
          <w:sz w:val="22"/>
        </w:rPr>
        <w:t>state</w:t>
      </w:r>
      <w:r>
        <w:rPr>
          <w:spacing w:val="-4"/>
          <w:sz w:val="22"/>
        </w:rPr>
        <w:t> </w:t>
      </w:r>
      <w:r>
        <w:rPr>
          <w:sz w:val="22"/>
        </w:rPr>
        <w:t>and</w:t>
      </w:r>
      <w:r>
        <w:rPr>
          <w:spacing w:val="-4"/>
          <w:sz w:val="22"/>
        </w:rPr>
        <w:t> </w:t>
      </w:r>
      <w:r>
        <w:rPr>
          <w:sz w:val="22"/>
        </w:rPr>
        <w:t>local</w:t>
      </w:r>
      <w:r>
        <w:rPr>
          <w:spacing w:val="-7"/>
          <w:sz w:val="22"/>
        </w:rPr>
        <w:t> </w:t>
      </w:r>
      <w:r>
        <w:rPr>
          <w:sz w:val="22"/>
        </w:rPr>
        <w:t>government</w:t>
      </w:r>
      <w:r>
        <w:rPr>
          <w:spacing w:val="-6"/>
          <w:sz w:val="22"/>
        </w:rPr>
        <w:t> </w:t>
      </w:r>
      <w:r>
        <w:rPr>
          <w:sz w:val="22"/>
        </w:rPr>
        <w:t>permits</w:t>
      </w:r>
      <w:r>
        <w:rPr>
          <w:spacing w:val="-6"/>
          <w:sz w:val="22"/>
        </w:rPr>
        <w:t> </w:t>
      </w:r>
      <w:r>
        <w:rPr>
          <w:sz w:val="22"/>
        </w:rPr>
        <w:t>should</w:t>
      </w:r>
      <w:r>
        <w:rPr>
          <w:spacing w:val="-4"/>
          <w:sz w:val="22"/>
        </w:rPr>
        <w:t> </w:t>
      </w:r>
      <w:r>
        <w:rPr>
          <w:sz w:val="22"/>
        </w:rPr>
        <w:t>be</w:t>
      </w:r>
      <w:r>
        <w:rPr>
          <w:spacing w:val="-4"/>
          <w:sz w:val="22"/>
        </w:rPr>
        <w:t> </w:t>
      </w:r>
      <w:r>
        <w:rPr>
          <w:sz w:val="22"/>
        </w:rPr>
        <w:t>processed</w:t>
      </w:r>
      <w:r>
        <w:rPr>
          <w:spacing w:val="-6"/>
          <w:sz w:val="22"/>
        </w:rPr>
        <w:t> </w:t>
      </w:r>
      <w:r>
        <w:rPr>
          <w:sz w:val="22"/>
        </w:rPr>
        <w:t>in</w:t>
      </w:r>
      <w:r>
        <w:rPr>
          <w:spacing w:val="-5"/>
          <w:sz w:val="22"/>
        </w:rPr>
        <w:t> </w:t>
      </w:r>
      <w:r>
        <w:rPr>
          <w:sz w:val="22"/>
        </w:rPr>
        <w:t>a</w:t>
      </w:r>
      <w:r>
        <w:rPr>
          <w:spacing w:val="-3"/>
          <w:sz w:val="22"/>
        </w:rPr>
        <w:t> </w:t>
      </w:r>
      <w:r>
        <w:rPr>
          <w:sz w:val="22"/>
        </w:rPr>
        <w:t>timely and fair</w:t>
      </w:r>
      <w:r>
        <w:rPr>
          <w:spacing w:val="-5"/>
          <w:sz w:val="22"/>
        </w:rPr>
        <w:t> </w:t>
      </w:r>
      <w:r>
        <w:rPr>
          <w:sz w:val="22"/>
        </w:rPr>
        <w:t>manner.</w:t>
      </w:r>
    </w:p>
    <w:p>
      <w:pPr>
        <w:pStyle w:val="ListParagraph"/>
        <w:numPr>
          <w:ilvl w:val="3"/>
          <w:numId w:val="1"/>
        </w:numPr>
        <w:tabs>
          <w:tab w:pos="861" w:val="left" w:leader="none"/>
        </w:tabs>
        <w:spacing w:line="240" w:lineRule="auto" w:before="120" w:after="0"/>
        <w:ind w:left="860" w:right="333" w:hanging="361"/>
        <w:jc w:val="both"/>
        <w:rPr>
          <w:sz w:val="22"/>
        </w:rPr>
      </w:pPr>
      <w:r>
        <w:rPr>
          <w:sz w:val="22"/>
        </w:rPr>
        <w:t>Natural Resource Industries - Maintain and enhance natural resource-based industries, including productive timber, agricultural, and fisheries industries. Encourage the conservation of productive forest lands and productive agricultural lands, and discourage incompatible</w:t>
      </w:r>
      <w:r>
        <w:rPr>
          <w:spacing w:val="-1"/>
          <w:sz w:val="22"/>
        </w:rPr>
        <w:t> </w:t>
      </w:r>
      <w:r>
        <w:rPr>
          <w:sz w:val="22"/>
        </w:rPr>
        <w:t>uses.</w:t>
      </w:r>
    </w:p>
    <w:p>
      <w:pPr>
        <w:pStyle w:val="ListParagraph"/>
        <w:numPr>
          <w:ilvl w:val="3"/>
          <w:numId w:val="1"/>
        </w:numPr>
        <w:tabs>
          <w:tab w:pos="861" w:val="left" w:leader="none"/>
        </w:tabs>
        <w:spacing w:line="240" w:lineRule="auto" w:before="120" w:after="0"/>
        <w:ind w:left="861" w:right="334" w:hanging="361"/>
        <w:jc w:val="both"/>
        <w:rPr>
          <w:sz w:val="22"/>
        </w:rPr>
      </w:pPr>
      <w:r>
        <w:rPr>
          <w:sz w:val="22"/>
        </w:rPr>
        <w:t>Open Space and Recreation - Encourage the retention of open space and development of recreation opportunities, conserve fish and wildlife habitat, increase access to natural resource lands and water, and develop</w:t>
      </w:r>
      <w:r>
        <w:rPr>
          <w:spacing w:val="-8"/>
          <w:sz w:val="22"/>
        </w:rPr>
        <w:t> </w:t>
      </w:r>
      <w:r>
        <w:rPr>
          <w:sz w:val="22"/>
        </w:rPr>
        <w:t>parks.</w:t>
      </w:r>
    </w:p>
    <w:p>
      <w:pPr>
        <w:pStyle w:val="ListParagraph"/>
        <w:numPr>
          <w:ilvl w:val="3"/>
          <w:numId w:val="1"/>
        </w:numPr>
        <w:tabs>
          <w:tab w:pos="861" w:val="left" w:leader="none"/>
        </w:tabs>
        <w:spacing w:line="240" w:lineRule="auto" w:before="120" w:after="0"/>
        <w:ind w:left="860" w:right="336" w:hanging="360"/>
        <w:jc w:val="both"/>
        <w:rPr>
          <w:sz w:val="22"/>
        </w:rPr>
      </w:pPr>
      <w:r>
        <w:rPr>
          <w:sz w:val="22"/>
        </w:rPr>
        <w:t>Environment</w:t>
      </w:r>
      <w:r>
        <w:rPr>
          <w:spacing w:val="-4"/>
          <w:sz w:val="22"/>
        </w:rPr>
        <w:t> </w:t>
      </w:r>
      <w:r>
        <w:rPr>
          <w:sz w:val="22"/>
        </w:rPr>
        <w:t>-</w:t>
      </w:r>
      <w:r>
        <w:rPr>
          <w:spacing w:val="-3"/>
          <w:sz w:val="22"/>
        </w:rPr>
        <w:t> </w:t>
      </w:r>
      <w:r>
        <w:rPr>
          <w:sz w:val="22"/>
        </w:rPr>
        <w:t>Protect</w:t>
      </w:r>
      <w:r>
        <w:rPr>
          <w:spacing w:val="-4"/>
          <w:sz w:val="22"/>
        </w:rPr>
        <w:t> </w:t>
      </w:r>
      <w:r>
        <w:rPr>
          <w:sz w:val="22"/>
        </w:rPr>
        <w:t>the</w:t>
      </w:r>
      <w:r>
        <w:rPr>
          <w:spacing w:val="-7"/>
          <w:sz w:val="22"/>
        </w:rPr>
        <w:t> </w:t>
      </w:r>
      <w:r>
        <w:rPr>
          <w:sz w:val="22"/>
        </w:rPr>
        <w:t>environment</w:t>
      </w:r>
      <w:r>
        <w:rPr>
          <w:spacing w:val="-4"/>
          <w:sz w:val="22"/>
        </w:rPr>
        <w:t> </w:t>
      </w:r>
      <w:r>
        <w:rPr>
          <w:sz w:val="22"/>
        </w:rPr>
        <w:t>and</w:t>
      </w:r>
      <w:r>
        <w:rPr>
          <w:spacing w:val="-4"/>
          <w:sz w:val="22"/>
        </w:rPr>
        <w:t> </w:t>
      </w:r>
      <w:r>
        <w:rPr>
          <w:sz w:val="22"/>
        </w:rPr>
        <w:t>enhance</w:t>
      </w:r>
      <w:r>
        <w:rPr>
          <w:spacing w:val="-3"/>
          <w:sz w:val="22"/>
        </w:rPr>
        <w:t> </w:t>
      </w:r>
      <w:r>
        <w:rPr>
          <w:sz w:val="22"/>
        </w:rPr>
        <w:t>the</w:t>
      </w:r>
      <w:r>
        <w:rPr>
          <w:spacing w:val="-4"/>
          <w:sz w:val="22"/>
        </w:rPr>
        <w:t> </w:t>
      </w:r>
      <w:r>
        <w:rPr>
          <w:sz w:val="22"/>
        </w:rPr>
        <w:t>state’s</w:t>
      </w:r>
      <w:r>
        <w:rPr>
          <w:spacing w:val="-3"/>
          <w:sz w:val="22"/>
        </w:rPr>
        <w:t> </w:t>
      </w:r>
      <w:r>
        <w:rPr>
          <w:sz w:val="22"/>
        </w:rPr>
        <w:t>high</w:t>
      </w:r>
      <w:r>
        <w:rPr>
          <w:spacing w:val="-3"/>
          <w:sz w:val="22"/>
        </w:rPr>
        <w:t> </w:t>
      </w:r>
      <w:r>
        <w:rPr>
          <w:sz w:val="22"/>
        </w:rPr>
        <w:t>quality</w:t>
      </w:r>
      <w:r>
        <w:rPr>
          <w:spacing w:val="-5"/>
          <w:sz w:val="22"/>
        </w:rPr>
        <w:t> </w:t>
      </w:r>
      <w:r>
        <w:rPr>
          <w:sz w:val="22"/>
        </w:rPr>
        <w:t>of</w:t>
      </w:r>
      <w:r>
        <w:rPr>
          <w:spacing w:val="-3"/>
          <w:sz w:val="22"/>
        </w:rPr>
        <w:t> </w:t>
      </w:r>
      <w:r>
        <w:rPr>
          <w:sz w:val="22"/>
        </w:rPr>
        <w:t>life,</w:t>
      </w:r>
      <w:r>
        <w:rPr>
          <w:spacing w:val="-4"/>
          <w:sz w:val="22"/>
        </w:rPr>
        <w:t> </w:t>
      </w:r>
      <w:r>
        <w:rPr>
          <w:sz w:val="22"/>
        </w:rPr>
        <w:t>including air and water quality, and the availability of</w:t>
      </w:r>
      <w:r>
        <w:rPr>
          <w:spacing w:val="-12"/>
          <w:sz w:val="22"/>
        </w:rPr>
        <w:t> </w:t>
      </w:r>
      <w:r>
        <w:rPr>
          <w:sz w:val="22"/>
        </w:rPr>
        <w:t>water.</w:t>
      </w:r>
    </w:p>
    <w:p>
      <w:pPr>
        <w:pStyle w:val="ListParagraph"/>
        <w:numPr>
          <w:ilvl w:val="3"/>
          <w:numId w:val="1"/>
        </w:numPr>
        <w:tabs>
          <w:tab w:pos="861" w:val="left" w:leader="none"/>
        </w:tabs>
        <w:spacing w:line="240" w:lineRule="auto" w:before="120" w:after="0"/>
        <w:ind w:left="860" w:right="333" w:hanging="360"/>
        <w:jc w:val="both"/>
        <w:rPr>
          <w:sz w:val="22"/>
        </w:rPr>
      </w:pPr>
      <w:r>
        <w:rPr>
          <w:sz w:val="22"/>
        </w:rPr>
        <w:t>Citizen Participation and Coordination - Encourage the involvement of citizens in the planning</w:t>
      </w:r>
      <w:r>
        <w:rPr>
          <w:spacing w:val="-6"/>
          <w:sz w:val="22"/>
        </w:rPr>
        <w:t> </w:t>
      </w:r>
      <w:r>
        <w:rPr>
          <w:sz w:val="22"/>
        </w:rPr>
        <w:t>process</w:t>
      </w:r>
      <w:r>
        <w:rPr>
          <w:spacing w:val="-7"/>
          <w:sz w:val="22"/>
        </w:rPr>
        <w:t> </w:t>
      </w:r>
      <w:r>
        <w:rPr>
          <w:sz w:val="22"/>
        </w:rPr>
        <w:t>and</w:t>
      </w:r>
      <w:r>
        <w:rPr>
          <w:spacing w:val="-7"/>
          <w:sz w:val="22"/>
        </w:rPr>
        <w:t> </w:t>
      </w:r>
      <w:r>
        <w:rPr>
          <w:sz w:val="22"/>
        </w:rPr>
        <w:t>ensure</w:t>
      </w:r>
      <w:r>
        <w:rPr>
          <w:spacing w:val="-7"/>
          <w:sz w:val="22"/>
        </w:rPr>
        <w:t> </w:t>
      </w:r>
      <w:r>
        <w:rPr>
          <w:sz w:val="22"/>
        </w:rPr>
        <w:t>coordination</w:t>
      </w:r>
      <w:r>
        <w:rPr>
          <w:spacing w:val="-8"/>
          <w:sz w:val="22"/>
        </w:rPr>
        <w:t> </w:t>
      </w:r>
      <w:r>
        <w:rPr>
          <w:sz w:val="22"/>
        </w:rPr>
        <w:t>between</w:t>
      </w:r>
      <w:r>
        <w:rPr>
          <w:spacing w:val="-10"/>
          <w:sz w:val="22"/>
        </w:rPr>
        <w:t> </w:t>
      </w:r>
      <w:r>
        <w:rPr>
          <w:sz w:val="22"/>
        </w:rPr>
        <w:t>communities</w:t>
      </w:r>
      <w:r>
        <w:rPr>
          <w:spacing w:val="-6"/>
          <w:sz w:val="22"/>
        </w:rPr>
        <w:t> </w:t>
      </w:r>
      <w:r>
        <w:rPr>
          <w:sz w:val="22"/>
        </w:rPr>
        <w:t>and</w:t>
      </w:r>
      <w:r>
        <w:rPr>
          <w:spacing w:val="-7"/>
          <w:sz w:val="22"/>
        </w:rPr>
        <w:t> </w:t>
      </w:r>
      <w:r>
        <w:rPr>
          <w:sz w:val="22"/>
        </w:rPr>
        <w:t>jurisdictions</w:t>
      </w:r>
      <w:r>
        <w:rPr>
          <w:spacing w:val="-6"/>
          <w:sz w:val="22"/>
        </w:rPr>
        <w:t> </w:t>
      </w:r>
      <w:r>
        <w:rPr>
          <w:sz w:val="22"/>
        </w:rPr>
        <w:t>to</w:t>
      </w:r>
      <w:r>
        <w:rPr>
          <w:spacing w:val="-6"/>
          <w:sz w:val="22"/>
        </w:rPr>
        <w:t> </w:t>
      </w:r>
      <w:r>
        <w:rPr>
          <w:sz w:val="22"/>
        </w:rPr>
        <w:t>resolve conflicts.</w:t>
      </w:r>
    </w:p>
    <w:p>
      <w:pPr>
        <w:spacing w:after="0" w:line="240" w:lineRule="auto"/>
        <w:jc w:val="both"/>
        <w:rPr>
          <w:sz w:val="22"/>
        </w:rPr>
        <w:sectPr>
          <w:pgSz w:w="12240" w:h="15840"/>
          <w:pgMar w:header="0" w:footer="1132" w:top="1360" w:bottom="1320" w:left="1300" w:right="1100"/>
        </w:sectPr>
      </w:pPr>
    </w:p>
    <w:p>
      <w:pPr>
        <w:pStyle w:val="ListParagraph"/>
        <w:numPr>
          <w:ilvl w:val="3"/>
          <w:numId w:val="1"/>
        </w:numPr>
        <w:tabs>
          <w:tab w:pos="860" w:val="left" w:leader="none"/>
        </w:tabs>
        <w:spacing w:line="240" w:lineRule="auto" w:before="80" w:after="0"/>
        <w:ind w:left="859" w:right="334" w:hanging="360"/>
        <w:jc w:val="both"/>
        <w:rPr>
          <w:sz w:val="22"/>
        </w:rPr>
      </w:pPr>
      <w:r>
        <w:rPr>
          <w:sz w:val="22"/>
        </w:rPr>
        <w:t>Public Facilities and Service - Ensure that public facilities and services necessary to support development</w:t>
      </w:r>
      <w:r>
        <w:rPr>
          <w:spacing w:val="-9"/>
          <w:sz w:val="22"/>
        </w:rPr>
        <w:t> </w:t>
      </w:r>
      <w:r>
        <w:rPr>
          <w:sz w:val="22"/>
        </w:rPr>
        <w:t>are</w:t>
      </w:r>
      <w:r>
        <w:rPr>
          <w:spacing w:val="-8"/>
          <w:sz w:val="22"/>
        </w:rPr>
        <w:t> </w:t>
      </w:r>
      <w:r>
        <w:rPr>
          <w:sz w:val="22"/>
        </w:rPr>
        <w:t>adequate</w:t>
      </w:r>
      <w:r>
        <w:rPr>
          <w:spacing w:val="-9"/>
          <w:sz w:val="22"/>
        </w:rPr>
        <w:t> </w:t>
      </w:r>
      <w:r>
        <w:rPr>
          <w:sz w:val="22"/>
        </w:rPr>
        <w:t>to</w:t>
      </w:r>
      <w:r>
        <w:rPr>
          <w:spacing w:val="-8"/>
          <w:sz w:val="22"/>
        </w:rPr>
        <w:t> </w:t>
      </w:r>
      <w:r>
        <w:rPr>
          <w:sz w:val="22"/>
        </w:rPr>
        <w:t>serve</w:t>
      </w:r>
      <w:r>
        <w:rPr>
          <w:spacing w:val="-8"/>
          <w:sz w:val="22"/>
        </w:rPr>
        <w:t> </w:t>
      </w:r>
      <w:r>
        <w:rPr>
          <w:sz w:val="22"/>
        </w:rPr>
        <w:t>the</w:t>
      </w:r>
      <w:r>
        <w:rPr>
          <w:spacing w:val="-9"/>
          <w:sz w:val="22"/>
        </w:rPr>
        <w:t> </w:t>
      </w:r>
      <w:r>
        <w:rPr>
          <w:sz w:val="22"/>
        </w:rPr>
        <w:t>development</w:t>
      </w:r>
      <w:r>
        <w:rPr>
          <w:spacing w:val="-8"/>
          <w:sz w:val="22"/>
        </w:rPr>
        <w:t> </w:t>
      </w:r>
      <w:r>
        <w:rPr>
          <w:sz w:val="22"/>
        </w:rPr>
        <w:t>at</w:t>
      </w:r>
      <w:r>
        <w:rPr>
          <w:spacing w:val="-9"/>
          <w:sz w:val="22"/>
        </w:rPr>
        <w:t> </w:t>
      </w:r>
      <w:r>
        <w:rPr>
          <w:sz w:val="22"/>
        </w:rPr>
        <w:t>the</w:t>
      </w:r>
      <w:r>
        <w:rPr>
          <w:spacing w:val="-8"/>
          <w:sz w:val="22"/>
        </w:rPr>
        <w:t> </w:t>
      </w:r>
      <w:r>
        <w:rPr>
          <w:sz w:val="22"/>
        </w:rPr>
        <w:t>time</w:t>
      </w:r>
      <w:r>
        <w:rPr>
          <w:spacing w:val="-8"/>
          <w:sz w:val="22"/>
        </w:rPr>
        <w:t> </w:t>
      </w:r>
      <w:r>
        <w:rPr>
          <w:sz w:val="22"/>
        </w:rPr>
        <w:t>the</w:t>
      </w:r>
      <w:r>
        <w:rPr>
          <w:spacing w:val="-9"/>
          <w:sz w:val="22"/>
        </w:rPr>
        <w:t> </w:t>
      </w:r>
      <w:r>
        <w:rPr>
          <w:sz w:val="22"/>
        </w:rPr>
        <w:t>development</w:t>
      </w:r>
      <w:r>
        <w:rPr>
          <w:spacing w:val="-8"/>
          <w:sz w:val="22"/>
        </w:rPr>
        <w:t> </w:t>
      </w:r>
      <w:r>
        <w:rPr>
          <w:sz w:val="22"/>
        </w:rPr>
        <w:t>is</w:t>
      </w:r>
      <w:r>
        <w:rPr>
          <w:spacing w:val="-8"/>
          <w:sz w:val="22"/>
        </w:rPr>
        <w:t> </w:t>
      </w:r>
      <w:r>
        <w:rPr>
          <w:sz w:val="22"/>
        </w:rPr>
        <w:t>available for occupancy and use, without decreasing the current service levels below locally established minimum</w:t>
      </w:r>
      <w:r>
        <w:rPr>
          <w:spacing w:val="-6"/>
          <w:sz w:val="22"/>
        </w:rPr>
        <w:t> </w:t>
      </w:r>
      <w:r>
        <w:rPr>
          <w:sz w:val="22"/>
        </w:rPr>
        <w:t>standards.</w:t>
      </w:r>
    </w:p>
    <w:p>
      <w:pPr>
        <w:pStyle w:val="ListParagraph"/>
        <w:numPr>
          <w:ilvl w:val="3"/>
          <w:numId w:val="1"/>
        </w:numPr>
        <w:tabs>
          <w:tab w:pos="860" w:val="left" w:leader="none"/>
        </w:tabs>
        <w:spacing w:line="240" w:lineRule="auto" w:before="120" w:after="0"/>
        <w:ind w:left="859" w:right="336" w:hanging="361"/>
        <w:jc w:val="both"/>
        <w:rPr>
          <w:sz w:val="22"/>
        </w:rPr>
      </w:pPr>
      <w:r>
        <w:rPr>
          <w:sz w:val="22"/>
        </w:rPr>
        <w:t>Historic</w:t>
      </w:r>
      <w:r>
        <w:rPr>
          <w:spacing w:val="-9"/>
          <w:sz w:val="22"/>
        </w:rPr>
        <w:t> </w:t>
      </w:r>
      <w:r>
        <w:rPr>
          <w:sz w:val="22"/>
        </w:rPr>
        <w:t>Preservation</w:t>
      </w:r>
      <w:r>
        <w:rPr>
          <w:spacing w:val="-10"/>
          <w:sz w:val="22"/>
        </w:rPr>
        <w:t> </w:t>
      </w:r>
      <w:r>
        <w:rPr>
          <w:sz w:val="22"/>
        </w:rPr>
        <w:t>-</w:t>
      </w:r>
      <w:r>
        <w:rPr>
          <w:spacing w:val="-9"/>
          <w:sz w:val="22"/>
        </w:rPr>
        <w:t> </w:t>
      </w:r>
      <w:r>
        <w:rPr>
          <w:sz w:val="22"/>
        </w:rPr>
        <w:t>Identify</w:t>
      </w:r>
      <w:r>
        <w:rPr>
          <w:spacing w:val="-10"/>
          <w:sz w:val="22"/>
        </w:rPr>
        <w:t> </w:t>
      </w:r>
      <w:r>
        <w:rPr>
          <w:sz w:val="22"/>
        </w:rPr>
        <w:t>and</w:t>
      </w:r>
      <w:r>
        <w:rPr>
          <w:spacing w:val="-10"/>
          <w:sz w:val="22"/>
        </w:rPr>
        <w:t> </w:t>
      </w:r>
      <w:r>
        <w:rPr>
          <w:sz w:val="22"/>
        </w:rPr>
        <w:t>encourage</w:t>
      </w:r>
      <w:r>
        <w:rPr>
          <w:spacing w:val="-9"/>
          <w:sz w:val="22"/>
        </w:rPr>
        <w:t> </w:t>
      </w:r>
      <w:r>
        <w:rPr>
          <w:sz w:val="22"/>
        </w:rPr>
        <w:t>the</w:t>
      </w:r>
      <w:r>
        <w:rPr>
          <w:spacing w:val="-9"/>
          <w:sz w:val="22"/>
        </w:rPr>
        <w:t> </w:t>
      </w:r>
      <w:r>
        <w:rPr>
          <w:sz w:val="22"/>
        </w:rPr>
        <w:t>preservation</w:t>
      </w:r>
      <w:r>
        <w:rPr>
          <w:spacing w:val="-11"/>
          <w:sz w:val="22"/>
        </w:rPr>
        <w:t> </w:t>
      </w:r>
      <w:r>
        <w:rPr>
          <w:sz w:val="22"/>
        </w:rPr>
        <w:t>of</w:t>
      </w:r>
      <w:r>
        <w:rPr>
          <w:spacing w:val="-9"/>
          <w:sz w:val="22"/>
        </w:rPr>
        <w:t> </w:t>
      </w:r>
      <w:r>
        <w:rPr>
          <w:sz w:val="22"/>
        </w:rPr>
        <w:t>lands,</w:t>
      </w:r>
      <w:r>
        <w:rPr>
          <w:spacing w:val="-10"/>
          <w:sz w:val="22"/>
        </w:rPr>
        <w:t> </w:t>
      </w:r>
      <w:r>
        <w:rPr>
          <w:sz w:val="22"/>
        </w:rPr>
        <w:t>sites,</w:t>
      </w:r>
      <w:r>
        <w:rPr>
          <w:spacing w:val="-9"/>
          <w:sz w:val="22"/>
        </w:rPr>
        <w:t> </w:t>
      </w:r>
      <w:r>
        <w:rPr>
          <w:sz w:val="22"/>
        </w:rPr>
        <w:t>and</w:t>
      </w:r>
      <w:r>
        <w:rPr>
          <w:spacing w:val="-9"/>
          <w:sz w:val="22"/>
        </w:rPr>
        <w:t> </w:t>
      </w:r>
      <w:r>
        <w:rPr>
          <w:sz w:val="22"/>
        </w:rPr>
        <w:t>structures that have historical or archaeological</w:t>
      </w:r>
      <w:r>
        <w:rPr>
          <w:spacing w:val="-8"/>
          <w:sz w:val="22"/>
        </w:rPr>
        <w:t> </w:t>
      </w:r>
      <w:r>
        <w:rPr>
          <w:sz w:val="22"/>
        </w:rPr>
        <w:t>significance.</w:t>
      </w:r>
    </w:p>
    <w:p>
      <w:pPr>
        <w:pStyle w:val="ListParagraph"/>
        <w:numPr>
          <w:ilvl w:val="3"/>
          <w:numId w:val="1"/>
        </w:numPr>
        <w:tabs>
          <w:tab w:pos="860" w:val="left" w:leader="none"/>
        </w:tabs>
        <w:spacing w:line="240" w:lineRule="auto" w:before="120" w:after="0"/>
        <w:ind w:left="859" w:right="334" w:hanging="360"/>
        <w:jc w:val="both"/>
        <w:rPr>
          <w:sz w:val="22"/>
        </w:rPr>
      </w:pPr>
      <w:r>
        <w:rPr>
          <w:sz w:val="22"/>
        </w:rPr>
        <w:t>Shoreline Management – Develop a Shoreline Master Program (SMP) pursuant to Shoreline Management</w:t>
      </w:r>
      <w:r>
        <w:rPr>
          <w:spacing w:val="-7"/>
          <w:sz w:val="22"/>
        </w:rPr>
        <w:t> </w:t>
      </w:r>
      <w:r>
        <w:rPr>
          <w:sz w:val="22"/>
        </w:rPr>
        <w:t>Act</w:t>
      </w:r>
      <w:r>
        <w:rPr>
          <w:spacing w:val="-6"/>
          <w:sz w:val="22"/>
        </w:rPr>
        <w:t> </w:t>
      </w:r>
      <w:r>
        <w:rPr>
          <w:sz w:val="22"/>
        </w:rPr>
        <w:t>(SMA).</w:t>
      </w:r>
      <w:r>
        <w:rPr>
          <w:spacing w:val="-5"/>
          <w:sz w:val="22"/>
        </w:rPr>
        <w:t> </w:t>
      </w:r>
      <w:r>
        <w:rPr>
          <w:sz w:val="22"/>
        </w:rPr>
        <w:t>The</w:t>
      </w:r>
      <w:r>
        <w:rPr>
          <w:spacing w:val="-5"/>
          <w:sz w:val="22"/>
        </w:rPr>
        <w:t> </w:t>
      </w:r>
      <w:r>
        <w:rPr>
          <w:sz w:val="22"/>
        </w:rPr>
        <w:t>goals</w:t>
      </w:r>
      <w:r>
        <w:rPr>
          <w:spacing w:val="-6"/>
          <w:sz w:val="22"/>
        </w:rPr>
        <w:t> </w:t>
      </w:r>
      <w:r>
        <w:rPr>
          <w:sz w:val="22"/>
        </w:rPr>
        <w:t>and</w:t>
      </w:r>
      <w:r>
        <w:rPr>
          <w:spacing w:val="-6"/>
          <w:sz w:val="22"/>
        </w:rPr>
        <w:t> </w:t>
      </w:r>
      <w:r>
        <w:rPr>
          <w:sz w:val="22"/>
        </w:rPr>
        <w:t>policies</w:t>
      </w:r>
      <w:r>
        <w:rPr>
          <w:spacing w:val="-5"/>
          <w:sz w:val="22"/>
        </w:rPr>
        <w:t> </w:t>
      </w:r>
      <w:r>
        <w:rPr>
          <w:sz w:val="22"/>
        </w:rPr>
        <w:t>of</w:t>
      </w:r>
      <w:r>
        <w:rPr>
          <w:spacing w:val="-6"/>
          <w:sz w:val="22"/>
        </w:rPr>
        <w:t> </w:t>
      </w:r>
      <w:r>
        <w:rPr>
          <w:sz w:val="22"/>
        </w:rPr>
        <w:t>a</w:t>
      </w:r>
      <w:r>
        <w:rPr>
          <w:spacing w:val="-6"/>
          <w:sz w:val="22"/>
        </w:rPr>
        <w:t> </w:t>
      </w:r>
      <w:r>
        <w:rPr>
          <w:sz w:val="22"/>
        </w:rPr>
        <w:t>shoreline</w:t>
      </w:r>
      <w:r>
        <w:rPr>
          <w:spacing w:val="-5"/>
          <w:sz w:val="22"/>
        </w:rPr>
        <w:t> </w:t>
      </w:r>
      <w:r>
        <w:rPr>
          <w:sz w:val="22"/>
        </w:rPr>
        <w:t>master</w:t>
      </w:r>
      <w:r>
        <w:rPr>
          <w:spacing w:val="-6"/>
          <w:sz w:val="22"/>
        </w:rPr>
        <w:t> </w:t>
      </w:r>
      <w:r>
        <w:rPr>
          <w:sz w:val="22"/>
        </w:rPr>
        <w:t>program</w:t>
      </w:r>
      <w:r>
        <w:rPr>
          <w:spacing w:val="-6"/>
          <w:sz w:val="22"/>
        </w:rPr>
        <w:t> </w:t>
      </w:r>
      <w:r>
        <w:rPr>
          <w:sz w:val="22"/>
        </w:rPr>
        <w:t>for</w:t>
      </w:r>
      <w:r>
        <w:rPr>
          <w:spacing w:val="-6"/>
          <w:sz w:val="22"/>
        </w:rPr>
        <w:t> </w:t>
      </w:r>
      <w:r>
        <w:rPr>
          <w:sz w:val="22"/>
        </w:rPr>
        <w:t>a</w:t>
      </w:r>
      <w:r>
        <w:rPr>
          <w:spacing w:val="-6"/>
          <w:sz w:val="22"/>
        </w:rPr>
        <w:t> </w:t>
      </w:r>
      <w:r>
        <w:rPr>
          <w:sz w:val="22"/>
        </w:rPr>
        <w:t>county</w:t>
      </w:r>
      <w:r>
        <w:rPr>
          <w:spacing w:val="-7"/>
          <w:sz w:val="22"/>
        </w:rPr>
        <w:t> </w:t>
      </w:r>
      <w:r>
        <w:rPr>
          <w:sz w:val="22"/>
        </w:rPr>
        <w:t>or city approved under chapter 90.58 RCW shall be considered a part of the county or city's comprehensive</w:t>
      </w:r>
      <w:r>
        <w:rPr>
          <w:spacing w:val="-2"/>
          <w:sz w:val="22"/>
        </w:rPr>
        <w:t> </w:t>
      </w:r>
      <w:r>
        <w:rPr>
          <w:sz w:val="22"/>
        </w:rPr>
        <w:t>plan.</w:t>
      </w:r>
    </w:p>
    <w:p>
      <w:pPr>
        <w:pStyle w:val="BodyText"/>
        <w:spacing w:before="120"/>
        <w:ind w:left="140" w:right="333"/>
        <w:jc w:val="both"/>
      </w:pPr>
      <w:r>
        <w:rPr/>
        <w:t>Under</w:t>
      </w:r>
      <w:r>
        <w:rPr>
          <w:spacing w:val="-8"/>
        </w:rPr>
        <w:t> </w:t>
      </w:r>
      <w:r>
        <w:rPr/>
        <w:t>the</w:t>
      </w:r>
      <w:r>
        <w:rPr>
          <w:spacing w:val="-7"/>
        </w:rPr>
        <w:t> </w:t>
      </w:r>
      <w:r>
        <w:rPr/>
        <w:t>GMA,</w:t>
      </w:r>
      <w:r>
        <w:rPr>
          <w:spacing w:val="-9"/>
        </w:rPr>
        <w:t> </w:t>
      </w:r>
      <w:r>
        <w:rPr/>
        <w:t>comprehensive</w:t>
      </w:r>
      <w:r>
        <w:rPr>
          <w:spacing w:val="-7"/>
        </w:rPr>
        <w:t> </w:t>
      </w:r>
      <w:r>
        <w:rPr/>
        <w:t>plans</w:t>
      </w:r>
      <w:r>
        <w:rPr>
          <w:spacing w:val="-8"/>
        </w:rPr>
        <w:t> </w:t>
      </w:r>
      <w:r>
        <w:rPr/>
        <w:t>should</w:t>
      </w:r>
      <w:r>
        <w:rPr>
          <w:spacing w:val="-9"/>
        </w:rPr>
        <w:t> </w:t>
      </w:r>
      <w:r>
        <w:rPr/>
        <w:t>identify</w:t>
      </w:r>
      <w:r>
        <w:rPr>
          <w:spacing w:val="-9"/>
        </w:rPr>
        <w:t> </w:t>
      </w:r>
      <w:r>
        <w:rPr/>
        <w:t>essential</w:t>
      </w:r>
      <w:r>
        <w:rPr>
          <w:spacing w:val="-7"/>
        </w:rPr>
        <w:t> </w:t>
      </w:r>
      <w:r>
        <w:rPr/>
        <w:t>public</w:t>
      </w:r>
      <w:r>
        <w:rPr>
          <w:spacing w:val="-7"/>
        </w:rPr>
        <w:t> </w:t>
      </w:r>
      <w:r>
        <w:rPr/>
        <w:t>facilities</w:t>
      </w:r>
      <w:r>
        <w:rPr>
          <w:spacing w:val="-6"/>
        </w:rPr>
        <w:t> </w:t>
      </w:r>
      <w:r>
        <w:rPr/>
        <w:t>that</w:t>
      </w:r>
      <w:r>
        <w:rPr>
          <w:spacing w:val="-9"/>
        </w:rPr>
        <w:t> </w:t>
      </w:r>
      <w:r>
        <w:rPr/>
        <w:t>often</w:t>
      </w:r>
      <w:r>
        <w:rPr>
          <w:spacing w:val="-9"/>
        </w:rPr>
        <w:t> </w:t>
      </w:r>
      <w:r>
        <w:rPr/>
        <w:t>are</w:t>
      </w:r>
      <w:r>
        <w:rPr>
          <w:spacing w:val="-6"/>
        </w:rPr>
        <w:t> </w:t>
      </w:r>
      <w:r>
        <w:rPr/>
        <w:t>difficult to site and ensure that locations for them will be available. These facilities include airports, state education facilities, state, or regional transportation facilities, state and local correctional facilities, solid waste handling facilities, and in-patient facilities including substance abuse facilities, mental health facilities, and group homes. Local comprehensive plans may not prevent outright</w:t>
      </w:r>
      <w:r>
        <w:rPr>
          <w:spacing w:val="-35"/>
        </w:rPr>
        <w:t> </w:t>
      </w:r>
      <w:r>
        <w:rPr/>
        <w:t>the location or provision of such facilities. Richland will participate in the siting study for any of these facilities</w:t>
      </w:r>
      <w:bookmarkStart w:name="CONSISTENCY AND CONCURRENCY" w:id="12"/>
      <w:bookmarkEnd w:id="12"/>
      <w:r>
        <w:rPr/>
      </w:r>
      <w:r>
        <w:rPr/>
        <w:t> when they are identified for potential siting within the</w:t>
      </w:r>
      <w:r>
        <w:rPr>
          <w:spacing w:val="-15"/>
        </w:rPr>
        <w:t> </w:t>
      </w:r>
      <w:r>
        <w:rPr/>
        <w:t>City.</w:t>
      </w:r>
    </w:p>
    <w:p>
      <w:pPr>
        <w:spacing w:before="201"/>
        <w:ind w:left="140" w:right="0" w:firstLine="0"/>
        <w:jc w:val="both"/>
        <w:rPr>
          <w:b/>
          <w:sz w:val="24"/>
        </w:rPr>
      </w:pPr>
      <w:r>
        <w:rPr>
          <w:b/>
          <w:sz w:val="24"/>
        </w:rPr>
        <w:t>CONSISTENCY AND CONCURRENCY</w:t>
      </w:r>
    </w:p>
    <w:p>
      <w:pPr>
        <w:pStyle w:val="BodyText"/>
        <w:spacing w:before="120"/>
        <w:ind w:left="140" w:right="333"/>
        <w:jc w:val="both"/>
      </w:pPr>
      <w:r>
        <w:rPr/>
        <w:t>GMA requires that the Comprehensive Plan must be internally consistent for objectives, goals, policies, text, and maps. At the same time, the comprehensive plans of adjacent jurisdictions must also</w:t>
      </w:r>
      <w:r>
        <w:rPr>
          <w:spacing w:val="-11"/>
        </w:rPr>
        <w:t> </w:t>
      </w:r>
      <w:r>
        <w:rPr/>
        <w:t>be</w:t>
      </w:r>
      <w:r>
        <w:rPr>
          <w:spacing w:val="-10"/>
        </w:rPr>
        <w:t> </w:t>
      </w:r>
      <w:r>
        <w:rPr/>
        <w:t>consistent</w:t>
      </w:r>
      <w:r>
        <w:rPr>
          <w:spacing w:val="-11"/>
        </w:rPr>
        <w:t> </w:t>
      </w:r>
      <w:r>
        <w:rPr/>
        <w:t>and</w:t>
      </w:r>
      <w:r>
        <w:rPr>
          <w:spacing w:val="-12"/>
        </w:rPr>
        <w:t> </w:t>
      </w:r>
      <w:r>
        <w:rPr/>
        <w:t>capital</w:t>
      </w:r>
      <w:r>
        <w:rPr>
          <w:spacing w:val="-10"/>
        </w:rPr>
        <w:t> </w:t>
      </w:r>
      <w:r>
        <w:rPr/>
        <w:t>budget</w:t>
      </w:r>
      <w:r>
        <w:rPr>
          <w:spacing w:val="-11"/>
        </w:rPr>
        <w:t> </w:t>
      </w:r>
      <w:r>
        <w:rPr/>
        <w:t>decisions</w:t>
      </w:r>
      <w:r>
        <w:rPr>
          <w:spacing w:val="-10"/>
        </w:rPr>
        <w:t> </w:t>
      </w:r>
      <w:r>
        <w:rPr/>
        <w:t>must</w:t>
      </w:r>
      <w:r>
        <w:rPr>
          <w:spacing w:val="-13"/>
        </w:rPr>
        <w:t> </w:t>
      </w:r>
      <w:r>
        <w:rPr/>
        <w:t>be</w:t>
      </w:r>
      <w:r>
        <w:rPr>
          <w:spacing w:val="-10"/>
        </w:rPr>
        <w:t> </w:t>
      </w:r>
      <w:r>
        <w:rPr/>
        <w:t>made</w:t>
      </w:r>
      <w:r>
        <w:rPr>
          <w:spacing w:val="-11"/>
        </w:rPr>
        <w:t> </w:t>
      </w:r>
      <w:r>
        <w:rPr/>
        <w:t>in</w:t>
      </w:r>
      <w:r>
        <w:rPr>
          <w:spacing w:val="-11"/>
        </w:rPr>
        <w:t> </w:t>
      </w:r>
      <w:r>
        <w:rPr/>
        <w:t>conformance</w:t>
      </w:r>
      <w:r>
        <w:rPr>
          <w:spacing w:val="-10"/>
        </w:rPr>
        <w:t> </w:t>
      </w:r>
      <w:r>
        <w:rPr/>
        <w:t>with</w:t>
      </w:r>
      <w:r>
        <w:rPr>
          <w:spacing w:val="-11"/>
        </w:rPr>
        <w:t> </w:t>
      </w:r>
      <w:r>
        <w:rPr/>
        <w:t>each</w:t>
      </w:r>
      <w:r>
        <w:rPr>
          <w:spacing w:val="-10"/>
        </w:rPr>
        <w:t> </w:t>
      </w:r>
      <w:r>
        <w:rPr/>
        <w:t>jurisdiction’s adopted Comprehensive</w:t>
      </w:r>
      <w:r>
        <w:rPr>
          <w:spacing w:val="-3"/>
        </w:rPr>
        <w:t> </w:t>
      </w:r>
      <w:r>
        <w:rPr/>
        <w:t>Plan.</w:t>
      </w:r>
    </w:p>
    <w:p>
      <w:pPr>
        <w:pStyle w:val="BodyText"/>
        <w:spacing w:before="118"/>
        <w:ind w:left="140" w:right="334" w:hanging="1"/>
        <w:jc w:val="both"/>
      </w:pPr>
      <w:r>
        <w:rPr/>
        <w:t>The</w:t>
      </w:r>
      <w:r>
        <w:rPr>
          <w:spacing w:val="-12"/>
        </w:rPr>
        <w:t> </w:t>
      </w:r>
      <w:r>
        <w:rPr/>
        <w:t>consistency</w:t>
      </w:r>
      <w:r>
        <w:rPr>
          <w:spacing w:val="-11"/>
        </w:rPr>
        <w:t> </w:t>
      </w:r>
      <w:r>
        <w:rPr/>
        <w:t>progresses</w:t>
      </w:r>
      <w:r>
        <w:rPr>
          <w:spacing w:val="-9"/>
        </w:rPr>
        <w:t> </w:t>
      </w:r>
      <w:r>
        <w:rPr/>
        <w:t>from</w:t>
      </w:r>
      <w:r>
        <w:rPr>
          <w:spacing w:val="-8"/>
        </w:rPr>
        <w:t> </w:t>
      </w:r>
      <w:r>
        <w:rPr/>
        <w:t>the</w:t>
      </w:r>
      <w:r>
        <w:rPr>
          <w:spacing w:val="-10"/>
        </w:rPr>
        <w:t> </w:t>
      </w:r>
      <w:r>
        <w:rPr/>
        <w:t>broad</w:t>
      </w:r>
      <w:r>
        <w:rPr>
          <w:spacing w:val="-10"/>
        </w:rPr>
        <w:t> </w:t>
      </w:r>
      <w:r>
        <w:rPr/>
        <w:t>goal,</w:t>
      </w:r>
      <w:r>
        <w:rPr>
          <w:spacing w:val="-9"/>
        </w:rPr>
        <w:t> </w:t>
      </w:r>
      <w:r>
        <w:rPr/>
        <w:t>through</w:t>
      </w:r>
      <w:r>
        <w:rPr>
          <w:spacing w:val="-10"/>
        </w:rPr>
        <w:t> </w:t>
      </w:r>
      <w:r>
        <w:rPr/>
        <w:t>its</w:t>
      </w:r>
      <w:r>
        <w:rPr>
          <w:spacing w:val="-9"/>
        </w:rPr>
        <w:t> </w:t>
      </w:r>
      <w:r>
        <w:rPr/>
        <w:t>policies,</w:t>
      </w:r>
      <w:r>
        <w:rPr>
          <w:spacing w:val="-9"/>
        </w:rPr>
        <w:t> </w:t>
      </w:r>
      <w:r>
        <w:rPr/>
        <w:t>and</w:t>
      </w:r>
      <w:r>
        <w:rPr>
          <w:spacing w:val="-10"/>
        </w:rPr>
        <w:t> </w:t>
      </w:r>
      <w:r>
        <w:rPr/>
        <w:t>then</w:t>
      </w:r>
      <w:r>
        <w:rPr>
          <w:spacing w:val="-13"/>
        </w:rPr>
        <w:t> </w:t>
      </w:r>
      <w:r>
        <w:rPr/>
        <w:t>to</w:t>
      </w:r>
      <w:r>
        <w:rPr>
          <w:spacing w:val="-9"/>
        </w:rPr>
        <w:t> </w:t>
      </w:r>
      <w:r>
        <w:rPr/>
        <w:t>specific</w:t>
      </w:r>
      <w:r>
        <w:rPr>
          <w:spacing w:val="-9"/>
        </w:rPr>
        <w:t> </w:t>
      </w:r>
      <w:r>
        <w:rPr/>
        <w:t>actions.</w:t>
      </w:r>
      <w:r>
        <w:rPr>
          <w:spacing w:val="-12"/>
        </w:rPr>
        <w:t> </w:t>
      </w:r>
      <w:r>
        <w:rPr/>
        <w:t>The maps of the Plan augment both the text and even the goals and policies. For example, the land use map</w:t>
      </w:r>
      <w:r>
        <w:rPr>
          <w:spacing w:val="-12"/>
        </w:rPr>
        <w:t> </w:t>
      </w:r>
      <w:r>
        <w:rPr/>
        <w:t>included</w:t>
      </w:r>
      <w:r>
        <w:rPr>
          <w:spacing w:val="-12"/>
        </w:rPr>
        <w:t> </w:t>
      </w:r>
      <w:r>
        <w:rPr/>
        <w:t>in</w:t>
      </w:r>
      <w:r>
        <w:rPr>
          <w:spacing w:val="-9"/>
        </w:rPr>
        <w:t> </w:t>
      </w:r>
      <w:r>
        <w:rPr/>
        <w:t>the</w:t>
      </w:r>
      <w:r>
        <w:rPr>
          <w:spacing w:val="-9"/>
        </w:rPr>
        <w:t> </w:t>
      </w:r>
      <w:r>
        <w:rPr/>
        <w:t>Land</w:t>
      </w:r>
      <w:r>
        <w:rPr>
          <w:spacing w:val="-11"/>
        </w:rPr>
        <w:t> </w:t>
      </w:r>
      <w:r>
        <w:rPr/>
        <w:t>Use</w:t>
      </w:r>
      <w:r>
        <w:rPr>
          <w:spacing w:val="-11"/>
        </w:rPr>
        <w:t> </w:t>
      </w:r>
      <w:r>
        <w:rPr/>
        <w:t>Element</w:t>
      </w:r>
      <w:r>
        <w:rPr>
          <w:spacing w:val="-11"/>
        </w:rPr>
        <w:t> </w:t>
      </w:r>
      <w:r>
        <w:rPr/>
        <w:t>is,</w:t>
      </w:r>
      <w:r>
        <w:rPr>
          <w:spacing w:val="-9"/>
        </w:rPr>
        <w:t> </w:t>
      </w:r>
      <w:r>
        <w:rPr/>
        <w:t>in</w:t>
      </w:r>
      <w:r>
        <w:rPr>
          <w:spacing w:val="-11"/>
        </w:rPr>
        <w:t> </w:t>
      </w:r>
      <w:r>
        <w:rPr/>
        <w:t>essence,</w:t>
      </w:r>
      <w:r>
        <w:rPr>
          <w:spacing w:val="-11"/>
        </w:rPr>
        <w:t> </w:t>
      </w:r>
      <w:r>
        <w:rPr/>
        <w:t>a</w:t>
      </w:r>
      <w:r>
        <w:rPr>
          <w:spacing w:val="-8"/>
        </w:rPr>
        <w:t> </w:t>
      </w:r>
      <w:r>
        <w:rPr/>
        <w:t>graphic</w:t>
      </w:r>
      <w:r>
        <w:rPr>
          <w:spacing w:val="-8"/>
        </w:rPr>
        <w:t> </w:t>
      </w:r>
      <w:r>
        <w:rPr/>
        <w:t>policy</w:t>
      </w:r>
      <w:r>
        <w:rPr>
          <w:spacing w:val="-12"/>
        </w:rPr>
        <w:t> </w:t>
      </w:r>
      <w:r>
        <w:rPr/>
        <w:t>statement</w:t>
      </w:r>
      <w:r>
        <w:rPr>
          <w:spacing w:val="-8"/>
        </w:rPr>
        <w:t> </w:t>
      </w:r>
      <w:r>
        <w:rPr/>
        <w:t>regarding</w:t>
      </w:r>
      <w:r>
        <w:rPr>
          <w:spacing w:val="-8"/>
        </w:rPr>
        <w:t> </w:t>
      </w:r>
      <w:r>
        <w:rPr/>
        <w:t>future</w:t>
      </w:r>
      <w:r>
        <w:rPr>
          <w:spacing w:val="-10"/>
        </w:rPr>
        <w:t> </w:t>
      </w:r>
      <w:r>
        <w:rPr/>
        <w:t>land development in Richland. As such, the land use policy serves, and is served by, the transportation, housing, utilities, and capital facilities elements. Based upon the land use designations on the Land Use</w:t>
      </w:r>
      <w:r>
        <w:rPr>
          <w:spacing w:val="-11"/>
        </w:rPr>
        <w:t> </w:t>
      </w:r>
      <w:r>
        <w:rPr/>
        <w:t>Map,</w:t>
      </w:r>
      <w:r>
        <w:rPr>
          <w:spacing w:val="-11"/>
        </w:rPr>
        <w:t> </w:t>
      </w:r>
      <w:r>
        <w:rPr/>
        <w:t>private</w:t>
      </w:r>
      <w:r>
        <w:rPr>
          <w:spacing w:val="-10"/>
        </w:rPr>
        <w:t> </w:t>
      </w:r>
      <w:r>
        <w:rPr/>
        <w:t>and</w:t>
      </w:r>
      <w:r>
        <w:rPr>
          <w:spacing w:val="-12"/>
        </w:rPr>
        <w:t> </w:t>
      </w:r>
      <w:r>
        <w:rPr/>
        <w:t>public</w:t>
      </w:r>
      <w:r>
        <w:rPr>
          <w:spacing w:val="-10"/>
        </w:rPr>
        <w:t> </w:t>
      </w:r>
      <w:r>
        <w:rPr/>
        <w:t>sector</w:t>
      </w:r>
      <w:r>
        <w:rPr>
          <w:spacing w:val="-11"/>
        </w:rPr>
        <w:t> </w:t>
      </w:r>
      <w:r>
        <w:rPr/>
        <w:t>service</w:t>
      </w:r>
      <w:r>
        <w:rPr>
          <w:spacing w:val="-11"/>
        </w:rPr>
        <w:t> </w:t>
      </w:r>
      <w:r>
        <w:rPr/>
        <w:t>providers</w:t>
      </w:r>
      <w:r>
        <w:rPr>
          <w:spacing w:val="-13"/>
        </w:rPr>
        <w:t> </w:t>
      </w:r>
      <w:r>
        <w:rPr/>
        <w:t>can</w:t>
      </w:r>
      <w:r>
        <w:rPr>
          <w:spacing w:val="-11"/>
        </w:rPr>
        <w:t> </w:t>
      </w:r>
      <w:r>
        <w:rPr/>
        <w:t>project</w:t>
      </w:r>
      <w:r>
        <w:rPr>
          <w:spacing w:val="-12"/>
        </w:rPr>
        <w:t> </w:t>
      </w:r>
      <w:r>
        <w:rPr/>
        <w:t>future</w:t>
      </w:r>
      <w:r>
        <w:rPr>
          <w:spacing w:val="-11"/>
        </w:rPr>
        <w:t> </w:t>
      </w:r>
      <w:r>
        <w:rPr/>
        <w:t>locational</w:t>
      </w:r>
      <w:r>
        <w:rPr>
          <w:spacing w:val="-10"/>
        </w:rPr>
        <w:t> </w:t>
      </w:r>
      <w:r>
        <w:rPr/>
        <w:t>demands</w:t>
      </w:r>
      <w:r>
        <w:rPr>
          <w:spacing w:val="-10"/>
        </w:rPr>
        <w:t> </w:t>
      </w:r>
      <w:r>
        <w:rPr/>
        <w:t>for</w:t>
      </w:r>
      <w:r>
        <w:rPr>
          <w:spacing w:val="-12"/>
        </w:rPr>
        <w:t> </w:t>
      </w:r>
      <w:r>
        <w:rPr/>
        <w:t>water, sewer, natural gas, electrical power, roads, fire protection, transit, emergency response, communications, and other</w:t>
      </w:r>
      <w:r>
        <w:rPr>
          <w:spacing w:val="-6"/>
        </w:rPr>
        <w:t> </w:t>
      </w:r>
      <w:r>
        <w:rPr/>
        <w:t>services</w:t>
      </w:r>
    </w:p>
    <w:p>
      <w:pPr>
        <w:pStyle w:val="BodyText"/>
        <w:spacing w:before="120"/>
        <w:ind w:left="141" w:right="334"/>
        <w:jc w:val="both"/>
      </w:pPr>
      <w:r>
        <w:rPr/>
        <w:t>All development regulations within the City of Richland are required to match with each other and with the Comprehensive Plan. These include the zoning and subdivision codes, the Critical Areas Ordinance,</w:t>
      </w:r>
      <w:r>
        <w:rPr>
          <w:spacing w:val="-6"/>
        </w:rPr>
        <w:t> </w:t>
      </w:r>
      <w:r>
        <w:rPr/>
        <w:t>the</w:t>
      </w:r>
      <w:r>
        <w:rPr>
          <w:spacing w:val="-5"/>
        </w:rPr>
        <w:t> </w:t>
      </w:r>
      <w:r>
        <w:rPr/>
        <w:t>Shoreline</w:t>
      </w:r>
      <w:r>
        <w:rPr>
          <w:spacing w:val="-6"/>
        </w:rPr>
        <w:t> </w:t>
      </w:r>
      <w:r>
        <w:rPr/>
        <w:t>Master</w:t>
      </w:r>
      <w:r>
        <w:rPr>
          <w:spacing w:val="-6"/>
        </w:rPr>
        <w:t> </w:t>
      </w:r>
      <w:r>
        <w:rPr/>
        <w:t>Program,</w:t>
      </w:r>
      <w:r>
        <w:rPr>
          <w:spacing w:val="-7"/>
        </w:rPr>
        <w:t> </w:t>
      </w:r>
      <w:r>
        <w:rPr/>
        <w:t>and</w:t>
      </w:r>
      <w:r>
        <w:rPr>
          <w:spacing w:val="-6"/>
        </w:rPr>
        <w:t> </w:t>
      </w:r>
      <w:r>
        <w:rPr/>
        <w:t>any</w:t>
      </w:r>
      <w:r>
        <w:rPr>
          <w:spacing w:val="-7"/>
        </w:rPr>
        <w:t> </w:t>
      </w:r>
      <w:r>
        <w:rPr/>
        <w:t>other</w:t>
      </w:r>
      <w:r>
        <w:rPr>
          <w:spacing w:val="-6"/>
        </w:rPr>
        <w:t> </w:t>
      </w:r>
      <w:r>
        <w:rPr/>
        <w:t>City</w:t>
      </w:r>
      <w:r>
        <w:rPr>
          <w:spacing w:val="-7"/>
        </w:rPr>
        <w:t> </w:t>
      </w:r>
      <w:r>
        <w:rPr/>
        <w:t>regulation</w:t>
      </w:r>
      <w:r>
        <w:rPr>
          <w:spacing w:val="-8"/>
        </w:rPr>
        <w:t> </w:t>
      </w:r>
      <w:r>
        <w:rPr/>
        <w:t>as</w:t>
      </w:r>
      <w:r>
        <w:rPr>
          <w:spacing w:val="-5"/>
        </w:rPr>
        <w:t> </w:t>
      </w:r>
      <w:r>
        <w:rPr/>
        <w:t>contained</w:t>
      </w:r>
      <w:r>
        <w:rPr>
          <w:spacing w:val="-6"/>
        </w:rPr>
        <w:t> </w:t>
      </w:r>
      <w:r>
        <w:rPr/>
        <w:t>in</w:t>
      </w:r>
      <w:r>
        <w:rPr>
          <w:spacing w:val="-8"/>
        </w:rPr>
        <w:t> </w:t>
      </w:r>
      <w:r>
        <w:rPr/>
        <w:t>the</w:t>
      </w:r>
      <w:r>
        <w:rPr>
          <w:spacing w:val="-5"/>
        </w:rPr>
        <w:t> </w:t>
      </w:r>
      <w:r>
        <w:rPr/>
        <w:t>Richland Municipal Code and other adopted plans such as the Park &amp; Recreation Plan and the Storm Water Management Plan. A complete listing of adopted plans is included as an Appendix of the Core Comprehensive</w:t>
      </w:r>
      <w:r>
        <w:rPr>
          <w:spacing w:val="-2"/>
        </w:rPr>
        <w:t> </w:t>
      </w:r>
      <w:r>
        <w:rPr/>
        <w:t>Plan.</w:t>
      </w:r>
    </w:p>
    <w:p>
      <w:pPr>
        <w:pStyle w:val="BodyText"/>
        <w:spacing w:before="121"/>
        <w:ind w:left="141" w:right="332" w:hanging="1"/>
        <w:jc w:val="both"/>
      </w:pPr>
      <w:r>
        <w:rPr/>
        <w:t>The consistency also applies to adjacent jurisdictions such as Benton County, through the County- wide Planning Policies (CWPP), and the adjacent cities of West Richland and Kennewick.</w:t>
      </w:r>
    </w:p>
    <w:p>
      <w:pPr>
        <w:pStyle w:val="BodyText"/>
        <w:spacing w:before="120"/>
        <w:ind w:left="141" w:right="333"/>
        <w:jc w:val="both"/>
      </w:pPr>
      <w:r>
        <w:rPr/>
        <w:t>GMA defines concurrency to mean that needed improvements for water, sewer, and transportation are</w:t>
      </w:r>
      <w:r>
        <w:rPr>
          <w:spacing w:val="-4"/>
        </w:rPr>
        <w:t> </w:t>
      </w:r>
      <w:r>
        <w:rPr/>
        <w:t>in</w:t>
      </w:r>
      <w:r>
        <w:rPr>
          <w:spacing w:val="-4"/>
        </w:rPr>
        <w:t> </w:t>
      </w:r>
      <w:r>
        <w:rPr/>
        <w:t>place</w:t>
      </w:r>
      <w:r>
        <w:rPr>
          <w:spacing w:val="-4"/>
        </w:rPr>
        <w:t> </w:t>
      </w:r>
      <w:r>
        <w:rPr/>
        <w:t>at</w:t>
      </w:r>
      <w:r>
        <w:rPr>
          <w:spacing w:val="-4"/>
        </w:rPr>
        <w:t> </w:t>
      </w:r>
      <w:r>
        <w:rPr/>
        <w:t>the</w:t>
      </w:r>
      <w:r>
        <w:rPr>
          <w:spacing w:val="-4"/>
        </w:rPr>
        <w:t> </w:t>
      </w:r>
      <w:r>
        <w:rPr/>
        <w:t>time</w:t>
      </w:r>
      <w:r>
        <w:rPr>
          <w:spacing w:val="-3"/>
        </w:rPr>
        <w:t> </w:t>
      </w:r>
      <w:r>
        <w:rPr/>
        <w:t>of</w:t>
      </w:r>
      <w:r>
        <w:rPr>
          <w:spacing w:val="-6"/>
        </w:rPr>
        <w:t> </w:t>
      </w:r>
      <w:r>
        <w:rPr/>
        <w:t>development;</w:t>
      </w:r>
      <w:r>
        <w:rPr>
          <w:spacing w:val="-4"/>
        </w:rPr>
        <w:t> </w:t>
      </w:r>
      <w:r>
        <w:rPr/>
        <w:t>or</w:t>
      </w:r>
      <w:r>
        <w:rPr>
          <w:spacing w:val="-4"/>
        </w:rPr>
        <w:t> </w:t>
      </w:r>
      <w:r>
        <w:rPr/>
        <w:t>in</w:t>
      </w:r>
      <w:r>
        <w:rPr>
          <w:spacing w:val="-5"/>
        </w:rPr>
        <w:t> </w:t>
      </w:r>
      <w:r>
        <w:rPr/>
        <w:t>the</w:t>
      </w:r>
      <w:r>
        <w:rPr>
          <w:spacing w:val="-3"/>
        </w:rPr>
        <w:t> </w:t>
      </w:r>
      <w:r>
        <w:rPr/>
        <w:t>case</w:t>
      </w:r>
      <w:r>
        <w:rPr>
          <w:spacing w:val="-4"/>
        </w:rPr>
        <w:t> </w:t>
      </w:r>
      <w:r>
        <w:rPr/>
        <w:t>of</w:t>
      </w:r>
      <w:r>
        <w:rPr>
          <w:spacing w:val="-3"/>
        </w:rPr>
        <w:t> </w:t>
      </w:r>
      <w:r>
        <w:rPr/>
        <w:t>transportation,</w:t>
      </w:r>
      <w:r>
        <w:rPr>
          <w:spacing w:val="-4"/>
        </w:rPr>
        <w:t> </w:t>
      </w:r>
      <w:r>
        <w:rPr/>
        <w:t>that</w:t>
      </w:r>
      <w:r>
        <w:rPr>
          <w:spacing w:val="-6"/>
        </w:rPr>
        <w:t> </w:t>
      </w:r>
      <w:r>
        <w:rPr/>
        <w:t>a</w:t>
      </w:r>
      <w:r>
        <w:rPr>
          <w:spacing w:val="-3"/>
        </w:rPr>
        <w:t> </w:t>
      </w:r>
      <w:r>
        <w:rPr/>
        <w:t>financial</w:t>
      </w:r>
      <w:r>
        <w:rPr>
          <w:spacing w:val="-4"/>
        </w:rPr>
        <w:t> </w:t>
      </w:r>
      <w:r>
        <w:rPr/>
        <w:t>commitment exists to complete the improvements within six</w:t>
      </w:r>
      <w:r>
        <w:rPr>
          <w:spacing w:val="-9"/>
        </w:rPr>
        <w:t> </w:t>
      </w:r>
      <w:r>
        <w:rPr/>
        <w:t>years.</w:t>
      </w:r>
    </w:p>
    <w:p>
      <w:pPr>
        <w:pStyle w:val="BodyText"/>
        <w:spacing w:before="119"/>
        <w:ind w:left="141" w:right="333"/>
        <w:jc w:val="both"/>
      </w:pPr>
      <w:r>
        <w:rPr/>
        <w:t>There</w:t>
      </w:r>
      <w:r>
        <w:rPr>
          <w:spacing w:val="-10"/>
        </w:rPr>
        <w:t> </w:t>
      </w:r>
      <w:r>
        <w:rPr/>
        <w:t>must</w:t>
      </w:r>
      <w:r>
        <w:rPr>
          <w:spacing w:val="-11"/>
        </w:rPr>
        <w:t> </w:t>
      </w:r>
      <w:r>
        <w:rPr/>
        <w:t>be</w:t>
      </w:r>
      <w:r>
        <w:rPr>
          <w:spacing w:val="-10"/>
        </w:rPr>
        <w:t> </w:t>
      </w:r>
      <w:r>
        <w:rPr/>
        <w:t>a</w:t>
      </w:r>
      <w:r>
        <w:rPr>
          <w:spacing w:val="-10"/>
        </w:rPr>
        <w:t> </w:t>
      </w:r>
      <w:r>
        <w:rPr/>
        <w:t>baseline</w:t>
      </w:r>
      <w:r>
        <w:rPr>
          <w:spacing w:val="-10"/>
        </w:rPr>
        <w:t> </w:t>
      </w:r>
      <w:r>
        <w:rPr/>
        <w:t>standard</w:t>
      </w:r>
      <w:r>
        <w:rPr>
          <w:spacing w:val="-11"/>
        </w:rPr>
        <w:t> </w:t>
      </w:r>
      <w:r>
        <w:rPr/>
        <w:t>established</w:t>
      </w:r>
      <w:r>
        <w:rPr>
          <w:spacing w:val="-11"/>
        </w:rPr>
        <w:t> </w:t>
      </w:r>
      <w:r>
        <w:rPr/>
        <w:t>to</w:t>
      </w:r>
      <w:r>
        <w:rPr>
          <w:spacing w:val="-10"/>
        </w:rPr>
        <w:t> </w:t>
      </w:r>
      <w:r>
        <w:rPr/>
        <w:t>use</w:t>
      </w:r>
      <w:r>
        <w:rPr>
          <w:spacing w:val="-13"/>
        </w:rPr>
        <w:t> </w:t>
      </w:r>
      <w:r>
        <w:rPr/>
        <w:t>when</w:t>
      </w:r>
      <w:r>
        <w:rPr>
          <w:spacing w:val="-11"/>
        </w:rPr>
        <w:t> </w:t>
      </w:r>
      <w:r>
        <w:rPr/>
        <w:t>evaluating</w:t>
      </w:r>
      <w:r>
        <w:rPr>
          <w:spacing w:val="-9"/>
        </w:rPr>
        <w:t> </w:t>
      </w:r>
      <w:r>
        <w:rPr/>
        <w:t>the</w:t>
      </w:r>
      <w:r>
        <w:rPr>
          <w:spacing w:val="-10"/>
        </w:rPr>
        <w:t> </w:t>
      </w:r>
      <w:r>
        <w:rPr/>
        <w:t>anticipated</w:t>
      </w:r>
      <w:r>
        <w:rPr>
          <w:spacing w:val="-11"/>
        </w:rPr>
        <w:t> </w:t>
      </w:r>
      <w:r>
        <w:rPr/>
        <w:t>impacts</w:t>
      </w:r>
      <w:r>
        <w:rPr>
          <w:spacing w:val="-9"/>
        </w:rPr>
        <w:t> </w:t>
      </w:r>
      <w:r>
        <w:rPr/>
        <w:t>of</w:t>
      </w:r>
      <w:r>
        <w:rPr>
          <w:spacing w:val="-10"/>
        </w:rPr>
        <w:t> </w:t>
      </w:r>
      <w:r>
        <w:rPr/>
        <w:t>new development to determine if concurrency can be met. The minimum acceptable performance level has been chosen as the baseline, and is defined as the level of service (LOS). Levels of service</w:t>
      </w:r>
      <w:r>
        <w:rPr>
          <w:spacing w:val="-3"/>
        </w:rPr>
        <w:t> </w:t>
      </w:r>
      <w:r>
        <w:rPr/>
        <w:t>should</w:t>
      </w:r>
    </w:p>
    <w:p>
      <w:pPr>
        <w:spacing w:after="0"/>
        <w:jc w:val="both"/>
        <w:sectPr>
          <w:pgSz w:w="12240" w:h="15840"/>
          <w:pgMar w:header="0" w:footer="1132" w:top="1360" w:bottom="1320" w:left="1300" w:right="1100"/>
        </w:sectPr>
      </w:pPr>
    </w:p>
    <w:p>
      <w:pPr>
        <w:pStyle w:val="BodyText"/>
        <w:spacing w:before="80"/>
        <w:ind w:left="140" w:right="342"/>
        <w:jc w:val="both"/>
      </w:pPr>
      <w:r>
        <w:rPr/>
        <w:t>be realistic. Setting them too high could result in little or no growth, and would be contrary to GMA. Setting them too low could cause unmanaged growth without optimum service.</w:t>
      </w:r>
    </w:p>
    <w:p>
      <w:pPr>
        <w:spacing w:before="201"/>
        <w:ind w:left="140" w:right="0" w:firstLine="0"/>
        <w:jc w:val="left"/>
        <w:rPr>
          <w:b/>
          <w:sz w:val="24"/>
        </w:rPr>
      </w:pPr>
      <w:bookmarkStart w:name="AMENDMENTS" w:id="13"/>
      <w:bookmarkEnd w:id="13"/>
      <w:r>
        <w:rPr/>
      </w:r>
      <w:r>
        <w:rPr>
          <w:b/>
          <w:sz w:val="24"/>
        </w:rPr>
        <w:t>AMENDMENTS</w:t>
      </w:r>
    </w:p>
    <w:p>
      <w:pPr>
        <w:pStyle w:val="BodyText"/>
        <w:spacing w:before="120"/>
        <w:ind w:left="140" w:right="336"/>
        <w:jc w:val="both"/>
      </w:pPr>
      <w:r>
        <w:rPr/>
        <w:t>Amendments to the comprehensive plan are legislative actions requiring City Council approval. Amendments must be approved as prescribed by GMA. With a few exceptions, they cannot be considered</w:t>
      </w:r>
      <w:r>
        <w:rPr>
          <w:spacing w:val="-13"/>
        </w:rPr>
        <w:t> </w:t>
      </w:r>
      <w:r>
        <w:rPr/>
        <w:t>more</w:t>
      </w:r>
      <w:r>
        <w:rPr>
          <w:spacing w:val="-11"/>
        </w:rPr>
        <w:t> </w:t>
      </w:r>
      <w:r>
        <w:rPr/>
        <w:t>often</w:t>
      </w:r>
      <w:r>
        <w:rPr>
          <w:spacing w:val="-11"/>
        </w:rPr>
        <w:t> </w:t>
      </w:r>
      <w:r>
        <w:rPr/>
        <w:t>than</w:t>
      </w:r>
      <w:r>
        <w:rPr>
          <w:spacing w:val="-10"/>
        </w:rPr>
        <w:t> </w:t>
      </w:r>
      <w:r>
        <w:rPr/>
        <w:t>once</w:t>
      </w:r>
      <w:r>
        <w:rPr>
          <w:spacing w:val="-9"/>
        </w:rPr>
        <w:t> </w:t>
      </w:r>
      <w:r>
        <w:rPr/>
        <w:t>per</w:t>
      </w:r>
      <w:r>
        <w:rPr>
          <w:spacing w:val="-10"/>
        </w:rPr>
        <w:t> </w:t>
      </w:r>
      <w:r>
        <w:rPr/>
        <w:t>year</w:t>
      </w:r>
      <w:r>
        <w:rPr>
          <w:spacing w:val="-9"/>
        </w:rPr>
        <w:t> </w:t>
      </w:r>
      <w:r>
        <w:rPr/>
        <w:t>and</w:t>
      </w:r>
      <w:r>
        <w:rPr>
          <w:spacing w:val="-13"/>
        </w:rPr>
        <w:t> </w:t>
      </w:r>
      <w:r>
        <w:rPr/>
        <w:t>in</w:t>
      </w:r>
      <w:r>
        <w:rPr>
          <w:spacing w:val="-10"/>
        </w:rPr>
        <w:t> </w:t>
      </w:r>
      <w:r>
        <w:rPr/>
        <w:t>accordance</w:t>
      </w:r>
      <w:r>
        <w:rPr>
          <w:spacing w:val="-9"/>
        </w:rPr>
        <w:t> </w:t>
      </w:r>
      <w:r>
        <w:rPr/>
        <w:t>with</w:t>
      </w:r>
      <w:r>
        <w:rPr>
          <w:spacing w:val="-12"/>
        </w:rPr>
        <w:t> </w:t>
      </w:r>
      <w:r>
        <w:rPr/>
        <w:t>specific</w:t>
      </w:r>
      <w:r>
        <w:rPr>
          <w:spacing w:val="-8"/>
        </w:rPr>
        <w:t> </w:t>
      </w:r>
      <w:r>
        <w:rPr/>
        <w:t>procedures.</w:t>
      </w:r>
      <w:r>
        <w:rPr>
          <w:spacing w:val="-10"/>
        </w:rPr>
        <w:t> </w:t>
      </w:r>
      <w:r>
        <w:rPr/>
        <w:t>Major</w:t>
      </w:r>
      <w:r>
        <w:rPr>
          <w:spacing w:val="-9"/>
        </w:rPr>
        <w:t> </w:t>
      </w:r>
      <w:r>
        <w:rPr/>
        <w:t>updates occur by legislative action on an eight-year cycle as established by RCW 36.70A.130</w:t>
      </w:r>
      <w:r>
        <w:rPr>
          <w:spacing w:val="-23"/>
        </w:rPr>
        <w:t> </w:t>
      </w:r>
      <w:r>
        <w:rPr/>
        <w:t>(4)(c).</w:t>
      </w:r>
    </w:p>
    <w:p>
      <w:pPr>
        <w:pStyle w:val="BodyText"/>
        <w:spacing w:before="118"/>
        <w:ind w:left="139" w:right="333"/>
        <w:jc w:val="both"/>
      </w:pPr>
      <w:r>
        <w:rPr/>
        <w:t>Amendments can be requested by the City or by private individuals. Multiple applications for amendments will be considered in a single legislative review process in order to evaluate the potential</w:t>
      </w:r>
      <w:r>
        <w:rPr>
          <w:spacing w:val="-12"/>
        </w:rPr>
        <w:t> </w:t>
      </w:r>
      <w:r>
        <w:rPr/>
        <w:t>cumulative</w:t>
      </w:r>
      <w:r>
        <w:rPr>
          <w:spacing w:val="-12"/>
        </w:rPr>
        <w:t> </w:t>
      </w:r>
      <w:r>
        <w:rPr/>
        <w:t>effect</w:t>
      </w:r>
      <w:r>
        <w:rPr>
          <w:spacing w:val="-9"/>
        </w:rPr>
        <w:t> </w:t>
      </w:r>
      <w:r>
        <w:rPr/>
        <w:t>of</w:t>
      </w:r>
      <w:r>
        <w:rPr>
          <w:spacing w:val="-10"/>
        </w:rPr>
        <w:t> </w:t>
      </w:r>
      <w:r>
        <w:rPr/>
        <w:t>the</w:t>
      </w:r>
      <w:r>
        <w:rPr>
          <w:spacing w:val="-9"/>
        </w:rPr>
        <w:t> </w:t>
      </w:r>
      <w:r>
        <w:rPr/>
        <w:t>requests.</w:t>
      </w:r>
      <w:r>
        <w:rPr>
          <w:spacing w:val="-10"/>
        </w:rPr>
        <w:t> </w:t>
      </w:r>
      <w:r>
        <w:rPr/>
        <w:t>All</w:t>
      </w:r>
      <w:r>
        <w:rPr>
          <w:spacing w:val="-10"/>
        </w:rPr>
        <w:t> </w:t>
      </w:r>
      <w:r>
        <w:rPr/>
        <w:t>amendment</w:t>
      </w:r>
      <w:r>
        <w:rPr>
          <w:spacing w:val="-9"/>
        </w:rPr>
        <w:t> </w:t>
      </w:r>
      <w:r>
        <w:rPr/>
        <w:t>requests</w:t>
      </w:r>
      <w:r>
        <w:rPr>
          <w:spacing w:val="-9"/>
        </w:rPr>
        <w:t> </w:t>
      </w:r>
      <w:r>
        <w:rPr/>
        <w:t>require</w:t>
      </w:r>
      <w:r>
        <w:rPr>
          <w:spacing w:val="-9"/>
        </w:rPr>
        <w:t> </w:t>
      </w:r>
      <w:r>
        <w:rPr/>
        <w:t>a</w:t>
      </w:r>
      <w:r>
        <w:rPr>
          <w:spacing w:val="-12"/>
        </w:rPr>
        <w:t> </w:t>
      </w:r>
      <w:r>
        <w:rPr/>
        <w:t>public</w:t>
      </w:r>
      <w:r>
        <w:rPr>
          <w:spacing w:val="-11"/>
        </w:rPr>
        <w:t> </w:t>
      </w:r>
      <w:r>
        <w:rPr/>
        <w:t>hearing</w:t>
      </w:r>
      <w:r>
        <w:rPr>
          <w:spacing w:val="-8"/>
        </w:rPr>
        <w:t> </w:t>
      </w:r>
      <w:r>
        <w:rPr/>
        <w:t>with</w:t>
      </w:r>
      <w:r>
        <w:rPr>
          <w:spacing w:val="-10"/>
        </w:rPr>
        <w:t> </w:t>
      </w:r>
      <w:r>
        <w:rPr/>
        <w:t>the Planning Commission. They make a recommendation to the City Council. The City Council will approve or deny the amendments in a public hearing. Public involvement with this process is required and encouraged through direction of the Richland Public Participation</w:t>
      </w:r>
      <w:r>
        <w:rPr>
          <w:spacing w:val="-16"/>
        </w:rPr>
        <w:t> </w:t>
      </w:r>
      <w:r>
        <w:rPr/>
        <w:t>Plan.</w:t>
      </w:r>
    </w:p>
    <w:p>
      <w:pPr>
        <w:pStyle w:val="BodyText"/>
        <w:spacing w:before="120"/>
        <w:ind w:left="140" w:right="335"/>
        <w:jc w:val="both"/>
      </w:pPr>
      <w:r>
        <w:rPr/>
        <w:t>Annual amendments will address the issues of major or minor land use classification changes; changes to the goals, policies, and text of the comprehensive plan; changes to supporting data and implementation; changes to the land use maps; and changes to the inventories and technical documents.</w:t>
      </w:r>
    </w:p>
    <w:p>
      <w:pPr>
        <w:pStyle w:val="BodyText"/>
        <w:spacing w:before="121"/>
        <w:ind w:left="140" w:right="335"/>
        <w:jc w:val="both"/>
      </w:pPr>
      <w:r>
        <w:rPr/>
        <w:t>Every ten years, the annual amendment review may be combined with the required review of the urban</w:t>
      </w:r>
      <w:r>
        <w:rPr>
          <w:spacing w:val="-11"/>
        </w:rPr>
        <w:t> </w:t>
      </w:r>
      <w:r>
        <w:rPr/>
        <w:t>growth</w:t>
      </w:r>
      <w:r>
        <w:rPr>
          <w:spacing w:val="-9"/>
        </w:rPr>
        <w:t> </w:t>
      </w:r>
      <w:r>
        <w:rPr/>
        <w:t>area</w:t>
      </w:r>
      <w:r>
        <w:rPr>
          <w:spacing w:val="-10"/>
        </w:rPr>
        <w:t> </w:t>
      </w:r>
      <w:r>
        <w:rPr/>
        <w:t>to</w:t>
      </w:r>
      <w:r>
        <w:rPr>
          <w:spacing w:val="-9"/>
        </w:rPr>
        <w:t> </w:t>
      </w:r>
      <w:r>
        <w:rPr/>
        <w:t>determine</w:t>
      </w:r>
      <w:r>
        <w:rPr>
          <w:spacing w:val="-9"/>
        </w:rPr>
        <w:t> </w:t>
      </w:r>
      <w:r>
        <w:rPr/>
        <w:t>the</w:t>
      </w:r>
      <w:r>
        <w:rPr>
          <w:spacing w:val="-10"/>
        </w:rPr>
        <w:t> </w:t>
      </w:r>
      <w:r>
        <w:rPr/>
        <w:t>next</w:t>
      </w:r>
      <w:r>
        <w:rPr>
          <w:spacing w:val="-9"/>
        </w:rPr>
        <w:t> </w:t>
      </w:r>
      <w:r>
        <w:rPr/>
        <w:t>twenty-years’</w:t>
      </w:r>
      <w:r>
        <w:rPr>
          <w:spacing w:val="-10"/>
        </w:rPr>
        <w:t> </w:t>
      </w:r>
      <w:r>
        <w:rPr/>
        <w:t>anticipated</w:t>
      </w:r>
      <w:r>
        <w:rPr>
          <w:spacing w:val="-10"/>
        </w:rPr>
        <w:t> </w:t>
      </w:r>
      <w:r>
        <w:rPr/>
        <w:t>growth.</w:t>
      </w:r>
      <w:r>
        <w:rPr>
          <w:spacing w:val="-9"/>
        </w:rPr>
        <w:t> </w:t>
      </w:r>
      <w:r>
        <w:rPr/>
        <w:t>This</w:t>
      </w:r>
      <w:r>
        <w:rPr>
          <w:spacing w:val="-8"/>
        </w:rPr>
        <w:t> </w:t>
      </w:r>
      <w:r>
        <w:rPr/>
        <w:t>ten-year</w:t>
      </w:r>
      <w:r>
        <w:rPr>
          <w:spacing w:val="-10"/>
        </w:rPr>
        <w:t> </w:t>
      </w:r>
      <w:r>
        <w:rPr/>
        <w:t>review</w:t>
      </w:r>
      <w:r>
        <w:rPr>
          <w:spacing w:val="-10"/>
        </w:rPr>
        <w:t> </w:t>
      </w:r>
      <w:r>
        <w:rPr/>
        <w:t>will use</w:t>
      </w:r>
      <w:r>
        <w:rPr>
          <w:spacing w:val="-6"/>
        </w:rPr>
        <w:t> </w:t>
      </w:r>
      <w:r>
        <w:rPr/>
        <w:t>the</w:t>
      </w:r>
      <w:r>
        <w:rPr>
          <w:spacing w:val="-5"/>
        </w:rPr>
        <w:t> </w:t>
      </w:r>
      <w:r>
        <w:rPr/>
        <w:t>comprehensive</w:t>
      </w:r>
      <w:r>
        <w:rPr>
          <w:spacing w:val="-6"/>
        </w:rPr>
        <w:t> </w:t>
      </w:r>
      <w:r>
        <w:rPr/>
        <w:t>plans</w:t>
      </w:r>
      <w:r>
        <w:rPr>
          <w:spacing w:val="-5"/>
        </w:rPr>
        <w:t> </w:t>
      </w:r>
      <w:r>
        <w:rPr/>
        <w:t>of</w:t>
      </w:r>
      <w:r>
        <w:rPr>
          <w:spacing w:val="-6"/>
        </w:rPr>
        <w:t> </w:t>
      </w:r>
      <w:r>
        <w:rPr/>
        <w:t>each</w:t>
      </w:r>
      <w:r>
        <w:rPr>
          <w:spacing w:val="-5"/>
        </w:rPr>
        <w:t> </w:t>
      </w:r>
      <w:r>
        <w:rPr/>
        <w:t>county</w:t>
      </w:r>
      <w:r>
        <w:rPr>
          <w:spacing w:val="-7"/>
        </w:rPr>
        <w:t> </w:t>
      </w:r>
      <w:r>
        <w:rPr/>
        <w:t>and</w:t>
      </w:r>
      <w:r>
        <w:rPr>
          <w:spacing w:val="-7"/>
        </w:rPr>
        <w:t> </w:t>
      </w:r>
      <w:r>
        <w:rPr/>
        <w:t>city</w:t>
      </w:r>
      <w:r>
        <w:rPr>
          <w:spacing w:val="-7"/>
        </w:rPr>
        <w:t> </w:t>
      </w:r>
      <w:r>
        <w:rPr/>
        <w:t>and</w:t>
      </w:r>
      <w:r>
        <w:rPr>
          <w:spacing w:val="-7"/>
        </w:rPr>
        <w:t> </w:t>
      </w:r>
      <w:r>
        <w:rPr/>
        <w:t>the</w:t>
      </w:r>
      <w:r>
        <w:rPr>
          <w:spacing w:val="-5"/>
        </w:rPr>
        <w:t> </w:t>
      </w:r>
      <w:r>
        <w:rPr/>
        <w:t>permitted</w:t>
      </w:r>
      <w:r>
        <w:rPr>
          <w:spacing w:val="-6"/>
        </w:rPr>
        <w:t> </w:t>
      </w:r>
      <w:r>
        <w:rPr/>
        <w:t>densities</w:t>
      </w:r>
      <w:r>
        <w:rPr>
          <w:spacing w:val="-6"/>
        </w:rPr>
        <w:t> </w:t>
      </w:r>
      <w:r>
        <w:rPr/>
        <w:t>of</w:t>
      </w:r>
      <w:r>
        <w:rPr>
          <w:spacing w:val="-5"/>
        </w:rPr>
        <w:t> </w:t>
      </w:r>
      <w:r>
        <w:rPr/>
        <w:t>the</w:t>
      </w:r>
      <w:r>
        <w:rPr>
          <w:spacing w:val="-6"/>
        </w:rPr>
        <w:t> </w:t>
      </w:r>
      <w:r>
        <w:rPr/>
        <w:t>incorporated and un-incorporated areas pursuant to RCW</w:t>
      </w:r>
      <w:r>
        <w:rPr>
          <w:spacing w:val="-5"/>
        </w:rPr>
        <w:t> </w:t>
      </w:r>
      <w:r>
        <w:rPr/>
        <w:t>36.70A.130(3).</w:t>
      </w:r>
    </w:p>
    <w:p>
      <w:pPr>
        <w:pStyle w:val="BodyText"/>
        <w:spacing w:before="120"/>
        <w:ind w:left="140" w:right="576"/>
      </w:pPr>
      <w:r>
        <w:rPr/>
        <w:t>Exceptions to the annual amendment limitation, according to RCW 36.70A.130, include the adoption of a subarea plan; the development of an initial subarea plan for economic development located outside of the one hundred year floodplain in a county that has completed a state-funded pilot project that is based on watershed characterization and local habitat assessment; shoreline master programs; or the amendment of the capital facilities element occurring concurrently with the adoption or amendment of the City’s budget.</w:t>
      </w:r>
    </w:p>
    <w:p>
      <w:pPr>
        <w:spacing w:after="0"/>
        <w:sectPr>
          <w:pgSz w:w="12240" w:h="15840"/>
          <w:pgMar w:header="0" w:footer="1132" w:top="1360" w:bottom="1320" w:left="1300" w:right="1100"/>
        </w:sectPr>
      </w:pPr>
    </w:p>
    <w:p>
      <w:pPr>
        <w:pStyle w:val="Heading2"/>
      </w:pPr>
      <w:bookmarkStart w:name="Economic Development" w:id="14"/>
      <w:bookmarkEnd w:id="14"/>
      <w:r>
        <w:rPr>
          <w:b w:val="0"/>
        </w:rPr>
      </w:r>
      <w:bookmarkStart w:name="Section One" w:id="15"/>
      <w:bookmarkEnd w:id="15"/>
      <w:r>
        <w:rPr>
          <w:b w:val="0"/>
        </w:rPr>
      </w:r>
      <w:bookmarkStart w:name="_bookmark6" w:id="16"/>
      <w:bookmarkEnd w:id="16"/>
      <w:r>
        <w:rPr>
          <w:b w:val="0"/>
        </w:rPr>
      </w:r>
      <w:bookmarkStart w:name="_bookmark7" w:id="17"/>
      <w:bookmarkEnd w:id="17"/>
      <w:r>
        <w:rPr>
          <w:b w:val="0"/>
        </w:rPr>
      </w:r>
      <w:r>
        <w:rPr/>
        <w:t>ECONOMIC DEVELOPMENT</w:t>
      </w:r>
    </w:p>
    <w:p>
      <w:pPr>
        <w:pStyle w:val="Heading7"/>
        <w:spacing w:before="199"/>
        <w:ind w:left="140"/>
      </w:pPr>
      <w:r>
        <w:rPr>
          <w:color w:val="4F81BC"/>
        </w:rPr>
        <w:t>SECTION ONE</w:t>
      </w:r>
    </w:p>
    <w:p>
      <w:pPr>
        <w:pStyle w:val="Heading6"/>
        <w:spacing w:before="201"/>
      </w:pPr>
      <w:bookmarkStart w:name="Introduction" w:id="18"/>
      <w:bookmarkEnd w:id="18"/>
      <w:r>
        <w:rPr>
          <w:b w:val="0"/>
        </w:rPr>
      </w:r>
      <w:bookmarkStart w:name="_bookmark8" w:id="19"/>
      <w:bookmarkEnd w:id="19"/>
      <w:r>
        <w:rPr>
          <w:b w:val="0"/>
        </w:rPr>
      </w:r>
      <w:r>
        <w:rPr/>
        <w:t>INTRODUCTION</w:t>
      </w:r>
    </w:p>
    <w:p>
      <w:pPr>
        <w:spacing w:before="199"/>
        <w:ind w:left="140" w:right="0" w:firstLine="0"/>
        <w:jc w:val="left"/>
        <w:rPr>
          <w:b/>
          <w:sz w:val="24"/>
        </w:rPr>
      </w:pPr>
      <w:bookmarkStart w:name="PURPOSE" w:id="20"/>
      <w:bookmarkEnd w:id="20"/>
      <w:r>
        <w:rPr/>
      </w:r>
      <w:r>
        <w:rPr>
          <w:b/>
          <w:sz w:val="24"/>
        </w:rPr>
        <w:t>PURPOSE</w:t>
      </w:r>
    </w:p>
    <w:p>
      <w:pPr>
        <w:pStyle w:val="BodyText"/>
        <w:spacing w:before="120"/>
        <w:ind w:left="140" w:right="332"/>
        <w:jc w:val="both"/>
      </w:pPr>
      <w:r>
        <w:rPr/>
        <w:t>The economic development element of the comprehensive plan is intended to guide investments through</w:t>
      </w:r>
      <w:r>
        <w:rPr>
          <w:spacing w:val="-5"/>
        </w:rPr>
        <w:t> </w:t>
      </w:r>
      <w:r>
        <w:rPr/>
        <w:t>a</w:t>
      </w:r>
      <w:r>
        <w:rPr>
          <w:spacing w:val="-4"/>
        </w:rPr>
        <w:t> </w:t>
      </w:r>
      <w:r>
        <w:rPr/>
        <w:t>framework</w:t>
      </w:r>
      <w:r>
        <w:rPr>
          <w:spacing w:val="-5"/>
        </w:rPr>
        <w:t> </w:t>
      </w:r>
      <w:r>
        <w:rPr/>
        <w:t>of</w:t>
      </w:r>
      <w:r>
        <w:rPr>
          <w:spacing w:val="-4"/>
        </w:rPr>
        <w:t> </w:t>
      </w:r>
      <w:r>
        <w:rPr/>
        <w:t>strategy</w:t>
      </w:r>
      <w:r>
        <w:rPr>
          <w:spacing w:val="-5"/>
        </w:rPr>
        <w:t> </w:t>
      </w:r>
      <w:r>
        <w:rPr/>
        <w:t>and</w:t>
      </w:r>
      <w:r>
        <w:rPr>
          <w:spacing w:val="-5"/>
        </w:rPr>
        <w:t> </w:t>
      </w:r>
      <w:r>
        <w:rPr/>
        <w:t>policy</w:t>
      </w:r>
      <w:r>
        <w:rPr>
          <w:spacing w:val="-5"/>
        </w:rPr>
        <w:t> </w:t>
      </w:r>
      <w:r>
        <w:rPr/>
        <w:t>with</w:t>
      </w:r>
      <w:r>
        <w:rPr>
          <w:spacing w:val="-4"/>
        </w:rPr>
        <w:t> </w:t>
      </w:r>
      <w:r>
        <w:rPr/>
        <w:t>the</w:t>
      </w:r>
      <w:r>
        <w:rPr>
          <w:spacing w:val="-7"/>
        </w:rPr>
        <w:t> </w:t>
      </w:r>
      <w:r>
        <w:rPr/>
        <w:t>overall</w:t>
      </w:r>
      <w:r>
        <w:rPr>
          <w:spacing w:val="-4"/>
        </w:rPr>
        <w:t> </w:t>
      </w:r>
      <w:r>
        <w:rPr/>
        <w:t>goal</w:t>
      </w:r>
      <w:r>
        <w:rPr>
          <w:spacing w:val="-4"/>
        </w:rPr>
        <w:t> </w:t>
      </w:r>
      <w:r>
        <w:rPr/>
        <w:t>of</w:t>
      </w:r>
      <w:r>
        <w:rPr>
          <w:spacing w:val="-4"/>
        </w:rPr>
        <w:t> </w:t>
      </w:r>
      <w:r>
        <w:rPr/>
        <w:t>growing</w:t>
      </w:r>
      <w:r>
        <w:rPr>
          <w:spacing w:val="-3"/>
        </w:rPr>
        <w:t> </w:t>
      </w:r>
      <w:r>
        <w:rPr/>
        <w:t>economic</w:t>
      </w:r>
      <w:r>
        <w:rPr>
          <w:spacing w:val="-3"/>
        </w:rPr>
        <w:t> </w:t>
      </w:r>
      <w:r>
        <w:rPr/>
        <w:t>opportunities in</w:t>
      </w:r>
      <w:r>
        <w:rPr>
          <w:spacing w:val="-12"/>
        </w:rPr>
        <w:t> </w:t>
      </w:r>
      <w:r>
        <w:rPr/>
        <w:t>the</w:t>
      </w:r>
      <w:r>
        <w:rPr>
          <w:spacing w:val="-14"/>
        </w:rPr>
        <w:t> </w:t>
      </w:r>
      <w:r>
        <w:rPr/>
        <w:t>City.</w:t>
      </w:r>
      <w:r>
        <w:rPr>
          <w:spacing w:val="25"/>
        </w:rPr>
        <w:t> </w:t>
      </w:r>
      <w:r>
        <w:rPr/>
        <w:t>The</w:t>
      </w:r>
      <w:r>
        <w:rPr>
          <w:spacing w:val="-11"/>
        </w:rPr>
        <w:t> </w:t>
      </w:r>
      <w:r>
        <w:rPr/>
        <w:t>intent</w:t>
      </w:r>
      <w:r>
        <w:rPr>
          <w:spacing w:val="-13"/>
        </w:rPr>
        <w:t> </w:t>
      </w:r>
      <w:r>
        <w:rPr/>
        <w:t>is</w:t>
      </w:r>
      <w:r>
        <w:rPr>
          <w:spacing w:val="-10"/>
        </w:rPr>
        <w:t> </w:t>
      </w:r>
      <w:r>
        <w:rPr/>
        <w:t>to</w:t>
      </w:r>
      <w:r>
        <w:rPr>
          <w:spacing w:val="-14"/>
        </w:rPr>
        <w:t> </w:t>
      </w:r>
      <w:r>
        <w:rPr/>
        <w:t>identify</w:t>
      </w:r>
      <w:r>
        <w:rPr>
          <w:spacing w:val="-11"/>
        </w:rPr>
        <w:t> </w:t>
      </w:r>
      <w:r>
        <w:rPr/>
        <w:t>sound</w:t>
      </w:r>
      <w:r>
        <w:rPr>
          <w:spacing w:val="-12"/>
        </w:rPr>
        <w:t> </w:t>
      </w:r>
      <w:r>
        <w:rPr/>
        <w:t>economic</w:t>
      </w:r>
      <w:r>
        <w:rPr>
          <w:spacing w:val="-12"/>
        </w:rPr>
        <w:t> </w:t>
      </w:r>
      <w:r>
        <w:rPr/>
        <w:t>development</w:t>
      </w:r>
      <w:r>
        <w:rPr>
          <w:spacing w:val="-12"/>
        </w:rPr>
        <w:t> </w:t>
      </w:r>
      <w:r>
        <w:rPr/>
        <w:t>practices</w:t>
      </w:r>
      <w:r>
        <w:rPr>
          <w:spacing w:val="-9"/>
        </w:rPr>
        <w:t> </w:t>
      </w:r>
      <w:r>
        <w:rPr/>
        <w:t>to</w:t>
      </w:r>
      <w:r>
        <w:rPr>
          <w:spacing w:val="-14"/>
        </w:rPr>
        <w:t> </w:t>
      </w:r>
      <w:r>
        <w:rPr/>
        <w:t>build</w:t>
      </w:r>
      <w:r>
        <w:rPr>
          <w:spacing w:val="-12"/>
        </w:rPr>
        <w:t> </w:t>
      </w:r>
      <w:r>
        <w:rPr/>
        <w:t>a</w:t>
      </w:r>
      <w:r>
        <w:rPr>
          <w:spacing w:val="-13"/>
        </w:rPr>
        <w:t> </w:t>
      </w:r>
      <w:r>
        <w:rPr/>
        <w:t>strong</w:t>
      </w:r>
      <w:r>
        <w:rPr>
          <w:spacing w:val="-10"/>
        </w:rPr>
        <w:t> </w:t>
      </w:r>
      <w:r>
        <w:rPr/>
        <w:t>economy where local businesses are welcomed and encouraged by the City and ensure the economy is resilient, dynamic, and sustainable for current and future</w:t>
      </w:r>
      <w:r>
        <w:rPr>
          <w:spacing w:val="-15"/>
        </w:rPr>
        <w:t> </w:t>
      </w:r>
      <w:r>
        <w:rPr/>
        <w:t>generations.</w:t>
      </w:r>
    </w:p>
    <w:p>
      <w:pPr>
        <w:pStyle w:val="BodyText"/>
        <w:spacing w:before="121"/>
        <w:ind w:left="140" w:right="335"/>
        <w:jc w:val="both"/>
      </w:pPr>
      <w:r>
        <w:rPr/>
        <w:t>The</w:t>
      </w:r>
      <w:r>
        <w:rPr>
          <w:spacing w:val="-7"/>
        </w:rPr>
        <w:t> </w:t>
      </w:r>
      <w:r>
        <w:rPr/>
        <w:t>City’s</w:t>
      </w:r>
      <w:r>
        <w:rPr>
          <w:spacing w:val="-4"/>
        </w:rPr>
        <w:t> </w:t>
      </w:r>
      <w:r>
        <w:rPr/>
        <w:t>ability</w:t>
      </w:r>
      <w:r>
        <w:rPr>
          <w:spacing w:val="-6"/>
        </w:rPr>
        <w:t> </w:t>
      </w:r>
      <w:r>
        <w:rPr/>
        <w:t>to</w:t>
      </w:r>
      <w:r>
        <w:rPr>
          <w:spacing w:val="-4"/>
        </w:rPr>
        <w:t> </w:t>
      </w:r>
      <w:r>
        <w:rPr/>
        <w:t>understand</w:t>
      </w:r>
      <w:r>
        <w:rPr>
          <w:spacing w:val="-6"/>
        </w:rPr>
        <w:t> </w:t>
      </w:r>
      <w:r>
        <w:rPr/>
        <w:t>their</w:t>
      </w:r>
      <w:r>
        <w:rPr>
          <w:spacing w:val="-6"/>
        </w:rPr>
        <w:t> </w:t>
      </w:r>
      <w:r>
        <w:rPr/>
        <w:t>competitive</w:t>
      </w:r>
      <w:r>
        <w:rPr>
          <w:spacing w:val="-5"/>
        </w:rPr>
        <w:t> </w:t>
      </w:r>
      <w:r>
        <w:rPr/>
        <w:t>advantages</w:t>
      </w:r>
      <w:r>
        <w:rPr>
          <w:spacing w:val="-3"/>
        </w:rPr>
        <w:t> </w:t>
      </w:r>
      <w:r>
        <w:rPr/>
        <w:t>and</w:t>
      </w:r>
      <w:r>
        <w:rPr>
          <w:spacing w:val="-6"/>
        </w:rPr>
        <w:t> </w:t>
      </w:r>
      <w:r>
        <w:rPr/>
        <w:t>proactively</w:t>
      </w:r>
      <w:r>
        <w:rPr>
          <w:spacing w:val="-6"/>
        </w:rPr>
        <w:t> </w:t>
      </w:r>
      <w:r>
        <w:rPr/>
        <w:t>work</w:t>
      </w:r>
      <w:r>
        <w:rPr>
          <w:spacing w:val="-5"/>
        </w:rPr>
        <w:t> </w:t>
      </w:r>
      <w:r>
        <w:rPr/>
        <w:t>to</w:t>
      </w:r>
      <w:r>
        <w:rPr>
          <w:spacing w:val="-5"/>
        </w:rPr>
        <w:t> </w:t>
      </w:r>
      <w:r>
        <w:rPr/>
        <w:t>attract</w:t>
      </w:r>
      <w:r>
        <w:rPr>
          <w:spacing w:val="-6"/>
        </w:rPr>
        <w:t> </w:t>
      </w:r>
      <w:r>
        <w:rPr/>
        <w:t>cutting edge employers will in turn create more living wage jobs which will in turn produce municipal revenues for maintaining and enhancing quality service levels, infrastructure, and</w:t>
      </w:r>
      <w:r>
        <w:rPr>
          <w:spacing w:val="-21"/>
        </w:rPr>
        <w:t> </w:t>
      </w:r>
      <w:r>
        <w:rPr/>
        <w:t>facilities.</w:t>
      </w:r>
    </w:p>
    <w:p>
      <w:pPr>
        <w:pStyle w:val="BodyText"/>
        <w:spacing w:before="119"/>
        <w:ind w:left="140" w:right="334"/>
        <w:jc w:val="both"/>
      </w:pPr>
      <w:r>
        <w:rPr/>
        <w:t>Strategies outlined in the economic development element are designed to work in concert with the other</w:t>
      </w:r>
      <w:r>
        <w:rPr>
          <w:spacing w:val="-5"/>
        </w:rPr>
        <w:t> </w:t>
      </w:r>
      <w:r>
        <w:rPr/>
        <w:t>comprehensive</w:t>
      </w:r>
      <w:r>
        <w:rPr>
          <w:spacing w:val="-2"/>
        </w:rPr>
        <w:t> </w:t>
      </w:r>
      <w:r>
        <w:rPr/>
        <w:t>plan</w:t>
      </w:r>
      <w:r>
        <w:rPr>
          <w:spacing w:val="-3"/>
        </w:rPr>
        <w:t> </w:t>
      </w:r>
      <w:r>
        <w:rPr/>
        <w:t>elements</w:t>
      </w:r>
      <w:r>
        <w:rPr>
          <w:spacing w:val="-3"/>
        </w:rPr>
        <w:t> </w:t>
      </w:r>
      <w:r>
        <w:rPr/>
        <w:t>herein.</w:t>
      </w:r>
      <w:r>
        <w:rPr>
          <w:spacing w:val="-4"/>
        </w:rPr>
        <w:t> </w:t>
      </w:r>
      <w:r>
        <w:rPr/>
        <w:t>This</w:t>
      </w:r>
      <w:r>
        <w:rPr>
          <w:spacing w:val="-3"/>
        </w:rPr>
        <w:t> </w:t>
      </w:r>
      <w:r>
        <w:rPr/>
        <w:t>element</w:t>
      </w:r>
      <w:r>
        <w:rPr>
          <w:spacing w:val="-5"/>
        </w:rPr>
        <w:t> </w:t>
      </w:r>
      <w:r>
        <w:rPr/>
        <w:t>is</w:t>
      </w:r>
      <w:r>
        <w:rPr>
          <w:spacing w:val="-3"/>
        </w:rPr>
        <w:t> </w:t>
      </w:r>
      <w:r>
        <w:rPr/>
        <w:t>intended</w:t>
      </w:r>
      <w:r>
        <w:rPr>
          <w:spacing w:val="-2"/>
        </w:rPr>
        <w:t> </w:t>
      </w:r>
      <w:r>
        <w:rPr/>
        <w:t>to</w:t>
      </w:r>
      <w:r>
        <w:rPr>
          <w:spacing w:val="-2"/>
        </w:rPr>
        <w:t> </w:t>
      </w:r>
      <w:r>
        <w:rPr/>
        <w:t>be</w:t>
      </w:r>
      <w:r>
        <w:rPr>
          <w:spacing w:val="-4"/>
        </w:rPr>
        <w:t> </w:t>
      </w:r>
      <w:r>
        <w:rPr/>
        <w:t>consistent</w:t>
      </w:r>
      <w:r>
        <w:rPr>
          <w:spacing w:val="-2"/>
        </w:rPr>
        <w:t> </w:t>
      </w:r>
      <w:r>
        <w:rPr/>
        <w:t>with</w:t>
      </w:r>
      <w:r>
        <w:rPr>
          <w:spacing w:val="-1"/>
        </w:rPr>
        <w:t> </w:t>
      </w:r>
      <w:r>
        <w:rPr/>
        <w:t>and</w:t>
      </w:r>
      <w:r>
        <w:rPr>
          <w:spacing w:val="-5"/>
        </w:rPr>
        <w:t> </w:t>
      </w:r>
      <w:r>
        <w:rPr/>
        <w:t>build upon existing documents such as the policies and strategies outlined in the CWPP, Strategic Leadership Plan, and community visioning documents. The roles of the policies laid out in this plan are to 1) create strong City leadership for economic development, 2) ensure that appropriate land capacity and infrastructure can support future employment and housing growth, and 3) articulate a</w:t>
      </w:r>
      <w:bookmarkStart w:name="Background and overview" w:id="21"/>
      <w:bookmarkEnd w:id="21"/>
      <w:r>
        <w:rPr/>
      </w:r>
      <w:r>
        <w:rPr/>
        <w:t> business environment that supports a dynamic, prosperous, and equitable</w:t>
      </w:r>
      <w:r>
        <w:rPr>
          <w:spacing w:val="-12"/>
        </w:rPr>
        <w:t> </w:t>
      </w:r>
      <w:r>
        <w:rPr/>
        <w:t>economy.</w:t>
      </w:r>
    </w:p>
    <w:p>
      <w:pPr>
        <w:spacing w:before="201"/>
        <w:ind w:left="140" w:right="0" w:firstLine="0"/>
        <w:jc w:val="left"/>
        <w:rPr>
          <w:b/>
          <w:sz w:val="24"/>
        </w:rPr>
      </w:pPr>
      <w:r>
        <w:rPr>
          <w:b/>
          <w:sz w:val="24"/>
        </w:rPr>
        <w:t>BACKGROUND AND OVERVIEW</w:t>
      </w:r>
    </w:p>
    <w:p>
      <w:pPr>
        <w:pStyle w:val="BodyText"/>
        <w:spacing w:before="120"/>
        <w:ind w:left="140" w:right="334"/>
        <w:jc w:val="both"/>
      </w:pPr>
      <w:r>
        <w:rPr/>
        <w:t>Washington State’s GMA includes economic development as a central goal and integral to a thriving city. Economic development connects to and is instrumental in informing the other elements of the comprehensive plan; without a strong local economy, goals related to land use, housing, capital planning, and transportation serve little value.</w:t>
      </w:r>
    </w:p>
    <w:p>
      <w:pPr>
        <w:pStyle w:val="BodyText"/>
        <w:spacing w:before="120"/>
        <w:ind w:left="140" w:right="495"/>
      </w:pPr>
      <w:r>
        <w:rPr/>
        <w:t>It is due to the hard work and good fortune of the residents and businesses located in the City of Richland that the City has a strong and growing economic base. It is important, however, to consider Richland within the context of the other two Tri-Cities – Pasco and Kennewick – to which the region’s economy is inextricably linked.</w:t>
      </w:r>
    </w:p>
    <w:p>
      <w:pPr>
        <w:pStyle w:val="BodyText"/>
        <w:spacing w:before="120"/>
        <w:ind w:left="140" w:right="335"/>
        <w:jc w:val="both"/>
      </w:pPr>
      <w:r>
        <w:rPr/>
        <w:t>The City of Richland’s economy is explored in this section by first examining what drives the growth in the regional economy and then discussing Richland’s role in the economy and some implications</w:t>
      </w:r>
      <w:bookmarkStart w:name="Section Two" w:id="22"/>
      <w:bookmarkEnd w:id="22"/>
      <w:r>
        <w:rPr/>
      </w:r>
      <w:bookmarkStart w:name="_bookmark9" w:id="23"/>
      <w:bookmarkEnd w:id="23"/>
      <w:r>
        <w:rPr/>
      </w:r>
      <w:r>
        <w:rPr/>
        <w:t> for growing as part of this plan.</w:t>
      </w:r>
    </w:p>
    <w:p>
      <w:pPr>
        <w:pStyle w:val="Heading7"/>
        <w:spacing w:before="199"/>
        <w:ind w:left="140"/>
        <w:jc w:val="both"/>
      </w:pPr>
      <w:r>
        <w:rPr>
          <w:color w:val="4F81BC"/>
        </w:rPr>
        <w:t>SECTION TWO</w:t>
      </w:r>
    </w:p>
    <w:p>
      <w:pPr>
        <w:pStyle w:val="Heading6"/>
        <w:spacing w:before="200"/>
      </w:pPr>
      <w:bookmarkStart w:name="Existing Conditions" w:id="24"/>
      <w:bookmarkEnd w:id="24"/>
      <w:r>
        <w:rPr>
          <w:b w:val="0"/>
        </w:rPr>
      </w:r>
      <w:bookmarkStart w:name="Regional EConomic trends" w:id="25"/>
      <w:bookmarkEnd w:id="25"/>
      <w:r>
        <w:rPr>
          <w:b w:val="0"/>
        </w:rPr>
      </w:r>
      <w:bookmarkStart w:name="_bookmark10" w:id="26"/>
      <w:bookmarkEnd w:id="26"/>
      <w:r>
        <w:rPr>
          <w:b w:val="0"/>
        </w:rPr>
      </w:r>
      <w:r>
        <w:rPr/>
        <w:t>EXISTING</w:t>
      </w:r>
      <w:r>
        <w:rPr>
          <w:spacing w:val="-9"/>
        </w:rPr>
        <w:t> </w:t>
      </w:r>
      <w:r>
        <w:rPr/>
        <w:t>CONDITIONS</w:t>
      </w:r>
    </w:p>
    <w:p>
      <w:pPr>
        <w:spacing w:before="200"/>
        <w:ind w:left="140" w:right="0" w:firstLine="0"/>
        <w:jc w:val="left"/>
        <w:rPr>
          <w:b/>
          <w:sz w:val="24"/>
        </w:rPr>
      </w:pPr>
      <w:r>
        <w:rPr>
          <w:b/>
          <w:sz w:val="24"/>
        </w:rPr>
        <w:t>REGIONAL ECONOMIC</w:t>
      </w:r>
      <w:r>
        <w:rPr>
          <w:b/>
          <w:spacing w:val="-11"/>
          <w:sz w:val="24"/>
        </w:rPr>
        <w:t> </w:t>
      </w:r>
      <w:r>
        <w:rPr>
          <w:b/>
          <w:sz w:val="24"/>
        </w:rPr>
        <w:t>TRENDS</w:t>
      </w:r>
    </w:p>
    <w:p>
      <w:pPr>
        <w:spacing w:before="201"/>
        <w:ind w:left="140" w:right="0" w:firstLine="0"/>
        <w:jc w:val="left"/>
        <w:rPr>
          <w:b/>
          <w:sz w:val="22"/>
        </w:rPr>
      </w:pPr>
      <w:bookmarkStart w:name="Gross Domestic Product" w:id="27"/>
      <w:bookmarkEnd w:id="27"/>
      <w:r>
        <w:rPr/>
      </w:r>
      <w:r>
        <w:rPr>
          <w:b/>
          <w:color w:val="C0504D"/>
          <w:sz w:val="22"/>
        </w:rPr>
        <w:t>Gross Domestic Product</w:t>
      </w:r>
    </w:p>
    <w:p>
      <w:pPr>
        <w:pStyle w:val="BodyText"/>
        <w:spacing w:before="119"/>
        <w:ind w:left="140" w:right="110"/>
      </w:pPr>
      <w:r>
        <w:rPr/>
        <w:t>The economy of the Tri-Cities region is primarily a service-based economy. Goods producing industries</w:t>
      </w:r>
      <w:r>
        <w:rPr>
          <w:spacing w:val="-9"/>
        </w:rPr>
        <w:t> </w:t>
      </w:r>
      <w:r>
        <w:rPr/>
        <w:t>(such</w:t>
      </w:r>
      <w:r>
        <w:rPr>
          <w:spacing w:val="-10"/>
        </w:rPr>
        <w:t> </w:t>
      </w:r>
      <w:r>
        <w:rPr/>
        <w:t>as</w:t>
      </w:r>
      <w:r>
        <w:rPr>
          <w:spacing w:val="-11"/>
        </w:rPr>
        <w:t> </w:t>
      </w:r>
      <w:r>
        <w:rPr/>
        <w:t>manufacturing)</w:t>
      </w:r>
      <w:r>
        <w:rPr>
          <w:spacing w:val="-13"/>
        </w:rPr>
        <w:t> </w:t>
      </w:r>
      <w:r>
        <w:rPr/>
        <w:t>make</w:t>
      </w:r>
      <w:r>
        <w:rPr>
          <w:spacing w:val="-10"/>
        </w:rPr>
        <w:t> </w:t>
      </w:r>
      <w:r>
        <w:rPr/>
        <w:t>up</w:t>
      </w:r>
      <w:r>
        <w:rPr>
          <w:spacing w:val="-10"/>
        </w:rPr>
        <w:t> </w:t>
      </w:r>
      <w:r>
        <w:rPr/>
        <w:t>less</w:t>
      </w:r>
      <w:r>
        <w:rPr>
          <w:spacing w:val="-9"/>
        </w:rPr>
        <w:t> </w:t>
      </w:r>
      <w:r>
        <w:rPr/>
        <w:t>than</w:t>
      </w:r>
      <w:r>
        <w:rPr>
          <w:spacing w:val="-10"/>
        </w:rPr>
        <w:t> </w:t>
      </w:r>
      <w:r>
        <w:rPr/>
        <w:t>25</w:t>
      </w:r>
      <w:r>
        <w:rPr>
          <w:spacing w:val="-10"/>
        </w:rPr>
        <w:t> </w:t>
      </w:r>
      <w:r>
        <w:rPr/>
        <w:t>percent</w:t>
      </w:r>
      <w:r>
        <w:rPr>
          <w:spacing w:val="-10"/>
        </w:rPr>
        <w:t> </w:t>
      </w:r>
      <w:r>
        <w:rPr/>
        <w:t>of</w:t>
      </w:r>
      <w:r>
        <w:rPr>
          <w:spacing w:val="-10"/>
        </w:rPr>
        <w:t> </w:t>
      </w:r>
      <w:r>
        <w:rPr/>
        <w:t>the</w:t>
      </w:r>
      <w:r>
        <w:rPr>
          <w:spacing w:val="-10"/>
        </w:rPr>
        <w:t> </w:t>
      </w:r>
      <w:r>
        <w:rPr/>
        <w:t>total</w:t>
      </w:r>
      <w:r>
        <w:rPr>
          <w:spacing w:val="-10"/>
        </w:rPr>
        <w:t> </w:t>
      </w:r>
      <w:r>
        <w:rPr/>
        <w:t>economic</w:t>
      </w:r>
      <w:r>
        <w:rPr>
          <w:spacing w:val="-9"/>
        </w:rPr>
        <w:t> </w:t>
      </w:r>
      <w:r>
        <w:rPr/>
        <w:t>output.</w:t>
      </w:r>
      <w:r>
        <w:rPr>
          <w:spacing w:val="-10"/>
        </w:rPr>
        <w:t> </w:t>
      </w:r>
      <w:r>
        <w:rPr/>
        <w:t>Figure</w:t>
      </w:r>
    </w:p>
    <w:p>
      <w:pPr>
        <w:spacing w:after="0"/>
        <w:sectPr>
          <w:pgSz w:w="12240" w:h="15840"/>
          <w:pgMar w:header="0" w:footer="1132" w:top="1360" w:bottom="1320" w:left="1300" w:right="1100"/>
        </w:sectPr>
      </w:pPr>
    </w:p>
    <w:p>
      <w:pPr>
        <w:pStyle w:val="BodyText"/>
        <w:spacing w:before="80"/>
        <w:ind w:left="139" w:right="334"/>
        <w:jc w:val="both"/>
      </w:pPr>
      <w:r>
        <w:rPr/>
        <w:t>ED-1 shows the trend of gross domestic product (GDP) in 2016 inflation-adjusted dollars. The Tri- Cities economy was less impacted by the recession in 2008 than the rest of the nation due to the increase in employment at Hanford and PNNL as part of the American Recovery and Reinvestment Act</w:t>
      </w:r>
      <w:r>
        <w:rPr>
          <w:spacing w:val="-13"/>
        </w:rPr>
        <w:t> </w:t>
      </w:r>
      <w:r>
        <w:rPr/>
        <w:t>(ARRA)</w:t>
      </w:r>
      <w:r>
        <w:rPr>
          <w:spacing w:val="-13"/>
        </w:rPr>
        <w:t> </w:t>
      </w:r>
      <w:r>
        <w:rPr/>
        <w:t>of</w:t>
      </w:r>
      <w:r>
        <w:rPr>
          <w:spacing w:val="-13"/>
        </w:rPr>
        <w:t> </w:t>
      </w:r>
      <w:r>
        <w:rPr/>
        <w:t>2009.</w:t>
      </w:r>
      <w:r>
        <w:rPr>
          <w:spacing w:val="-13"/>
        </w:rPr>
        <w:t> </w:t>
      </w:r>
      <w:r>
        <w:rPr/>
        <w:t>The</w:t>
      </w:r>
      <w:r>
        <w:rPr>
          <w:spacing w:val="-11"/>
        </w:rPr>
        <w:t> </w:t>
      </w:r>
      <w:r>
        <w:rPr/>
        <w:t>total</w:t>
      </w:r>
      <w:r>
        <w:rPr>
          <w:spacing w:val="-13"/>
        </w:rPr>
        <w:t> </w:t>
      </w:r>
      <w:r>
        <w:rPr/>
        <w:t>output</w:t>
      </w:r>
      <w:r>
        <w:rPr>
          <w:spacing w:val="-13"/>
        </w:rPr>
        <w:t> </w:t>
      </w:r>
      <w:r>
        <w:rPr/>
        <w:t>declined</w:t>
      </w:r>
      <w:r>
        <w:rPr>
          <w:spacing w:val="-13"/>
        </w:rPr>
        <w:t> </w:t>
      </w:r>
      <w:r>
        <w:rPr/>
        <w:t>from</w:t>
      </w:r>
      <w:r>
        <w:rPr>
          <w:spacing w:val="-13"/>
        </w:rPr>
        <w:t> </w:t>
      </w:r>
      <w:r>
        <w:rPr/>
        <w:t>$10.3</w:t>
      </w:r>
      <w:r>
        <w:rPr>
          <w:spacing w:val="-13"/>
        </w:rPr>
        <w:t> </w:t>
      </w:r>
      <w:r>
        <w:rPr/>
        <w:t>billion</w:t>
      </w:r>
      <w:r>
        <w:rPr>
          <w:spacing w:val="-14"/>
        </w:rPr>
        <w:t> </w:t>
      </w:r>
      <w:r>
        <w:rPr/>
        <w:t>in</w:t>
      </w:r>
      <w:r>
        <w:rPr>
          <w:spacing w:val="-14"/>
        </w:rPr>
        <w:t> </w:t>
      </w:r>
      <w:r>
        <w:rPr/>
        <w:t>2010</w:t>
      </w:r>
      <w:r>
        <w:rPr>
          <w:spacing w:val="-12"/>
        </w:rPr>
        <w:t> </w:t>
      </w:r>
      <w:r>
        <w:rPr/>
        <w:t>to</w:t>
      </w:r>
      <w:r>
        <w:rPr>
          <w:spacing w:val="-13"/>
        </w:rPr>
        <w:t> </w:t>
      </w:r>
      <w:r>
        <w:rPr/>
        <w:t>$8.6</w:t>
      </w:r>
      <w:r>
        <w:rPr>
          <w:spacing w:val="-13"/>
        </w:rPr>
        <w:t> </w:t>
      </w:r>
      <w:r>
        <w:rPr/>
        <w:t>billion</w:t>
      </w:r>
      <w:r>
        <w:rPr>
          <w:spacing w:val="-14"/>
        </w:rPr>
        <w:t> </w:t>
      </w:r>
      <w:r>
        <w:rPr/>
        <w:t>in</w:t>
      </w:r>
      <w:r>
        <w:rPr>
          <w:spacing w:val="-13"/>
        </w:rPr>
        <w:t> </w:t>
      </w:r>
      <w:r>
        <w:rPr/>
        <w:t>2014,</w:t>
      </w:r>
      <w:r>
        <w:rPr>
          <w:spacing w:val="-13"/>
        </w:rPr>
        <w:t> </w:t>
      </w:r>
      <w:r>
        <w:rPr/>
        <w:t>partly due to the end of ARRA and partly reflecting the national recession trends. However, most recent data (not shown) have indicated that economic conditions have continued to improve over the past</w:t>
      </w:r>
      <w:bookmarkStart w:name="_bookmark11" w:id="28"/>
      <w:bookmarkEnd w:id="28"/>
      <w:r>
        <w:rPr/>
      </w:r>
      <w:r>
        <w:rPr/>
        <w:t> two</w:t>
      </w:r>
      <w:r>
        <w:rPr>
          <w:spacing w:val="-1"/>
        </w:rPr>
        <w:t> </w:t>
      </w:r>
      <w:r>
        <w:rPr/>
        <w:t>years.</w:t>
      </w:r>
    </w:p>
    <w:p>
      <w:pPr>
        <w:spacing w:before="119"/>
        <w:ind w:left="140" w:right="0" w:firstLine="0"/>
        <w:jc w:val="both"/>
        <w:rPr>
          <w:rFonts w:ascii="Arial"/>
          <w:b/>
          <w:sz w:val="20"/>
        </w:rPr>
      </w:pPr>
      <w:r>
        <w:rPr/>
        <w:pict>
          <v:group style="position:absolute;margin-left:71.625pt;margin-top:23.125908pt;width:472.8pt;height:257.55pt;mso-position-horizontal-relative:page;mso-position-vertical-relative:paragraph;z-index:-251646976;mso-wrap-distance-left:0;mso-wrap-distance-right:0" coordorigin="1433,463" coordsize="9456,5151">
            <v:line style="position:absolute" from="9612,4168" to="9776,4168" stroked="true" strokeweight=".75pt" strokecolor="#d9d9d9">
              <v:stroke dashstyle="solid"/>
            </v:line>
            <v:line style="position:absolute" from="8959,4168" to="9286,4168" stroked="true" strokeweight=".75pt" strokecolor="#d9d9d9">
              <v:stroke dashstyle="solid"/>
            </v:line>
            <v:line style="position:absolute" from="8304,4168" to="8633,4168" stroked="true" strokeweight=".75pt" strokecolor="#d9d9d9">
              <v:stroke dashstyle="solid"/>
            </v:line>
            <v:line style="position:absolute" from="7651,4168" to="7978,4168" stroked="true" strokeweight=".75pt" strokecolor="#d9d9d9">
              <v:stroke dashstyle="solid"/>
            </v:line>
            <v:line style="position:absolute" from="6996,4168" to="7325,4168" stroked="true" strokeweight=".75pt" strokecolor="#d9d9d9">
              <v:stroke dashstyle="solid"/>
            </v:line>
            <v:line style="position:absolute" from="6343,4168" to="6670,4168" stroked="true" strokeweight=".75pt" strokecolor="#d9d9d9">
              <v:stroke dashstyle="solid"/>
            </v:line>
            <v:line style="position:absolute" from="5690,4168" to="6017,4168" stroked="true" strokeweight=".75pt" strokecolor="#d9d9d9">
              <v:stroke dashstyle="solid"/>
            </v:line>
            <v:line style="position:absolute" from="5035,4168" to="5362,4168" stroked="true" strokeweight=".75pt" strokecolor="#d9d9d9">
              <v:stroke dashstyle="solid"/>
            </v:line>
            <v:line style="position:absolute" from="4382,4168" to="4709,4168" stroked="true" strokeweight=".75pt" strokecolor="#d9d9d9">
              <v:stroke dashstyle="solid"/>
            </v:line>
            <v:line style="position:absolute" from="3727,4168" to="4054,4168" stroked="true" strokeweight=".75pt" strokecolor="#d9d9d9">
              <v:stroke dashstyle="solid"/>
            </v:line>
            <v:line style="position:absolute" from="3074,4168" to="3401,4168" stroked="true" strokeweight=".75pt" strokecolor="#d9d9d9">
              <v:stroke dashstyle="solid"/>
            </v:line>
            <v:line style="position:absolute" from="2584,4168" to="2748,4168" stroked="true" strokeweight=".75pt" strokecolor="#d9d9d9">
              <v:stroke dashstyle="solid"/>
            </v:line>
            <v:line style="position:absolute" from="3074,3489" to="3401,3489" stroked="true" strokeweight=".75pt" strokecolor="#d9d9d9">
              <v:stroke dashstyle="solid"/>
            </v:line>
            <v:line style="position:absolute" from="2584,3489" to="2748,3489" stroked="true" strokeweight=".75pt" strokecolor="#d9d9d9">
              <v:stroke dashstyle="solid"/>
            </v:line>
            <v:line style="position:absolute" from="3074,2810" to="3401,2810" stroked="true" strokeweight=".75pt" strokecolor="#d9d9d9">
              <v:stroke dashstyle="solid"/>
            </v:line>
            <v:line style="position:absolute" from="2584,2810" to="2748,2810" stroked="true" strokeweight=".75pt" strokecolor="#d9d9d9">
              <v:stroke dashstyle="solid"/>
            </v:line>
            <v:rect style="position:absolute;left:2748;top:2723;width:327;height:2124" filled="true" fillcolor="#cdb884" stroked="false">
              <v:fill type="solid"/>
            </v:rect>
            <v:line style="position:absolute" from="3727,3489" to="4054,3489" stroked="true" strokeweight=".75pt" strokecolor="#d9d9d9">
              <v:stroke dashstyle="solid"/>
            </v:line>
            <v:line style="position:absolute" from="3727,2810" to="4054,2810" stroked="true" strokeweight=".75pt" strokecolor="#d9d9d9">
              <v:stroke dashstyle="solid"/>
            </v:line>
            <v:rect style="position:absolute;left:3400;top:2425;width:327;height:2421" filled="true" fillcolor="#cdb884" stroked="false">
              <v:fill type="solid"/>
            </v:rect>
            <v:line style="position:absolute" from="4382,3489" to="4709,3489" stroked="true" strokeweight=".75pt" strokecolor="#d9d9d9">
              <v:stroke dashstyle="solid"/>
            </v:line>
            <v:line style="position:absolute" from="4382,2810" to="4709,2810" stroked="true" strokeweight=".75pt" strokecolor="#d9d9d9">
              <v:stroke dashstyle="solid"/>
            </v:line>
            <v:rect style="position:absolute;left:4053;top:2615;width:329;height:2232" filled="true" fillcolor="#cdb884" stroked="false">
              <v:fill type="solid"/>
            </v:rect>
            <v:line style="position:absolute" from="5035,3489" to="5362,3489" stroked="true" strokeweight=".75pt" strokecolor="#d9d9d9">
              <v:stroke dashstyle="solid"/>
            </v:line>
            <v:line style="position:absolute" from="5035,2810" to="5362,2810" stroked="true" strokeweight=".75pt" strokecolor="#d9d9d9">
              <v:stroke dashstyle="solid"/>
            </v:line>
            <v:rect style="position:absolute;left:4708;top:2543;width:327;height:2304" filled="true" fillcolor="#cdb884" stroked="false">
              <v:fill type="solid"/>
            </v:rect>
            <v:line style="position:absolute" from="5690,3489" to="6017,3489" stroked="true" strokeweight=".75pt" strokecolor="#d9d9d9">
              <v:stroke dashstyle="solid"/>
            </v:line>
            <v:line style="position:absolute" from="5690,2810" to="6017,2810" stroked="true" strokeweight=".75pt" strokecolor="#d9d9d9">
              <v:stroke dashstyle="solid"/>
            </v:line>
            <v:rect style="position:absolute;left:5361;top:2502;width:329;height:2345" filled="true" fillcolor="#cdb884" stroked="false">
              <v:fill type="solid"/>
            </v:rect>
            <v:line style="position:absolute" from="6343,3489" to="6670,3489" stroked="true" strokeweight=".75pt" strokecolor="#d9d9d9">
              <v:stroke dashstyle="solid"/>
            </v:line>
            <v:line style="position:absolute" from="6343,2810" to="6670,2810" stroked="true" strokeweight=".75pt" strokecolor="#d9d9d9">
              <v:stroke dashstyle="solid"/>
            </v:line>
            <v:rect style="position:absolute;left:6016;top:2370;width:327;height:2477" filled="true" fillcolor="#cdb884" stroked="false">
              <v:fill type="solid"/>
            </v:rect>
            <v:line style="position:absolute" from="6996,3489" to="7325,3489" stroked="true" strokeweight=".75pt" strokecolor="#d9d9d9">
              <v:stroke dashstyle="solid"/>
            </v:line>
            <v:line style="position:absolute" from="6996,2810" to="7325,2810" stroked="true" strokeweight=".75pt" strokecolor="#d9d9d9">
              <v:stroke dashstyle="solid"/>
            </v:line>
            <v:line style="position:absolute" from="6996,2131" to="7325,2131" stroked="true" strokeweight=".75pt" strokecolor="#d9d9d9">
              <v:stroke dashstyle="solid"/>
            </v:line>
            <v:line style="position:absolute" from="6343,2131" to="6670,2131" stroked="true" strokeweight=".75pt" strokecolor="#d9d9d9">
              <v:stroke dashstyle="solid"/>
            </v:line>
            <v:rect style="position:absolute;left:6669;top:2101;width:327;height:2745" filled="true" fillcolor="#cdb884" stroked="false">
              <v:fill type="solid"/>
            </v:rect>
            <v:line style="position:absolute" from="7651,3489" to="7978,3489" stroked="true" strokeweight=".75pt" strokecolor="#d9d9d9">
              <v:stroke dashstyle="solid"/>
            </v:line>
            <v:line style="position:absolute" from="7651,2810" to="7978,2810" stroked="true" strokeweight=".75pt" strokecolor="#d9d9d9">
              <v:stroke dashstyle="solid"/>
            </v:line>
            <v:rect style="position:absolute;left:7324;top:2286;width:327;height:2561" filled="true" fillcolor="#cdb884" stroked="false">
              <v:fill type="solid"/>
            </v:rect>
            <v:line style="position:absolute" from="8304,3489" to="8633,3489" stroked="true" strokeweight=".75pt" strokecolor="#d9d9d9">
              <v:stroke dashstyle="solid"/>
            </v:line>
            <v:line style="position:absolute" from="8304,2810" to="8633,2810" stroked="true" strokeweight=".75pt" strokecolor="#d9d9d9">
              <v:stroke dashstyle="solid"/>
            </v:line>
            <v:rect style="position:absolute;left:7977;top:2536;width:327;height:2311" filled="true" fillcolor="#cdb884" stroked="false">
              <v:fill type="solid"/>
            </v:rect>
            <v:line style="position:absolute" from="8959,3489" to="9286,3489" stroked="true" strokeweight=".75pt" strokecolor="#d9d9d9">
              <v:stroke dashstyle="solid"/>
            </v:line>
            <v:line style="position:absolute" from="8959,2810" to="9286,2810" stroked="true" strokeweight=".75pt" strokecolor="#d9d9d9">
              <v:stroke dashstyle="solid"/>
            </v:line>
            <v:rect style="position:absolute;left:8632;top:2589;width:327;height:2258" filled="true" fillcolor="#cdb884" stroked="false">
              <v:fill type="solid"/>
            </v:rect>
            <v:line style="position:absolute" from="9612,3489" to="9776,3489" stroked="true" strokeweight=".75pt" strokecolor="#d9d9d9">
              <v:stroke dashstyle="solid"/>
            </v:line>
            <v:line style="position:absolute" from="9612,2810" to="9776,2810" stroked="true" strokeweight=".75pt" strokecolor="#d9d9d9">
              <v:stroke dashstyle="solid"/>
            </v:line>
            <v:rect style="position:absolute;left:9285;top:2589;width:327;height:2258" filled="true" fillcolor="#cdb884" stroked="false">
              <v:fill type="solid"/>
            </v:rect>
            <v:line style="position:absolute" from="3401,2426" to="3074,2724" stroked="true" strokeweight=".25pt" strokecolor="#a6a6a6">
              <v:stroke dashstyle="solid"/>
            </v:line>
            <v:line style="position:absolute" from="4054,2615" to="3727,2426" stroked="true" strokeweight=".25pt" strokecolor="#a6a6a6">
              <v:stroke dashstyle="solid"/>
            </v:line>
            <v:line style="position:absolute" from="4709,2543" to="4382,2615" stroked="true" strokeweight=".25pt" strokecolor="#a6a6a6">
              <v:stroke dashstyle="solid"/>
            </v:line>
            <v:line style="position:absolute" from="5362,2503" to="5035,2543" stroked="true" strokeweight=".25pt" strokecolor="#a6a6a6">
              <v:stroke dashstyle="solid"/>
            </v:line>
            <v:line style="position:absolute" from="6017,2371" to="5690,2503" stroked="true" strokeweight=".25pt" strokecolor="#a6a6a6">
              <v:stroke dashstyle="solid"/>
            </v:line>
            <v:line style="position:absolute" from="6670,2101" to="6343,2371" stroked="true" strokeweight=".25pt" strokecolor="#a6a6a6">
              <v:stroke dashstyle="solid"/>
            </v:line>
            <v:line style="position:absolute" from="7325,2287" to="6996,2101" stroked="true" strokeweight=".25pt" strokecolor="#a6a6a6">
              <v:stroke dashstyle="solid"/>
            </v:line>
            <v:line style="position:absolute" from="7978,2536" to="7651,2287" stroked="true" strokeweight=".25pt" strokecolor="#a6a6a6">
              <v:stroke dashstyle="solid"/>
            </v:line>
            <v:line style="position:absolute" from="8633,2589" to="8304,2536" stroked="true" strokeweight=".25pt" strokecolor="#a6a6a6">
              <v:stroke dashstyle="solid"/>
            </v:line>
            <v:line style="position:absolute" from="9286,2589" to="8959,2589" stroked="true" strokeweight=".25pt" strokecolor="#a6a6a6">
              <v:stroke dashstyle="solid"/>
            </v:line>
            <v:line style="position:absolute" from="2584,2131" to="3401,2131" stroked="true" strokeweight=".75pt" strokecolor="#d9d9d9">
              <v:stroke dashstyle="solid"/>
            </v:line>
            <v:rect style="position:absolute;left:2748;top:2173;width:327;height:550" filled="true" fillcolor="#6e92a2" stroked="false">
              <v:fill type="solid"/>
            </v:rect>
            <v:line style="position:absolute" from="3727,2131" to="4054,2131" stroked="true" strokeweight=".75pt" strokecolor="#d9d9d9">
              <v:stroke dashstyle="solid"/>
            </v:line>
            <v:rect style="position:absolute;left:3400;top:1732;width:327;height:694" filled="true" fillcolor="#6e92a2" stroked="false">
              <v:fill type="solid"/>
            </v:rect>
            <v:line style="position:absolute" from="4382,2131" to="4709,2131" stroked="true" strokeweight=".75pt" strokecolor="#d9d9d9">
              <v:stroke dashstyle="solid"/>
            </v:line>
            <v:rect style="position:absolute;left:4053;top:1849;width:329;height:766" filled="true" fillcolor="#6e92a2" stroked="false">
              <v:fill type="solid"/>
            </v:rect>
            <v:line style="position:absolute" from="5035,2131" to="5362,2131" stroked="true" strokeweight=".75pt" strokecolor="#d9d9d9">
              <v:stroke dashstyle="solid"/>
            </v:line>
            <v:rect style="position:absolute;left:4708;top:1763;width:327;height:780" filled="true" fillcolor="#6e92a2" stroked="false">
              <v:fill type="solid"/>
            </v:rect>
            <v:line style="position:absolute" from="5690,2131" to="6017,2131" stroked="true" strokeweight=".75pt" strokecolor="#d9d9d9">
              <v:stroke dashstyle="solid"/>
            </v:line>
            <v:rect style="position:absolute;left:5361;top:1768;width:329;height:735" filled="true" fillcolor="#6e92a2" stroked="false">
              <v:fill type="solid"/>
            </v:rect>
            <v:line style="position:absolute" from="2584,1451" to="6670,1451" stroked="true" strokeweight=".75pt" strokecolor="#d9d9d9">
              <v:stroke dashstyle="solid"/>
            </v:line>
            <v:rect style="position:absolute;left:6016;top:1509;width:327;height:862" filled="true" fillcolor="#6e92a2" stroked="false">
              <v:fill type="solid"/>
            </v:rect>
            <v:line style="position:absolute" from="6996,1451" to="9776,1451" stroked="true" strokeweight=".75pt" strokecolor="#d9d9d9">
              <v:stroke dashstyle="solid"/>
            </v:line>
            <v:rect style="position:absolute;left:6669;top:1338;width:327;height:764" filled="true" fillcolor="#6e92a2" stroked="false">
              <v:fill type="solid"/>
            </v:rect>
            <v:line style="position:absolute" from="7651,2131" to="7978,2131" stroked="true" strokeweight=".75pt" strokecolor="#d9d9d9">
              <v:stroke dashstyle="solid"/>
            </v:line>
            <v:rect style="position:absolute;left:7324;top:1545;width:327;height:742" filled="true" fillcolor="#6e92a2" stroked="false">
              <v:fill type="solid"/>
            </v:rect>
            <v:line style="position:absolute" from="8304,2131" to="8633,2131" stroked="true" strokeweight=".75pt" strokecolor="#d9d9d9">
              <v:stroke dashstyle="solid"/>
            </v:line>
            <v:rect style="position:absolute;left:7977;top:1840;width:327;height:696" filled="true" fillcolor="#6e92a2" stroked="false">
              <v:fill type="solid"/>
            </v:rect>
            <v:line style="position:absolute" from="8959,2131" to="9286,2131" stroked="true" strokeweight=".75pt" strokecolor="#d9d9d9">
              <v:stroke dashstyle="solid"/>
            </v:line>
            <v:rect style="position:absolute;left:8632;top:1866;width:327;height:723" filled="true" fillcolor="#6e92a2" stroked="false">
              <v:fill type="solid"/>
            </v:rect>
            <v:line style="position:absolute" from="9612,2131" to="9696,2131" stroked="true" strokeweight=".75pt" strokecolor="#d9d9d9">
              <v:stroke dashstyle="solid"/>
            </v:line>
            <v:rect style="position:absolute;left:9285;top:1909;width:327;height:680" filled="true" fillcolor="#6e92a2" stroked="false">
              <v:fill type="solid"/>
            </v:rect>
            <v:line style="position:absolute" from="3401,1732" to="3074,2174" stroked="true" strokeweight=".25pt" strokecolor="#a6a6a6">
              <v:stroke dashstyle="solid"/>
            </v:line>
            <v:line style="position:absolute" from="4054,1850" to="3727,1732" stroked="true" strokeweight=".25pt" strokecolor="#a6a6a6">
              <v:stroke dashstyle="solid"/>
            </v:line>
            <v:line style="position:absolute" from="4709,1763" to="4382,1850" stroked="true" strokeweight=".25pt" strokecolor="#a6a6a6">
              <v:stroke dashstyle="solid"/>
            </v:line>
            <v:line style="position:absolute" from="5362,1768" to="5035,1763" stroked="true" strokeweight=".25pt" strokecolor="#a6a6a6">
              <v:stroke dashstyle="solid"/>
            </v:line>
            <v:line style="position:absolute" from="6017,1509" to="5690,1768" stroked="true" strokeweight=".25pt" strokecolor="#a6a6a6">
              <v:stroke dashstyle="solid"/>
            </v:line>
            <v:line style="position:absolute" from="6670,1339" to="6343,1509" stroked="true" strokeweight=".25pt" strokecolor="#a6a6a6">
              <v:stroke dashstyle="solid"/>
            </v:line>
            <v:line style="position:absolute" from="7325,1545" to="6996,1339" stroked="true" strokeweight=".25pt" strokecolor="#a6a6a6">
              <v:stroke dashstyle="solid"/>
            </v:line>
            <v:line style="position:absolute" from="7978,1840" to="7651,1545" stroked="true" strokeweight=".25pt" strokecolor="#a6a6a6">
              <v:stroke dashstyle="solid"/>
            </v:line>
            <v:line style="position:absolute" from="8633,1867" to="8304,1840" stroked="true" strokeweight=".25pt" strokecolor="#a6a6a6">
              <v:stroke dashstyle="solid"/>
            </v:line>
            <v:line style="position:absolute" from="9286,1910" to="8959,1867" stroked="true" strokeweight=".25pt" strokecolor="#a6a6a6">
              <v:stroke dashstyle="solid"/>
            </v:line>
            <v:line style="position:absolute" from="2584,773" to="9776,773" stroked="true" strokeweight=".75pt" strokecolor="#d9d9d9">
              <v:stroke dashstyle="solid"/>
            </v:line>
            <v:line style="position:absolute" from="2584,4847" to="2584,773" stroked="true" strokeweight=".75pt" strokecolor="#858585">
              <v:stroke dashstyle="solid"/>
            </v:line>
            <v:line style="position:absolute" from="2510,4847" to="2584,4847" stroked="true" strokeweight=".75pt" strokecolor="#858585">
              <v:stroke dashstyle="solid"/>
            </v:line>
            <v:line style="position:absolute" from="2510,4168" to="2584,4168" stroked="true" strokeweight=".75pt" strokecolor="#858585">
              <v:stroke dashstyle="solid"/>
            </v:line>
            <v:line style="position:absolute" from="2510,3489" to="2584,3489" stroked="true" strokeweight=".75pt" strokecolor="#858585">
              <v:stroke dashstyle="solid"/>
            </v:line>
            <v:line style="position:absolute" from="2510,2810" to="2584,2810" stroked="true" strokeweight=".75pt" strokecolor="#858585">
              <v:stroke dashstyle="solid"/>
            </v:line>
            <v:line style="position:absolute" from="2510,2131" to="2584,2131" stroked="true" strokeweight=".75pt" strokecolor="#858585">
              <v:stroke dashstyle="solid"/>
            </v:line>
            <v:line style="position:absolute" from="2510,1451" to="2584,1451" stroked="true" strokeweight=".75pt" strokecolor="#858585">
              <v:stroke dashstyle="solid"/>
            </v:line>
            <v:line style="position:absolute" from="2510,773" to="2584,773" stroked="true" strokeweight=".75pt" strokecolor="#858585">
              <v:stroke dashstyle="solid"/>
            </v:line>
            <v:line style="position:absolute" from="2584,4847" to="9776,4847" stroked="true" strokeweight=".75pt" strokecolor="#858585">
              <v:stroke dashstyle="solid"/>
            </v:line>
            <v:line style="position:absolute" from="2584,4847" to="2584,4920" stroked="true" strokeweight=".75pt" strokecolor="#858585">
              <v:stroke dashstyle="solid"/>
            </v:line>
            <v:line style="position:absolute" from="3238,4847" to="3238,4920" stroked="true" strokeweight=".75pt" strokecolor="#858585">
              <v:stroke dashstyle="solid"/>
            </v:line>
            <v:line style="position:absolute" from="3890,4847" to="3890,4920" stroked="true" strokeweight=".75pt" strokecolor="#858585">
              <v:stroke dashstyle="solid"/>
            </v:line>
            <v:line style="position:absolute" from="4546,4847" to="4546,4920" stroked="true" strokeweight=".75pt" strokecolor="#858585">
              <v:stroke dashstyle="solid"/>
            </v:line>
            <v:line style="position:absolute" from="5198,4847" to="5198,4920" stroked="true" strokeweight=".75pt" strokecolor="#858585">
              <v:stroke dashstyle="solid"/>
            </v:line>
            <v:line style="position:absolute" from="5854,4847" to="5854,4920" stroked="true" strokeweight=".75pt" strokecolor="#858585">
              <v:stroke dashstyle="solid"/>
            </v:line>
            <v:line style="position:absolute" from="6506,4847" to="6506,4920" stroked="true" strokeweight=".75pt" strokecolor="#858585">
              <v:stroke dashstyle="solid"/>
            </v:line>
            <v:line style="position:absolute" from="7162,4847" to="7162,4920" stroked="true" strokeweight=".75pt" strokecolor="#858585">
              <v:stroke dashstyle="solid"/>
            </v:line>
            <v:line style="position:absolute" from="7814,4847" to="7814,4920" stroked="true" strokeweight=".75pt" strokecolor="#858585">
              <v:stroke dashstyle="solid"/>
            </v:line>
            <v:line style="position:absolute" from="8467,4847" to="8467,4920" stroked="true" strokeweight=".75pt" strokecolor="#858585">
              <v:stroke dashstyle="solid"/>
            </v:line>
            <v:line style="position:absolute" from="9122,4847" to="9122,4920" stroked="true" strokeweight=".75pt" strokecolor="#858585">
              <v:stroke dashstyle="solid"/>
            </v:line>
            <v:line style="position:absolute" from="9776,4847" to="9776,4920" stroked="true" strokeweight=".75pt" strokecolor="#858585">
              <v:stroke dashstyle="solid"/>
            </v:line>
            <v:rect style="position:absolute;left:9695;top:2093;width:92;height:92" filled="true" fillcolor="#6e92a2" stroked="false">
              <v:fill type="solid"/>
            </v:rect>
            <v:rect style="position:absolute;left:9695;top:3218;width:92;height:92" filled="true" fillcolor="#cdb884" stroked="false">
              <v:fill type="solid"/>
            </v:rect>
            <v:rect style="position:absolute;left:1440;top:470;width:9441;height:5136" filled="false" stroked="true" strokeweight=".75pt" strokecolor="#000000">
              <v:stroke dashstyle="solid"/>
            </v:rect>
            <v:shape style="position:absolute;left:2629;top:4994;width:7122;height:273" type="#_x0000_t202" filled="false" stroked="false">
              <v:textbox inset="0,0,0,0">
                <w:txbxContent>
                  <w:p>
                    <w:pPr>
                      <w:spacing w:before="0"/>
                      <w:ind w:left="0" w:right="0" w:firstLine="0"/>
                      <w:jc w:val="left"/>
                      <w:rPr>
                        <w:rFonts w:ascii="Franklin Gothic Book"/>
                        <w:sz w:val="24"/>
                      </w:rPr>
                    </w:pPr>
                    <w:r>
                      <w:rPr>
                        <w:rFonts w:ascii="Franklin Gothic Book"/>
                        <w:sz w:val="24"/>
                      </w:rPr>
                      <w:t>2004 2005 2006 2007 2008 2009 2010 2011 2012 2013 2014</w:t>
                    </w:r>
                  </w:p>
                </w:txbxContent>
              </v:textbox>
              <w10:wrap type="none"/>
            </v:shape>
            <v:shape style="position:absolute;left:2092;top:4703;width:304;height:273" type="#_x0000_t202" filled="false" stroked="false">
              <v:textbox inset="0,0,0,0">
                <w:txbxContent>
                  <w:p>
                    <w:pPr>
                      <w:spacing w:before="0"/>
                      <w:ind w:left="0" w:right="0" w:firstLine="0"/>
                      <w:jc w:val="left"/>
                      <w:rPr>
                        <w:rFonts w:ascii="Franklin Gothic Book"/>
                        <w:sz w:val="24"/>
                      </w:rPr>
                    </w:pPr>
                    <w:r>
                      <w:rPr>
                        <w:rFonts w:ascii="Franklin Gothic Book"/>
                        <w:sz w:val="24"/>
                      </w:rPr>
                      <w:t>$0</w:t>
                    </w:r>
                  </w:p>
                </w:txbxContent>
              </v:textbox>
              <w10:wrap type="none"/>
            </v:shape>
            <v:shape style="position:absolute;left:1610;top:4024;width:786;height:273" type="#_x0000_t202" filled="false" stroked="false">
              <v:textbox inset="0,0,0,0">
                <w:txbxContent>
                  <w:p>
                    <w:pPr>
                      <w:spacing w:before="0"/>
                      <w:ind w:left="0" w:right="0" w:firstLine="0"/>
                      <w:jc w:val="left"/>
                      <w:rPr>
                        <w:rFonts w:ascii="Franklin Gothic Book"/>
                        <w:sz w:val="24"/>
                      </w:rPr>
                    </w:pPr>
                    <w:r>
                      <w:rPr>
                        <w:rFonts w:ascii="Franklin Gothic Book"/>
                        <w:sz w:val="24"/>
                      </w:rPr>
                      <w:t>$2,000</w:t>
                    </w:r>
                  </w:p>
                </w:txbxContent>
              </v:textbox>
              <w10:wrap type="none"/>
            </v:shape>
            <v:shape style="position:absolute;left:9826;top:3157;width:771;height:817" type="#_x0000_t202" filled="false" stroked="false">
              <v:textbox inset="0,0,0,0">
                <w:txbxContent>
                  <w:p>
                    <w:pPr>
                      <w:spacing w:before="0"/>
                      <w:ind w:left="0" w:right="18" w:firstLine="0"/>
                      <w:jc w:val="left"/>
                      <w:rPr>
                        <w:rFonts w:ascii="Franklin Gothic Book"/>
                        <w:sz w:val="18"/>
                      </w:rPr>
                    </w:pPr>
                    <w:r>
                      <w:rPr>
                        <w:rFonts w:ascii="Franklin Gothic Book"/>
                        <w:sz w:val="18"/>
                      </w:rPr>
                      <w:t>Private services- providing industries</w:t>
                    </w:r>
                  </w:p>
                </w:txbxContent>
              </v:textbox>
              <w10:wrap type="none"/>
            </v:shape>
            <v:shape style="position:absolute;left:1610;top:3345;width:786;height:273" type="#_x0000_t202" filled="false" stroked="false">
              <v:textbox inset="0,0,0,0">
                <w:txbxContent>
                  <w:p>
                    <w:pPr>
                      <w:spacing w:before="0"/>
                      <w:ind w:left="0" w:right="0" w:firstLine="0"/>
                      <w:jc w:val="left"/>
                      <w:rPr>
                        <w:rFonts w:ascii="Franklin Gothic Book"/>
                        <w:sz w:val="24"/>
                      </w:rPr>
                    </w:pPr>
                    <w:r>
                      <w:rPr>
                        <w:rFonts w:ascii="Franklin Gothic Book"/>
                        <w:sz w:val="24"/>
                      </w:rPr>
                      <w:t>$4,000</w:t>
                    </w:r>
                  </w:p>
                </w:txbxContent>
              </v:textbox>
              <w10:wrap type="none"/>
            </v:shape>
            <v:shape style="position:absolute;left:9826;top:2031;width:776;height:817" type="#_x0000_t202" filled="false" stroked="false">
              <v:textbox inset="0,0,0,0">
                <w:txbxContent>
                  <w:p>
                    <w:pPr>
                      <w:spacing w:before="0"/>
                      <w:ind w:left="0" w:right="18" w:firstLine="0"/>
                      <w:jc w:val="left"/>
                      <w:rPr>
                        <w:rFonts w:ascii="Franklin Gothic Book"/>
                        <w:sz w:val="18"/>
                      </w:rPr>
                    </w:pPr>
                    <w:r>
                      <w:rPr>
                        <w:rFonts w:ascii="Franklin Gothic Book"/>
                        <w:sz w:val="18"/>
                      </w:rPr>
                      <w:t>Private goods- producing industries</w:t>
                    </w:r>
                  </w:p>
                </w:txbxContent>
              </v:textbox>
              <w10:wrap type="none"/>
            </v:shape>
            <v:shape style="position:absolute;left:1610;top:1987;width:786;height:952" type="#_x0000_t202" filled="false" stroked="false">
              <v:textbox inset="0,0,0,0">
                <w:txbxContent>
                  <w:p>
                    <w:pPr>
                      <w:spacing w:before="0"/>
                      <w:ind w:left="0" w:right="0" w:firstLine="0"/>
                      <w:jc w:val="left"/>
                      <w:rPr>
                        <w:rFonts w:ascii="Franklin Gothic Book"/>
                        <w:sz w:val="24"/>
                      </w:rPr>
                    </w:pPr>
                    <w:r>
                      <w:rPr>
                        <w:rFonts w:ascii="Franklin Gothic Book"/>
                        <w:sz w:val="24"/>
                      </w:rPr>
                      <w:t>$8,000</w:t>
                    </w:r>
                  </w:p>
                  <w:p>
                    <w:pPr>
                      <w:spacing w:line="240" w:lineRule="auto" w:before="10"/>
                      <w:rPr>
                        <w:rFonts w:ascii="Franklin Gothic Book"/>
                        <w:sz w:val="35"/>
                      </w:rPr>
                    </w:pPr>
                  </w:p>
                  <w:p>
                    <w:pPr>
                      <w:spacing w:before="0"/>
                      <w:ind w:left="0" w:right="0" w:firstLine="0"/>
                      <w:jc w:val="left"/>
                      <w:rPr>
                        <w:rFonts w:ascii="Franklin Gothic Book"/>
                        <w:sz w:val="24"/>
                      </w:rPr>
                    </w:pPr>
                    <w:r>
                      <w:rPr>
                        <w:rFonts w:ascii="Franklin Gothic Book"/>
                        <w:sz w:val="24"/>
                      </w:rPr>
                      <w:t>$6,000</w:t>
                    </w:r>
                  </w:p>
                </w:txbxContent>
              </v:textbox>
              <w10:wrap type="none"/>
            </v:shape>
            <v:shape style="position:absolute;left:1470;top:1308;width:924;height:273" type="#_x0000_t202" filled="false" stroked="false">
              <v:textbox inset="0,0,0,0">
                <w:txbxContent>
                  <w:p>
                    <w:pPr>
                      <w:spacing w:before="0"/>
                      <w:ind w:left="0" w:right="0" w:firstLine="0"/>
                      <w:jc w:val="left"/>
                      <w:rPr>
                        <w:rFonts w:ascii="Franklin Gothic Book"/>
                        <w:sz w:val="24"/>
                      </w:rPr>
                    </w:pPr>
                    <w:r>
                      <w:rPr>
                        <w:rFonts w:ascii="Franklin Gothic Book"/>
                        <w:sz w:val="24"/>
                      </w:rPr>
                      <w:t>$10,000</w:t>
                    </w:r>
                  </w:p>
                </w:txbxContent>
              </v:textbox>
              <w10:wrap type="none"/>
            </v:shape>
            <v:shape style="position:absolute;left:1470;top:629;width:924;height:273" type="#_x0000_t202" filled="false" stroked="false">
              <v:textbox inset="0,0,0,0">
                <w:txbxContent>
                  <w:p>
                    <w:pPr>
                      <w:spacing w:before="0"/>
                      <w:ind w:left="0" w:right="0" w:firstLine="0"/>
                      <w:jc w:val="left"/>
                      <w:rPr>
                        <w:rFonts w:ascii="Franklin Gothic Book"/>
                        <w:sz w:val="24"/>
                      </w:rPr>
                    </w:pPr>
                    <w:r>
                      <w:rPr>
                        <w:rFonts w:ascii="Franklin Gothic Book"/>
                        <w:sz w:val="24"/>
                      </w:rPr>
                      <w:t>$12,000</w:t>
                    </w:r>
                  </w:p>
                </w:txbxContent>
              </v:textbox>
              <w10:wrap type="none"/>
            </v:shape>
            <w10:wrap type="topAndBottom"/>
          </v:group>
        </w:pict>
      </w:r>
      <w:r>
        <w:rPr>
          <w:rFonts w:ascii="Arial"/>
          <w:b/>
          <w:sz w:val="20"/>
        </w:rPr>
        <w:t>Figure ED-1: Real GDP Kennewick-Richland Metropolitan Statistical Area (in millions)</w:t>
      </w:r>
    </w:p>
    <w:p>
      <w:pPr>
        <w:spacing w:before="46"/>
        <w:ind w:left="140" w:right="0" w:firstLine="0"/>
        <w:jc w:val="both"/>
        <w:rPr>
          <w:i/>
          <w:sz w:val="20"/>
        </w:rPr>
      </w:pPr>
      <w:r>
        <w:rPr>
          <w:i/>
          <w:sz w:val="20"/>
        </w:rPr>
        <w:t>Source: Bureau of Economic Analysis, 2016</w:t>
      </w:r>
    </w:p>
    <w:p>
      <w:pPr>
        <w:pStyle w:val="BodyText"/>
        <w:spacing w:before="121"/>
        <w:ind w:left="139" w:right="335"/>
        <w:jc w:val="both"/>
      </w:pPr>
      <w:r>
        <w:rPr/>
        <w:t>The</w:t>
      </w:r>
      <w:r>
        <w:rPr>
          <w:spacing w:val="-10"/>
        </w:rPr>
        <w:t> </w:t>
      </w:r>
      <w:r>
        <w:rPr/>
        <w:t>Tri-Cities</w:t>
      </w:r>
      <w:r>
        <w:rPr>
          <w:spacing w:val="-6"/>
        </w:rPr>
        <w:t> </w:t>
      </w:r>
      <w:r>
        <w:rPr/>
        <w:t>region</w:t>
      </w:r>
      <w:r>
        <w:rPr>
          <w:spacing w:val="-8"/>
        </w:rPr>
        <w:t> </w:t>
      </w:r>
      <w:r>
        <w:rPr/>
        <w:t>(Benton</w:t>
      </w:r>
      <w:r>
        <w:rPr>
          <w:spacing w:val="-8"/>
        </w:rPr>
        <w:t> </w:t>
      </w:r>
      <w:r>
        <w:rPr/>
        <w:t>and</w:t>
      </w:r>
      <w:r>
        <w:rPr>
          <w:spacing w:val="-7"/>
        </w:rPr>
        <w:t> </w:t>
      </w:r>
      <w:r>
        <w:rPr/>
        <w:t>Franklin</w:t>
      </w:r>
      <w:r>
        <w:rPr>
          <w:spacing w:val="-9"/>
        </w:rPr>
        <w:t> </w:t>
      </w:r>
      <w:r>
        <w:rPr/>
        <w:t>Counties)</w:t>
      </w:r>
      <w:r>
        <w:rPr>
          <w:spacing w:val="-7"/>
        </w:rPr>
        <w:t> </w:t>
      </w:r>
      <w:r>
        <w:rPr/>
        <w:t>has</w:t>
      </w:r>
      <w:r>
        <w:rPr>
          <w:spacing w:val="-6"/>
        </w:rPr>
        <w:t> </w:t>
      </w:r>
      <w:r>
        <w:rPr/>
        <w:t>realized</w:t>
      </w:r>
      <w:r>
        <w:rPr>
          <w:spacing w:val="-7"/>
        </w:rPr>
        <w:t> </w:t>
      </w:r>
      <w:r>
        <w:rPr/>
        <w:t>strong</w:t>
      </w:r>
      <w:r>
        <w:rPr>
          <w:spacing w:val="-6"/>
        </w:rPr>
        <w:t> </w:t>
      </w:r>
      <w:r>
        <w:rPr/>
        <w:t>population</w:t>
      </w:r>
      <w:r>
        <w:rPr>
          <w:spacing w:val="-7"/>
        </w:rPr>
        <w:t> </w:t>
      </w:r>
      <w:r>
        <w:rPr/>
        <w:t>growth</w:t>
      </w:r>
      <w:r>
        <w:rPr>
          <w:spacing w:val="-6"/>
        </w:rPr>
        <w:t> </w:t>
      </w:r>
      <w:r>
        <w:rPr/>
        <w:t>over</w:t>
      </w:r>
      <w:r>
        <w:rPr>
          <w:spacing w:val="-7"/>
        </w:rPr>
        <w:t> </w:t>
      </w:r>
      <w:r>
        <w:rPr/>
        <w:t>the last 20 years, averaging an annual growth rate of 2.4 percent. Much of that growth occurred in the mid 2000’s fueled by in-migration responding to the growth in jobs, but population growth has slowed since 2010. Calendar year 2015 was the first year in 20 years where net in-migration </w:t>
      </w:r>
      <w:r>
        <w:rPr>
          <w:spacing w:val="-3"/>
        </w:rPr>
        <w:t>was </w:t>
      </w:r>
      <w:r>
        <w:rPr/>
        <w:t>nearly zero, where the same amount of people moved out of the region than to the</w:t>
      </w:r>
      <w:r>
        <w:rPr>
          <w:spacing w:val="-24"/>
        </w:rPr>
        <w:t> </w:t>
      </w:r>
      <w:r>
        <w:rPr/>
        <w:t>region.</w:t>
      </w: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6"/>
        <w:rPr>
          <w:sz w:val="25"/>
        </w:rPr>
      </w:pPr>
    </w:p>
    <w:p>
      <w:pPr>
        <w:spacing w:before="0"/>
        <w:ind w:left="140" w:right="0" w:firstLine="0"/>
        <w:jc w:val="both"/>
        <w:rPr>
          <w:rFonts w:ascii="Arial"/>
          <w:b/>
          <w:sz w:val="20"/>
        </w:rPr>
      </w:pPr>
      <w:bookmarkStart w:name="_bookmark12" w:id="29"/>
      <w:bookmarkEnd w:id="29"/>
      <w:r>
        <w:rPr/>
      </w:r>
      <w:r>
        <w:rPr>
          <w:rFonts w:ascii="Arial"/>
          <w:b/>
          <w:sz w:val="20"/>
        </w:rPr>
        <w:t>Figure ED-2: Benton and Franklin County Annual Population Growth, 2000-2016</w:t>
      </w:r>
    </w:p>
    <w:p>
      <w:pPr>
        <w:spacing w:after="0"/>
        <w:jc w:val="both"/>
        <w:rPr>
          <w:rFonts w:ascii="Arial"/>
          <w:sz w:val="20"/>
        </w:rPr>
        <w:sectPr>
          <w:pgSz w:w="12240" w:h="15840"/>
          <w:pgMar w:header="0" w:footer="1132" w:top="1360" w:bottom="1320" w:left="1300" w:right="1100"/>
        </w:sectPr>
      </w:pPr>
    </w:p>
    <w:p>
      <w:pPr>
        <w:pStyle w:val="BodyText"/>
        <w:ind w:left="164"/>
        <w:rPr>
          <w:rFonts w:ascii="Arial"/>
          <w:sz w:val="20"/>
        </w:rPr>
      </w:pPr>
      <w:r>
        <w:rPr>
          <w:rFonts w:ascii="Arial"/>
          <w:sz w:val="20"/>
        </w:rPr>
        <w:pict>
          <v:group style="width:454.15pt;height:165.95pt;mso-position-horizontal-relative:char;mso-position-vertical-relative:line" coordorigin="0,0" coordsize="9083,3319">
            <v:shape style="position:absolute;left:108;top:346;width:8945;height:2893" type="#_x0000_t75" stroked="false">
              <v:imagedata r:id="rId9" o:title=""/>
            </v:shape>
            <v:rect style="position:absolute;left:7;top:7;width:9068;height:3304" filled="false" stroked="true" strokeweight=".75pt" strokecolor="#000000">
              <v:stroke dashstyle="solid"/>
            </v:rect>
          </v:group>
        </w:pict>
      </w:r>
      <w:r>
        <w:rPr>
          <w:rFonts w:ascii="Arial"/>
          <w:sz w:val="20"/>
        </w:rPr>
      </w:r>
    </w:p>
    <w:p>
      <w:pPr>
        <w:spacing w:before="49"/>
        <w:ind w:left="140" w:right="0" w:firstLine="0"/>
        <w:jc w:val="both"/>
        <w:rPr>
          <w:i/>
          <w:sz w:val="20"/>
        </w:rPr>
      </w:pPr>
      <w:r>
        <w:rPr>
          <w:i/>
          <w:sz w:val="20"/>
        </w:rPr>
        <w:t>Source: Washington Office of Financial Management, 2016</w:t>
      </w:r>
    </w:p>
    <w:p>
      <w:pPr>
        <w:pStyle w:val="BodyText"/>
        <w:spacing w:before="121"/>
        <w:ind w:left="140" w:right="333"/>
        <w:jc w:val="both"/>
      </w:pPr>
      <w:r>
        <w:rPr/>
        <w:t>On a GDP per capita basis, the Tri-Cities region is not as productive when compared to Washington State and to the nation. On this measure, the region has been slower to recover than the state as whole. GDP per capita is the most common economic performance indicator of regions. GDP per capita</w:t>
      </w:r>
      <w:r>
        <w:rPr>
          <w:spacing w:val="-8"/>
        </w:rPr>
        <w:t> </w:t>
      </w:r>
      <w:r>
        <w:rPr/>
        <w:t>is</w:t>
      </w:r>
      <w:r>
        <w:rPr>
          <w:spacing w:val="-7"/>
        </w:rPr>
        <w:t> </w:t>
      </w:r>
      <w:r>
        <w:rPr/>
        <w:t>calculated</w:t>
      </w:r>
      <w:r>
        <w:rPr>
          <w:spacing w:val="-8"/>
        </w:rPr>
        <w:t> </w:t>
      </w:r>
      <w:r>
        <w:rPr/>
        <w:t>by</w:t>
      </w:r>
      <w:r>
        <w:rPr>
          <w:spacing w:val="-9"/>
        </w:rPr>
        <w:t> </w:t>
      </w:r>
      <w:r>
        <w:rPr/>
        <w:t>measuring</w:t>
      </w:r>
      <w:r>
        <w:rPr>
          <w:spacing w:val="-7"/>
        </w:rPr>
        <w:t> </w:t>
      </w:r>
      <w:r>
        <w:rPr/>
        <w:t>Gross</w:t>
      </w:r>
      <w:r>
        <w:rPr>
          <w:spacing w:val="-7"/>
        </w:rPr>
        <w:t> </w:t>
      </w:r>
      <w:r>
        <w:rPr/>
        <w:t>Domestic</w:t>
      </w:r>
      <w:r>
        <w:rPr>
          <w:spacing w:val="-7"/>
        </w:rPr>
        <w:t> </w:t>
      </w:r>
      <w:r>
        <w:rPr/>
        <w:t>Product</w:t>
      </w:r>
      <w:r>
        <w:rPr>
          <w:spacing w:val="-8"/>
        </w:rPr>
        <w:t> </w:t>
      </w:r>
      <w:r>
        <w:rPr/>
        <w:t>in</w:t>
      </w:r>
      <w:r>
        <w:rPr>
          <w:spacing w:val="-9"/>
        </w:rPr>
        <w:t> </w:t>
      </w:r>
      <w:r>
        <w:rPr/>
        <w:t>a</w:t>
      </w:r>
      <w:r>
        <w:rPr>
          <w:spacing w:val="-8"/>
        </w:rPr>
        <w:t> </w:t>
      </w:r>
      <w:r>
        <w:rPr/>
        <w:t>year,</w:t>
      </w:r>
      <w:r>
        <w:rPr>
          <w:spacing w:val="-7"/>
        </w:rPr>
        <w:t> </w:t>
      </w:r>
      <w:r>
        <w:rPr/>
        <w:t>and</w:t>
      </w:r>
      <w:r>
        <w:rPr>
          <w:spacing w:val="-8"/>
        </w:rPr>
        <w:t> </w:t>
      </w:r>
      <w:r>
        <w:rPr/>
        <w:t>dividing</w:t>
      </w:r>
      <w:r>
        <w:rPr>
          <w:spacing w:val="-7"/>
        </w:rPr>
        <w:t> </w:t>
      </w:r>
      <w:r>
        <w:rPr/>
        <w:t>it</w:t>
      </w:r>
      <w:r>
        <w:rPr>
          <w:spacing w:val="-8"/>
        </w:rPr>
        <w:t> </w:t>
      </w:r>
      <w:r>
        <w:rPr/>
        <w:t>by</w:t>
      </w:r>
      <w:r>
        <w:rPr>
          <w:spacing w:val="-9"/>
        </w:rPr>
        <w:t> </w:t>
      </w:r>
      <w:r>
        <w:rPr/>
        <w:t>the</w:t>
      </w:r>
      <w:r>
        <w:rPr>
          <w:spacing w:val="-8"/>
        </w:rPr>
        <w:t> </w:t>
      </w:r>
      <w:r>
        <w:rPr/>
        <w:t>population. The</w:t>
      </w:r>
      <w:r>
        <w:rPr>
          <w:spacing w:val="-4"/>
        </w:rPr>
        <w:t> </w:t>
      </w:r>
      <w:r>
        <w:rPr/>
        <w:t>reasons</w:t>
      </w:r>
      <w:r>
        <w:rPr>
          <w:spacing w:val="-6"/>
        </w:rPr>
        <w:t> </w:t>
      </w:r>
      <w:r>
        <w:rPr/>
        <w:t>for</w:t>
      </w:r>
      <w:r>
        <w:rPr>
          <w:spacing w:val="-5"/>
        </w:rPr>
        <w:t> </w:t>
      </w:r>
      <w:r>
        <w:rPr/>
        <w:t>the</w:t>
      </w:r>
      <w:r>
        <w:rPr>
          <w:spacing w:val="-4"/>
        </w:rPr>
        <w:t> </w:t>
      </w:r>
      <w:r>
        <w:rPr/>
        <w:t>lower</w:t>
      </w:r>
      <w:r>
        <w:rPr>
          <w:spacing w:val="-6"/>
        </w:rPr>
        <w:t> </w:t>
      </w:r>
      <w:r>
        <w:rPr/>
        <w:t>GDP</w:t>
      </w:r>
      <w:r>
        <w:rPr>
          <w:spacing w:val="-5"/>
        </w:rPr>
        <w:t> </w:t>
      </w:r>
      <w:r>
        <w:rPr/>
        <w:t>per</w:t>
      </w:r>
      <w:r>
        <w:rPr>
          <w:spacing w:val="-5"/>
        </w:rPr>
        <w:t> </w:t>
      </w:r>
      <w:r>
        <w:rPr/>
        <w:t>capita</w:t>
      </w:r>
      <w:r>
        <w:rPr>
          <w:spacing w:val="-6"/>
        </w:rPr>
        <w:t> </w:t>
      </w:r>
      <w:r>
        <w:rPr/>
        <w:t>in</w:t>
      </w:r>
      <w:r>
        <w:rPr>
          <w:spacing w:val="-5"/>
        </w:rPr>
        <w:t> </w:t>
      </w:r>
      <w:r>
        <w:rPr/>
        <w:t>the</w:t>
      </w:r>
      <w:r>
        <w:rPr>
          <w:spacing w:val="-6"/>
        </w:rPr>
        <w:t> </w:t>
      </w:r>
      <w:r>
        <w:rPr/>
        <w:t>region</w:t>
      </w:r>
      <w:r>
        <w:rPr>
          <w:spacing w:val="-5"/>
        </w:rPr>
        <w:t> </w:t>
      </w:r>
      <w:r>
        <w:rPr/>
        <w:t>are</w:t>
      </w:r>
      <w:r>
        <w:rPr>
          <w:spacing w:val="-4"/>
        </w:rPr>
        <w:t> </w:t>
      </w:r>
      <w:r>
        <w:rPr/>
        <w:t>complex</w:t>
      </w:r>
      <w:r>
        <w:rPr>
          <w:spacing w:val="-2"/>
        </w:rPr>
        <w:t> </w:t>
      </w:r>
      <w:r>
        <w:rPr/>
        <w:t>but</w:t>
      </w:r>
      <w:r>
        <w:rPr>
          <w:spacing w:val="-3"/>
        </w:rPr>
        <w:t> </w:t>
      </w:r>
      <w:r>
        <w:rPr/>
        <w:t>are</w:t>
      </w:r>
      <w:r>
        <w:rPr>
          <w:spacing w:val="-6"/>
        </w:rPr>
        <w:t> </w:t>
      </w:r>
      <w:r>
        <w:rPr/>
        <w:t>due</w:t>
      </w:r>
      <w:r>
        <w:rPr>
          <w:spacing w:val="-4"/>
        </w:rPr>
        <w:t> </w:t>
      </w:r>
      <w:r>
        <w:rPr/>
        <w:t>to</w:t>
      </w:r>
      <w:r>
        <w:rPr>
          <w:spacing w:val="-3"/>
        </w:rPr>
        <w:t> </w:t>
      </w:r>
      <w:r>
        <w:rPr/>
        <w:t>the</w:t>
      </w:r>
      <w:r>
        <w:rPr>
          <w:spacing w:val="-6"/>
        </w:rPr>
        <w:t> </w:t>
      </w:r>
      <w:r>
        <w:rPr/>
        <w:t>large</w:t>
      </w:r>
      <w:r>
        <w:rPr>
          <w:spacing w:val="-4"/>
        </w:rPr>
        <w:t> </w:t>
      </w:r>
      <w:r>
        <w:rPr/>
        <w:t>presence of government-supported activities. These activities are, on the whole, less productive than emerging information technology or business services, which have become increasingly productive by</w:t>
      </w:r>
      <w:r>
        <w:rPr>
          <w:spacing w:val="-2"/>
        </w:rPr>
        <w:t> </w:t>
      </w:r>
      <w:r>
        <w:rPr/>
        <w:t>comparison.</w:t>
      </w:r>
    </w:p>
    <w:p>
      <w:pPr>
        <w:spacing w:before="118"/>
        <w:ind w:left="140" w:right="0" w:firstLine="0"/>
        <w:jc w:val="both"/>
        <w:rPr>
          <w:rFonts w:ascii="Arial"/>
          <w:b/>
          <w:sz w:val="20"/>
        </w:rPr>
      </w:pPr>
      <w:bookmarkStart w:name="_bookmark13" w:id="30"/>
      <w:bookmarkEnd w:id="30"/>
      <w:r>
        <w:rPr/>
      </w:r>
      <w:r>
        <w:rPr>
          <w:rFonts w:ascii="Arial"/>
          <w:b/>
          <w:sz w:val="20"/>
        </w:rPr>
        <w:t>Figure ED-3: GDP per Capita, 2001-2015</w:t>
      </w:r>
    </w:p>
    <w:p>
      <w:pPr>
        <w:pStyle w:val="BodyText"/>
        <w:spacing w:before="4"/>
        <w:rPr>
          <w:rFonts w:ascii="Arial"/>
          <w:b/>
          <w:sz w:val="9"/>
        </w:rPr>
      </w:pPr>
      <w:r>
        <w:rPr/>
        <w:pict>
          <v:group style="position:absolute;margin-left:73.25pt;margin-top:7.350375pt;width:359.75pt;height:191.05pt;mso-position-horizontal-relative:page;mso-position-vertical-relative:paragraph;z-index:-251644928;mso-wrap-distance-left:0;mso-wrap-distance-right:0" coordorigin="1465,147" coordsize="7195,3821">
            <v:shape style="position:absolute;left:1573;top:205;width:6942;height:3705" type="#_x0000_t75" stroked="false">
              <v:imagedata r:id="rId10" o:title=""/>
            </v:shape>
            <v:rect style="position:absolute;left:1472;top:154;width:7180;height:3806" filled="false" stroked="true" strokeweight=".75pt" strokecolor="#000000">
              <v:stroke dashstyle="solid"/>
            </v:rect>
            <w10:wrap type="topAndBottom"/>
          </v:group>
        </w:pict>
      </w:r>
    </w:p>
    <w:p>
      <w:pPr>
        <w:spacing w:before="64"/>
        <w:ind w:left="139" w:right="0" w:firstLine="0"/>
        <w:jc w:val="both"/>
        <w:rPr>
          <w:i/>
          <w:sz w:val="20"/>
        </w:rPr>
      </w:pPr>
      <w:bookmarkStart w:name="Employer Trends" w:id="31"/>
      <w:bookmarkEnd w:id="31"/>
      <w:r>
        <w:rPr/>
      </w:r>
      <w:r>
        <w:rPr>
          <w:i/>
          <w:sz w:val="20"/>
        </w:rPr>
        <w:t>Source: Bureau of Economic Analysis, 2016</w:t>
      </w:r>
    </w:p>
    <w:p>
      <w:pPr>
        <w:pStyle w:val="BodyText"/>
        <w:spacing w:before="1"/>
        <w:rPr>
          <w:i/>
          <w:sz w:val="17"/>
        </w:rPr>
      </w:pPr>
    </w:p>
    <w:p>
      <w:pPr>
        <w:spacing w:before="0"/>
        <w:ind w:left="140" w:right="0" w:firstLine="0"/>
        <w:jc w:val="both"/>
        <w:rPr>
          <w:b/>
          <w:sz w:val="24"/>
        </w:rPr>
      </w:pPr>
      <w:r>
        <w:rPr>
          <w:b/>
          <w:sz w:val="24"/>
        </w:rPr>
        <w:t>EMPLOYER TRENDS</w:t>
      </w:r>
    </w:p>
    <w:p>
      <w:pPr>
        <w:pStyle w:val="BodyText"/>
        <w:spacing w:before="119"/>
        <w:ind w:left="139" w:right="334"/>
        <w:jc w:val="both"/>
      </w:pPr>
      <w:r>
        <w:rPr/>
        <w:t>The Tri-Cities is unique in that its employment base is dominated by a select number of large employers. Roughly one in five of estimated 116,000 jobs in the Benton-Franklin area are for one of the</w:t>
      </w:r>
      <w:r>
        <w:rPr>
          <w:spacing w:val="-12"/>
        </w:rPr>
        <w:t> </w:t>
      </w:r>
      <w:r>
        <w:rPr/>
        <w:t>ten</w:t>
      </w:r>
      <w:r>
        <w:rPr>
          <w:spacing w:val="-12"/>
        </w:rPr>
        <w:t> </w:t>
      </w:r>
      <w:r>
        <w:rPr/>
        <w:t>largest</w:t>
      </w:r>
      <w:r>
        <w:rPr>
          <w:spacing w:val="-12"/>
        </w:rPr>
        <w:t> </w:t>
      </w:r>
      <w:r>
        <w:rPr/>
        <w:t>firms/agencies</w:t>
      </w:r>
      <w:r>
        <w:rPr>
          <w:spacing w:val="-10"/>
        </w:rPr>
        <w:t> </w:t>
      </w:r>
      <w:r>
        <w:rPr/>
        <w:t>listed</w:t>
      </w:r>
      <w:r>
        <w:rPr>
          <w:spacing w:val="-12"/>
        </w:rPr>
        <w:t> </w:t>
      </w:r>
      <w:r>
        <w:rPr/>
        <w:t>below.</w:t>
      </w:r>
      <w:r>
        <w:rPr>
          <w:spacing w:val="-15"/>
        </w:rPr>
        <w:t> </w:t>
      </w:r>
      <w:r>
        <w:rPr/>
        <w:t>Eight</w:t>
      </w:r>
      <w:r>
        <w:rPr>
          <w:spacing w:val="-14"/>
        </w:rPr>
        <w:t> </w:t>
      </w:r>
      <w:r>
        <w:rPr/>
        <w:t>of</w:t>
      </w:r>
      <w:r>
        <w:rPr>
          <w:spacing w:val="-11"/>
        </w:rPr>
        <w:t> </w:t>
      </w:r>
      <w:r>
        <w:rPr/>
        <w:t>the</w:t>
      </w:r>
      <w:r>
        <w:rPr>
          <w:spacing w:val="-11"/>
        </w:rPr>
        <w:t> </w:t>
      </w:r>
      <w:r>
        <w:rPr/>
        <w:t>ten</w:t>
      </w:r>
      <w:r>
        <w:rPr>
          <w:spacing w:val="-12"/>
        </w:rPr>
        <w:t> </w:t>
      </w:r>
      <w:r>
        <w:rPr/>
        <w:t>top</w:t>
      </w:r>
      <w:r>
        <w:rPr>
          <w:spacing w:val="-12"/>
        </w:rPr>
        <w:t> </w:t>
      </w:r>
      <w:r>
        <w:rPr/>
        <w:t>employers</w:t>
      </w:r>
      <w:r>
        <w:rPr>
          <w:spacing w:val="-14"/>
        </w:rPr>
        <w:t> </w:t>
      </w:r>
      <w:r>
        <w:rPr/>
        <w:t>in</w:t>
      </w:r>
      <w:r>
        <w:rPr>
          <w:spacing w:val="-12"/>
        </w:rPr>
        <w:t> </w:t>
      </w:r>
      <w:r>
        <w:rPr/>
        <w:t>the</w:t>
      </w:r>
      <w:r>
        <w:rPr>
          <w:spacing w:val="-11"/>
        </w:rPr>
        <w:t> </w:t>
      </w:r>
      <w:r>
        <w:rPr/>
        <w:t>Tri-Cities</w:t>
      </w:r>
      <w:r>
        <w:rPr>
          <w:spacing w:val="-13"/>
        </w:rPr>
        <w:t> </w:t>
      </w:r>
      <w:r>
        <w:rPr/>
        <w:t>are</w:t>
      </w:r>
      <w:r>
        <w:rPr>
          <w:spacing w:val="-11"/>
        </w:rPr>
        <w:t> </w:t>
      </w:r>
      <w:r>
        <w:rPr/>
        <w:t>located in Richland, a legacy largely of significant federal investments in the Hanford Nuclear Reservation. These sectors employ many talented workers, many of whom live in</w:t>
      </w:r>
      <w:r>
        <w:rPr>
          <w:spacing w:val="-18"/>
        </w:rPr>
        <w:t> </w:t>
      </w:r>
      <w:r>
        <w:rPr/>
        <w:t>Richland.</w:t>
      </w:r>
    </w:p>
    <w:p>
      <w:pPr>
        <w:spacing w:after="0"/>
        <w:jc w:val="both"/>
        <w:sectPr>
          <w:pgSz w:w="12240" w:h="15840"/>
          <w:pgMar w:header="0" w:footer="1132" w:top="1460" w:bottom="1320" w:left="1300" w:right="1100"/>
        </w:sectPr>
      </w:pPr>
    </w:p>
    <w:p>
      <w:pPr>
        <w:spacing w:before="79"/>
        <w:ind w:left="140" w:right="0" w:firstLine="0"/>
        <w:jc w:val="left"/>
        <w:rPr>
          <w:rFonts w:ascii="Arial"/>
          <w:b/>
          <w:sz w:val="20"/>
        </w:rPr>
      </w:pPr>
      <w:r>
        <w:rPr>
          <w:rFonts w:ascii="Arial"/>
          <w:b/>
          <w:sz w:val="20"/>
        </w:rPr>
        <w:t>Table ED-1: Top Ten Tri-Cities Employers</w:t>
      </w:r>
    </w:p>
    <w:p>
      <w:pPr>
        <w:pStyle w:val="BodyText"/>
        <w:spacing w:before="6"/>
        <w:rPr>
          <w:rFonts w:ascii="Arial"/>
          <w:b/>
          <w:sz w:val="10"/>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0"/>
        <w:gridCol w:w="3789"/>
        <w:gridCol w:w="3779"/>
        <w:gridCol w:w="1350"/>
      </w:tblGrid>
      <w:tr>
        <w:trPr>
          <w:trHeight w:val="402" w:hRule="atLeast"/>
        </w:trPr>
        <w:tc>
          <w:tcPr>
            <w:tcW w:w="530" w:type="dxa"/>
            <w:shd w:val="clear" w:color="auto" w:fill="CCD5DD"/>
          </w:tcPr>
          <w:p>
            <w:pPr>
              <w:pStyle w:val="TableParagraph"/>
              <w:spacing w:before="0"/>
              <w:ind w:left="0"/>
              <w:rPr>
                <w:rFonts w:ascii="Times New Roman"/>
                <w:sz w:val="20"/>
              </w:rPr>
            </w:pPr>
          </w:p>
        </w:tc>
        <w:tc>
          <w:tcPr>
            <w:tcW w:w="3789" w:type="dxa"/>
            <w:shd w:val="clear" w:color="auto" w:fill="CCD5DD"/>
          </w:tcPr>
          <w:p>
            <w:pPr>
              <w:pStyle w:val="TableParagraph"/>
              <w:spacing w:before="119"/>
              <w:ind w:left="108"/>
              <w:rPr>
                <w:b/>
                <w:sz w:val="22"/>
              </w:rPr>
            </w:pPr>
            <w:r>
              <w:rPr>
                <w:b/>
                <w:sz w:val="22"/>
              </w:rPr>
              <w:t>Company</w:t>
            </w:r>
          </w:p>
        </w:tc>
        <w:tc>
          <w:tcPr>
            <w:tcW w:w="3779" w:type="dxa"/>
            <w:shd w:val="clear" w:color="auto" w:fill="CCD5DD"/>
          </w:tcPr>
          <w:p>
            <w:pPr>
              <w:pStyle w:val="TableParagraph"/>
              <w:spacing w:before="119"/>
              <w:ind w:left="108"/>
              <w:rPr>
                <w:b/>
                <w:sz w:val="22"/>
              </w:rPr>
            </w:pPr>
            <w:r>
              <w:rPr>
                <w:b/>
                <w:sz w:val="22"/>
              </w:rPr>
              <w:t>Industry</w:t>
            </w:r>
          </w:p>
        </w:tc>
        <w:tc>
          <w:tcPr>
            <w:tcW w:w="1350" w:type="dxa"/>
            <w:shd w:val="clear" w:color="auto" w:fill="CCD5DD"/>
          </w:tcPr>
          <w:p>
            <w:pPr>
              <w:pStyle w:val="TableParagraph"/>
              <w:spacing w:before="119"/>
              <w:ind w:left="109"/>
              <w:rPr>
                <w:b/>
                <w:sz w:val="22"/>
              </w:rPr>
            </w:pPr>
            <w:r>
              <w:rPr>
                <w:b/>
                <w:sz w:val="22"/>
              </w:rPr>
              <w:t>Employees</w:t>
            </w:r>
          </w:p>
        </w:tc>
      </w:tr>
      <w:tr>
        <w:trPr>
          <w:trHeight w:val="575" w:hRule="atLeast"/>
        </w:trPr>
        <w:tc>
          <w:tcPr>
            <w:tcW w:w="530" w:type="dxa"/>
          </w:tcPr>
          <w:p>
            <w:pPr>
              <w:pStyle w:val="TableParagraph"/>
              <w:spacing w:before="8"/>
              <w:ind w:left="0"/>
              <w:rPr>
                <w:rFonts w:ascii="Arial"/>
                <w:b/>
                <w:sz w:val="27"/>
              </w:rPr>
            </w:pPr>
          </w:p>
          <w:p>
            <w:pPr>
              <w:pStyle w:val="TableParagraph"/>
              <w:spacing w:line="237" w:lineRule="exact" w:before="0"/>
              <w:ind w:left="0" w:right="180"/>
              <w:jc w:val="center"/>
              <w:rPr>
                <w:sz w:val="22"/>
              </w:rPr>
            </w:pPr>
            <w:r>
              <w:rPr>
                <w:w w:val="100"/>
                <w:sz w:val="22"/>
              </w:rPr>
              <w:t>1</w:t>
            </w:r>
          </w:p>
        </w:tc>
        <w:tc>
          <w:tcPr>
            <w:tcW w:w="3789" w:type="dxa"/>
          </w:tcPr>
          <w:p>
            <w:pPr>
              <w:pStyle w:val="TableParagraph"/>
              <w:spacing w:line="260" w:lineRule="atLeast" w:before="57"/>
              <w:ind w:left="108" w:right="306"/>
              <w:rPr>
                <w:sz w:val="22"/>
              </w:rPr>
            </w:pPr>
            <w:r>
              <w:rPr>
                <w:sz w:val="22"/>
              </w:rPr>
              <w:t>Battelle/Pacific Northwest National Laboratory</w:t>
            </w:r>
          </w:p>
        </w:tc>
        <w:tc>
          <w:tcPr>
            <w:tcW w:w="3779" w:type="dxa"/>
          </w:tcPr>
          <w:p>
            <w:pPr>
              <w:pStyle w:val="TableParagraph"/>
              <w:spacing w:before="8"/>
              <w:ind w:left="0"/>
              <w:rPr>
                <w:rFonts w:ascii="Arial"/>
                <w:b/>
                <w:sz w:val="27"/>
              </w:rPr>
            </w:pPr>
          </w:p>
          <w:p>
            <w:pPr>
              <w:pStyle w:val="TableParagraph"/>
              <w:spacing w:line="237" w:lineRule="exact" w:before="0"/>
              <w:ind w:left="108"/>
              <w:rPr>
                <w:sz w:val="22"/>
              </w:rPr>
            </w:pPr>
            <w:r>
              <w:rPr>
                <w:sz w:val="22"/>
              </w:rPr>
              <w:t>Research &amp; Development</w:t>
            </w:r>
          </w:p>
        </w:tc>
        <w:tc>
          <w:tcPr>
            <w:tcW w:w="1350" w:type="dxa"/>
          </w:tcPr>
          <w:p>
            <w:pPr>
              <w:pStyle w:val="TableParagraph"/>
              <w:spacing w:before="8"/>
              <w:ind w:left="0"/>
              <w:rPr>
                <w:rFonts w:ascii="Arial"/>
                <w:b/>
                <w:sz w:val="27"/>
              </w:rPr>
            </w:pPr>
          </w:p>
          <w:p>
            <w:pPr>
              <w:pStyle w:val="TableParagraph"/>
              <w:spacing w:line="237" w:lineRule="exact" w:before="0"/>
              <w:ind w:left="157"/>
              <w:rPr>
                <w:sz w:val="22"/>
              </w:rPr>
            </w:pPr>
            <w:r>
              <w:rPr>
                <w:sz w:val="22"/>
              </w:rPr>
              <w:t>4,365</w:t>
            </w:r>
          </w:p>
        </w:tc>
      </w:tr>
      <w:tr>
        <w:trPr>
          <w:trHeight w:val="317" w:hRule="atLeast"/>
        </w:trPr>
        <w:tc>
          <w:tcPr>
            <w:tcW w:w="530" w:type="dxa"/>
          </w:tcPr>
          <w:p>
            <w:pPr>
              <w:pStyle w:val="TableParagraph"/>
              <w:spacing w:line="239" w:lineRule="exact" w:before="58"/>
              <w:ind w:left="0" w:right="180"/>
              <w:jc w:val="center"/>
              <w:rPr>
                <w:sz w:val="22"/>
              </w:rPr>
            </w:pPr>
            <w:r>
              <w:rPr>
                <w:w w:val="100"/>
                <w:sz w:val="22"/>
              </w:rPr>
              <w:t>2</w:t>
            </w:r>
          </w:p>
        </w:tc>
        <w:tc>
          <w:tcPr>
            <w:tcW w:w="3789" w:type="dxa"/>
          </w:tcPr>
          <w:p>
            <w:pPr>
              <w:pStyle w:val="TableParagraph"/>
              <w:spacing w:line="239" w:lineRule="exact" w:before="58"/>
              <w:ind w:left="108"/>
              <w:rPr>
                <w:sz w:val="22"/>
              </w:rPr>
            </w:pPr>
            <w:r>
              <w:rPr>
                <w:sz w:val="22"/>
              </w:rPr>
              <w:t>Kadlec Regional Medical Center</w:t>
            </w:r>
          </w:p>
        </w:tc>
        <w:tc>
          <w:tcPr>
            <w:tcW w:w="3779" w:type="dxa"/>
          </w:tcPr>
          <w:p>
            <w:pPr>
              <w:pStyle w:val="TableParagraph"/>
              <w:spacing w:line="239" w:lineRule="exact" w:before="58"/>
              <w:ind w:left="108"/>
              <w:rPr>
                <w:sz w:val="22"/>
              </w:rPr>
            </w:pPr>
            <w:r>
              <w:rPr>
                <w:sz w:val="22"/>
              </w:rPr>
              <w:t>Health Services</w:t>
            </w:r>
          </w:p>
        </w:tc>
        <w:tc>
          <w:tcPr>
            <w:tcW w:w="1350" w:type="dxa"/>
          </w:tcPr>
          <w:p>
            <w:pPr>
              <w:pStyle w:val="TableParagraph"/>
              <w:spacing w:line="239" w:lineRule="exact" w:before="58"/>
              <w:ind w:left="157"/>
              <w:rPr>
                <w:sz w:val="22"/>
              </w:rPr>
            </w:pPr>
            <w:r>
              <w:rPr>
                <w:sz w:val="22"/>
              </w:rPr>
              <w:t>3,304</w:t>
            </w:r>
          </w:p>
        </w:tc>
      </w:tr>
      <w:tr>
        <w:trPr>
          <w:trHeight w:val="318" w:hRule="atLeast"/>
        </w:trPr>
        <w:tc>
          <w:tcPr>
            <w:tcW w:w="530" w:type="dxa"/>
          </w:tcPr>
          <w:p>
            <w:pPr>
              <w:pStyle w:val="TableParagraph"/>
              <w:spacing w:line="239" w:lineRule="exact"/>
              <w:ind w:left="0" w:right="180"/>
              <w:jc w:val="center"/>
              <w:rPr>
                <w:sz w:val="22"/>
              </w:rPr>
            </w:pPr>
            <w:r>
              <w:rPr>
                <w:w w:val="100"/>
                <w:sz w:val="22"/>
              </w:rPr>
              <w:t>3</w:t>
            </w:r>
          </w:p>
        </w:tc>
        <w:tc>
          <w:tcPr>
            <w:tcW w:w="3789" w:type="dxa"/>
          </w:tcPr>
          <w:p>
            <w:pPr>
              <w:pStyle w:val="TableParagraph"/>
              <w:spacing w:line="239" w:lineRule="exact"/>
              <w:ind w:left="108"/>
              <w:rPr>
                <w:sz w:val="22"/>
              </w:rPr>
            </w:pPr>
            <w:r>
              <w:rPr>
                <w:sz w:val="22"/>
              </w:rPr>
              <w:t>Bechtel National</w:t>
            </w:r>
          </w:p>
        </w:tc>
        <w:tc>
          <w:tcPr>
            <w:tcW w:w="3779" w:type="dxa"/>
          </w:tcPr>
          <w:p>
            <w:pPr>
              <w:pStyle w:val="TableParagraph"/>
              <w:spacing w:line="239" w:lineRule="exact"/>
              <w:ind w:left="108"/>
              <w:rPr>
                <w:sz w:val="22"/>
              </w:rPr>
            </w:pPr>
            <w:r>
              <w:rPr>
                <w:sz w:val="22"/>
              </w:rPr>
              <w:t>Engineering &amp; Construction</w:t>
            </w:r>
          </w:p>
        </w:tc>
        <w:tc>
          <w:tcPr>
            <w:tcW w:w="1350" w:type="dxa"/>
          </w:tcPr>
          <w:p>
            <w:pPr>
              <w:pStyle w:val="TableParagraph"/>
              <w:spacing w:line="239" w:lineRule="exact"/>
              <w:ind w:left="157"/>
              <w:rPr>
                <w:sz w:val="22"/>
              </w:rPr>
            </w:pPr>
            <w:r>
              <w:rPr>
                <w:sz w:val="22"/>
              </w:rPr>
              <w:t>2,898</w:t>
            </w:r>
          </w:p>
        </w:tc>
      </w:tr>
      <w:tr>
        <w:trPr>
          <w:trHeight w:val="316" w:hRule="atLeast"/>
        </w:trPr>
        <w:tc>
          <w:tcPr>
            <w:tcW w:w="530" w:type="dxa"/>
          </w:tcPr>
          <w:p>
            <w:pPr>
              <w:pStyle w:val="TableParagraph"/>
              <w:spacing w:line="237" w:lineRule="exact"/>
              <w:ind w:left="0" w:right="180"/>
              <w:jc w:val="center"/>
              <w:rPr>
                <w:sz w:val="22"/>
              </w:rPr>
            </w:pPr>
            <w:r>
              <w:rPr>
                <w:w w:val="100"/>
                <w:sz w:val="22"/>
              </w:rPr>
              <w:t>4</w:t>
            </w:r>
          </w:p>
        </w:tc>
        <w:tc>
          <w:tcPr>
            <w:tcW w:w="3789" w:type="dxa"/>
          </w:tcPr>
          <w:p>
            <w:pPr>
              <w:pStyle w:val="TableParagraph"/>
              <w:spacing w:line="237" w:lineRule="exact"/>
              <w:ind w:left="108"/>
              <w:rPr>
                <w:sz w:val="22"/>
              </w:rPr>
            </w:pPr>
            <w:r>
              <w:rPr>
                <w:sz w:val="22"/>
              </w:rPr>
              <w:t>ConAgra Foods</w:t>
            </w:r>
          </w:p>
        </w:tc>
        <w:tc>
          <w:tcPr>
            <w:tcW w:w="3779" w:type="dxa"/>
          </w:tcPr>
          <w:p>
            <w:pPr>
              <w:pStyle w:val="TableParagraph"/>
              <w:spacing w:line="237" w:lineRule="exact"/>
              <w:ind w:left="108"/>
              <w:rPr>
                <w:sz w:val="22"/>
              </w:rPr>
            </w:pPr>
            <w:r>
              <w:rPr>
                <w:sz w:val="22"/>
              </w:rPr>
              <w:t>Food Processing</w:t>
            </w:r>
          </w:p>
        </w:tc>
        <w:tc>
          <w:tcPr>
            <w:tcW w:w="1350" w:type="dxa"/>
          </w:tcPr>
          <w:p>
            <w:pPr>
              <w:pStyle w:val="TableParagraph"/>
              <w:spacing w:line="237" w:lineRule="exact"/>
              <w:ind w:left="157"/>
              <w:rPr>
                <w:sz w:val="22"/>
              </w:rPr>
            </w:pPr>
            <w:r>
              <w:rPr>
                <w:sz w:val="22"/>
              </w:rPr>
              <w:t>2,727</w:t>
            </w:r>
          </w:p>
        </w:tc>
      </w:tr>
      <w:tr>
        <w:trPr>
          <w:trHeight w:val="318" w:hRule="atLeast"/>
        </w:trPr>
        <w:tc>
          <w:tcPr>
            <w:tcW w:w="530" w:type="dxa"/>
          </w:tcPr>
          <w:p>
            <w:pPr>
              <w:pStyle w:val="TableParagraph"/>
              <w:spacing w:line="239" w:lineRule="exact"/>
              <w:ind w:left="0" w:right="180"/>
              <w:jc w:val="center"/>
              <w:rPr>
                <w:sz w:val="22"/>
              </w:rPr>
            </w:pPr>
            <w:r>
              <w:rPr>
                <w:w w:val="100"/>
                <w:sz w:val="22"/>
              </w:rPr>
              <w:t>5</w:t>
            </w:r>
          </w:p>
        </w:tc>
        <w:tc>
          <w:tcPr>
            <w:tcW w:w="3789" w:type="dxa"/>
          </w:tcPr>
          <w:p>
            <w:pPr>
              <w:pStyle w:val="TableParagraph"/>
              <w:spacing w:line="239" w:lineRule="exact"/>
              <w:ind w:left="108"/>
              <w:rPr>
                <w:sz w:val="22"/>
              </w:rPr>
            </w:pPr>
            <w:r>
              <w:rPr>
                <w:sz w:val="22"/>
              </w:rPr>
              <w:t>Kennewick School District</w:t>
            </w:r>
          </w:p>
        </w:tc>
        <w:tc>
          <w:tcPr>
            <w:tcW w:w="3779" w:type="dxa"/>
          </w:tcPr>
          <w:p>
            <w:pPr>
              <w:pStyle w:val="TableParagraph"/>
              <w:spacing w:line="239" w:lineRule="exact"/>
              <w:ind w:left="108"/>
              <w:rPr>
                <w:sz w:val="22"/>
              </w:rPr>
            </w:pPr>
            <w:r>
              <w:rPr>
                <w:sz w:val="22"/>
              </w:rPr>
              <w:t>Education</w:t>
            </w:r>
          </w:p>
        </w:tc>
        <w:tc>
          <w:tcPr>
            <w:tcW w:w="1350" w:type="dxa"/>
          </w:tcPr>
          <w:p>
            <w:pPr>
              <w:pStyle w:val="TableParagraph"/>
              <w:spacing w:line="239" w:lineRule="exact"/>
              <w:ind w:left="157"/>
              <w:rPr>
                <w:sz w:val="22"/>
              </w:rPr>
            </w:pPr>
            <w:r>
              <w:rPr>
                <w:sz w:val="22"/>
              </w:rPr>
              <w:t>2,130</w:t>
            </w:r>
          </w:p>
        </w:tc>
      </w:tr>
      <w:tr>
        <w:trPr>
          <w:trHeight w:val="575" w:hRule="atLeast"/>
        </w:trPr>
        <w:tc>
          <w:tcPr>
            <w:tcW w:w="530" w:type="dxa"/>
          </w:tcPr>
          <w:p>
            <w:pPr>
              <w:pStyle w:val="TableParagraph"/>
              <w:spacing w:before="5"/>
              <w:ind w:left="0"/>
              <w:rPr>
                <w:rFonts w:ascii="Arial"/>
                <w:b/>
                <w:sz w:val="27"/>
              </w:rPr>
            </w:pPr>
          </w:p>
          <w:p>
            <w:pPr>
              <w:pStyle w:val="TableParagraph"/>
              <w:spacing w:line="239" w:lineRule="exact" w:before="1"/>
              <w:ind w:left="0" w:right="180"/>
              <w:jc w:val="center"/>
              <w:rPr>
                <w:sz w:val="22"/>
              </w:rPr>
            </w:pPr>
            <w:r>
              <w:rPr>
                <w:w w:val="100"/>
                <w:sz w:val="22"/>
              </w:rPr>
              <w:t>6</w:t>
            </w:r>
          </w:p>
        </w:tc>
        <w:tc>
          <w:tcPr>
            <w:tcW w:w="3789" w:type="dxa"/>
          </w:tcPr>
          <w:p>
            <w:pPr>
              <w:pStyle w:val="TableParagraph"/>
              <w:spacing w:line="256" w:lineRule="exact" w:before="64"/>
              <w:ind w:left="108" w:right="927"/>
              <w:rPr>
                <w:sz w:val="22"/>
              </w:rPr>
            </w:pPr>
            <w:r>
              <w:rPr>
                <w:sz w:val="22"/>
              </w:rPr>
              <w:t>Washington River Protection Solutions</w:t>
            </w:r>
          </w:p>
        </w:tc>
        <w:tc>
          <w:tcPr>
            <w:tcW w:w="3779" w:type="dxa"/>
          </w:tcPr>
          <w:p>
            <w:pPr>
              <w:pStyle w:val="TableParagraph"/>
              <w:spacing w:before="5"/>
              <w:ind w:left="0"/>
              <w:rPr>
                <w:rFonts w:ascii="Arial"/>
                <w:b/>
                <w:sz w:val="27"/>
              </w:rPr>
            </w:pPr>
          </w:p>
          <w:p>
            <w:pPr>
              <w:pStyle w:val="TableParagraph"/>
              <w:spacing w:line="239" w:lineRule="exact" w:before="1"/>
              <w:ind w:left="108"/>
              <w:rPr>
                <w:sz w:val="22"/>
              </w:rPr>
            </w:pPr>
            <w:r>
              <w:rPr>
                <w:sz w:val="22"/>
              </w:rPr>
              <w:t>Environmental Remediation Services</w:t>
            </w:r>
          </w:p>
        </w:tc>
        <w:tc>
          <w:tcPr>
            <w:tcW w:w="1350" w:type="dxa"/>
          </w:tcPr>
          <w:p>
            <w:pPr>
              <w:pStyle w:val="TableParagraph"/>
              <w:spacing w:before="5"/>
              <w:ind w:left="0"/>
              <w:rPr>
                <w:rFonts w:ascii="Arial"/>
                <w:b/>
                <w:sz w:val="27"/>
              </w:rPr>
            </w:pPr>
          </w:p>
          <w:p>
            <w:pPr>
              <w:pStyle w:val="TableParagraph"/>
              <w:spacing w:line="239" w:lineRule="exact" w:before="1"/>
              <w:ind w:left="157"/>
              <w:rPr>
                <w:sz w:val="22"/>
              </w:rPr>
            </w:pPr>
            <w:r>
              <w:rPr>
                <w:sz w:val="22"/>
              </w:rPr>
              <w:t>2,077</w:t>
            </w:r>
          </w:p>
        </w:tc>
      </w:tr>
      <w:tr>
        <w:trPr>
          <w:trHeight w:val="318" w:hRule="atLeast"/>
        </w:trPr>
        <w:tc>
          <w:tcPr>
            <w:tcW w:w="530" w:type="dxa"/>
          </w:tcPr>
          <w:p>
            <w:pPr>
              <w:pStyle w:val="TableParagraph"/>
              <w:spacing w:line="239" w:lineRule="exact"/>
              <w:ind w:left="0" w:right="180"/>
              <w:jc w:val="center"/>
              <w:rPr>
                <w:sz w:val="22"/>
              </w:rPr>
            </w:pPr>
            <w:r>
              <w:rPr>
                <w:w w:val="100"/>
                <w:sz w:val="22"/>
              </w:rPr>
              <w:t>7</w:t>
            </w:r>
          </w:p>
        </w:tc>
        <w:tc>
          <w:tcPr>
            <w:tcW w:w="3789" w:type="dxa"/>
          </w:tcPr>
          <w:p>
            <w:pPr>
              <w:pStyle w:val="TableParagraph"/>
              <w:spacing w:line="239" w:lineRule="exact"/>
              <w:ind w:left="108"/>
              <w:rPr>
                <w:sz w:val="22"/>
              </w:rPr>
            </w:pPr>
            <w:r>
              <w:rPr>
                <w:sz w:val="22"/>
              </w:rPr>
              <w:t>Pasco School District</w:t>
            </w:r>
          </w:p>
        </w:tc>
        <w:tc>
          <w:tcPr>
            <w:tcW w:w="3779" w:type="dxa"/>
          </w:tcPr>
          <w:p>
            <w:pPr>
              <w:pStyle w:val="TableParagraph"/>
              <w:spacing w:line="239" w:lineRule="exact"/>
              <w:ind w:left="108"/>
              <w:rPr>
                <w:sz w:val="22"/>
              </w:rPr>
            </w:pPr>
            <w:r>
              <w:rPr>
                <w:sz w:val="22"/>
              </w:rPr>
              <w:t>Education</w:t>
            </w:r>
          </w:p>
        </w:tc>
        <w:tc>
          <w:tcPr>
            <w:tcW w:w="1350" w:type="dxa"/>
          </w:tcPr>
          <w:p>
            <w:pPr>
              <w:pStyle w:val="TableParagraph"/>
              <w:spacing w:line="239" w:lineRule="exact"/>
              <w:ind w:left="157"/>
              <w:rPr>
                <w:sz w:val="22"/>
              </w:rPr>
            </w:pPr>
            <w:r>
              <w:rPr>
                <w:sz w:val="22"/>
              </w:rPr>
              <w:t>2,015</w:t>
            </w:r>
          </w:p>
        </w:tc>
      </w:tr>
      <w:tr>
        <w:trPr>
          <w:trHeight w:val="316" w:hRule="atLeast"/>
        </w:trPr>
        <w:tc>
          <w:tcPr>
            <w:tcW w:w="530" w:type="dxa"/>
          </w:tcPr>
          <w:p>
            <w:pPr>
              <w:pStyle w:val="TableParagraph"/>
              <w:spacing w:line="237" w:lineRule="exact"/>
              <w:ind w:left="0" w:right="180"/>
              <w:jc w:val="center"/>
              <w:rPr>
                <w:sz w:val="22"/>
              </w:rPr>
            </w:pPr>
            <w:r>
              <w:rPr>
                <w:w w:val="100"/>
                <w:sz w:val="22"/>
              </w:rPr>
              <w:t>8</w:t>
            </w:r>
          </w:p>
        </w:tc>
        <w:tc>
          <w:tcPr>
            <w:tcW w:w="3789" w:type="dxa"/>
          </w:tcPr>
          <w:p>
            <w:pPr>
              <w:pStyle w:val="TableParagraph"/>
              <w:spacing w:line="237" w:lineRule="exact"/>
              <w:ind w:left="108"/>
              <w:rPr>
                <w:sz w:val="22"/>
              </w:rPr>
            </w:pPr>
            <w:r>
              <w:rPr>
                <w:sz w:val="22"/>
              </w:rPr>
              <w:t>Mission Support Alliance, LLC</w:t>
            </w:r>
          </w:p>
        </w:tc>
        <w:tc>
          <w:tcPr>
            <w:tcW w:w="3779" w:type="dxa"/>
          </w:tcPr>
          <w:p>
            <w:pPr>
              <w:pStyle w:val="TableParagraph"/>
              <w:spacing w:line="237" w:lineRule="exact"/>
              <w:ind w:left="108"/>
              <w:rPr>
                <w:sz w:val="22"/>
              </w:rPr>
            </w:pPr>
            <w:r>
              <w:rPr>
                <w:sz w:val="22"/>
              </w:rPr>
              <w:t>Support Services, Hanford/DOE Site</w:t>
            </w:r>
          </w:p>
        </w:tc>
        <w:tc>
          <w:tcPr>
            <w:tcW w:w="1350" w:type="dxa"/>
          </w:tcPr>
          <w:p>
            <w:pPr>
              <w:pStyle w:val="TableParagraph"/>
              <w:spacing w:line="237" w:lineRule="exact"/>
              <w:ind w:left="157"/>
              <w:rPr>
                <w:sz w:val="22"/>
              </w:rPr>
            </w:pPr>
            <w:r>
              <w:rPr>
                <w:sz w:val="22"/>
              </w:rPr>
              <w:t>1,928</w:t>
            </w:r>
          </w:p>
        </w:tc>
      </w:tr>
      <w:tr>
        <w:trPr>
          <w:trHeight w:val="318" w:hRule="atLeast"/>
        </w:trPr>
        <w:tc>
          <w:tcPr>
            <w:tcW w:w="530" w:type="dxa"/>
          </w:tcPr>
          <w:p>
            <w:pPr>
              <w:pStyle w:val="TableParagraph"/>
              <w:spacing w:line="239" w:lineRule="exact"/>
              <w:ind w:left="0" w:right="180"/>
              <w:jc w:val="center"/>
              <w:rPr>
                <w:sz w:val="22"/>
              </w:rPr>
            </w:pPr>
            <w:r>
              <w:rPr>
                <w:w w:val="100"/>
                <w:sz w:val="22"/>
              </w:rPr>
              <w:t>9</w:t>
            </w:r>
          </w:p>
        </w:tc>
        <w:tc>
          <w:tcPr>
            <w:tcW w:w="3789" w:type="dxa"/>
          </w:tcPr>
          <w:p>
            <w:pPr>
              <w:pStyle w:val="TableParagraph"/>
              <w:spacing w:line="239" w:lineRule="exact"/>
              <w:ind w:left="108"/>
              <w:rPr>
                <w:sz w:val="22"/>
              </w:rPr>
            </w:pPr>
            <w:r>
              <w:rPr>
                <w:sz w:val="22"/>
              </w:rPr>
              <w:t>Richland School District</w:t>
            </w:r>
          </w:p>
        </w:tc>
        <w:tc>
          <w:tcPr>
            <w:tcW w:w="3779" w:type="dxa"/>
          </w:tcPr>
          <w:p>
            <w:pPr>
              <w:pStyle w:val="TableParagraph"/>
              <w:spacing w:line="239" w:lineRule="exact"/>
              <w:ind w:left="108"/>
              <w:rPr>
                <w:sz w:val="22"/>
              </w:rPr>
            </w:pPr>
            <w:r>
              <w:rPr>
                <w:sz w:val="22"/>
              </w:rPr>
              <w:t>Education</w:t>
            </w:r>
          </w:p>
        </w:tc>
        <w:tc>
          <w:tcPr>
            <w:tcW w:w="1350" w:type="dxa"/>
          </w:tcPr>
          <w:p>
            <w:pPr>
              <w:pStyle w:val="TableParagraph"/>
              <w:spacing w:line="239" w:lineRule="exact"/>
              <w:ind w:left="157"/>
              <w:rPr>
                <w:sz w:val="22"/>
              </w:rPr>
            </w:pPr>
            <w:r>
              <w:rPr>
                <w:sz w:val="22"/>
              </w:rPr>
              <w:t>1,500</w:t>
            </w:r>
          </w:p>
        </w:tc>
      </w:tr>
      <w:tr>
        <w:trPr>
          <w:trHeight w:val="318" w:hRule="atLeast"/>
        </w:trPr>
        <w:tc>
          <w:tcPr>
            <w:tcW w:w="530" w:type="dxa"/>
          </w:tcPr>
          <w:p>
            <w:pPr>
              <w:pStyle w:val="TableParagraph"/>
              <w:spacing w:line="239" w:lineRule="exact"/>
              <w:ind w:left="89" w:right="146"/>
              <w:jc w:val="center"/>
              <w:rPr>
                <w:sz w:val="22"/>
              </w:rPr>
            </w:pPr>
            <w:r>
              <w:rPr>
                <w:sz w:val="22"/>
              </w:rPr>
              <w:t>10</w:t>
            </w:r>
          </w:p>
        </w:tc>
        <w:tc>
          <w:tcPr>
            <w:tcW w:w="3789" w:type="dxa"/>
          </w:tcPr>
          <w:p>
            <w:pPr>
              <w:pStyle w:val="TableParagraph"/>
              <w:spacing w:line="239" w:lineRule="exact"/>
              <w:ind w:left="108"/>
              <w:rPr>
                <w:sz w:val="22"/>
              </w:rPr>
            </w:pPr>
            <w:r>
              <w:rPr>
                <w:sz w:val="22"/>
              </w:rPr>
              <w:t>CH2M Hill</w:t>
            </w:r>
          </w:p>
        </w:tc>
        <w:tc>
          <w:tcPr>
            <w:tcW w:w="3779" w:type="dxa"/>
          </w:tcPr>
          <w:p>
            <w:pPr>
              <w:pStyle w:val="TableParagraph"/>
              <w:spacing w:line="239" w:lineRule="exact"/>
              <w:ind w:left="108"/>
              <w:rPr>
                <w:sz w:val="22"/>
              </w:rPr>
            </w:pPr>
            <w:r>
              <w:rPr>
                <w:sz w:val="22"/>
              </w:rPr>
              <w:t>Environmental Remediation Services</w:t>
            </w:r>
          </w:p>
        </w:tc>
        <w:tc>
          <w:tcPr>
            <w:tcW w:w="1350" w:type="dxa"/>
          </w:tcPr>
          <w:p>
            <w:pPr>
              <w:pStyle w:val="TableParagraph"/>
              <w:spacing w:line="239" w:lineRule="exact"/>
              <w:ind w:left="157"/>
              <w:rPr>
                <w:sz w:val="22"/>
              </w:rPr>
            </w:pPr>
            <w:r>
              <w:rPr>
                <w:sz w:val="22"/>
              </w:rPr>
              <w:t>1,400</w:t>
            </w:r>
          </w:p>
        </w:tc>
      </w:tr>
    </w:tbl>
    <w:p>
      <w:pPr>
        <w:spacing w:before="57"/>
        <w:ind w:left="183" w:right="0" w:firstLine="0"/>
        <w:jc w:val="both"/>
        <w:rPr>
          <w:i/>
          <w:sz w:val="20"/>
        </w:rPr>
      </w:pPr>
      <w:bookmarkStart w:name="Total Employment by Industry Sector" w:id="32"/>
      <w:bookmarkEnd w:id="32"/>
      <w:r>
        <w:rPr/>
      </w:r>
      <w:r>
        <w:rPr>
          <w:i/>
          <w:sz w:val="20"/>
        </w:rPr>
        <w:t>Source: Tri-City Development Council (TRIDEC), </w:t>
      </w:r>
      <w:hyperlink r:id="rId11">
        <w:r>
          <w:rPr>
            <w:i/>
            <w:color w:val="0000FF"/>
            <w:sz w:val="20"/>
            <w:u w:val="single" w:color="0000FF"/>
          </w:rPr>
          <w:t>link</w:t>
        </w:r>
        <w:r>
          <w:rPr>
            <w:i/>
            <w:sz w:val="20"/>
          </w:rPr>
          <w:t>. </w:t>
        </w:r>
      </w:hyperlink>
      <w:r>
        <w:rPr>
          <w:i/>
          <w:sz w:val="20"/>
        </w:rPr>
        <w:t>Accessed February 14, 2017</w:t>
      </w:r>
    </w:p>
    <w:p>
      <w:pPr>
        <w:pStyle w:val="BodyText"/>
        <w:spacing w:before="3"/>
        <w:rPr>
          <w:i/>
          <w:sz w:val="17"/>
        </w:rPr>
      </w:pPr>
    </w:p>
    <w:p>
      <w:pPr>
        <w:spacing w:before="0"/>
        <w:ind w:left="140" w:right="0" w:firstLine="0"/>
        <w:jc w:val="both"/>
        <w:rPr>
          <w:b/>
          <w:sz w:val="22"/>
        </w:rPr>
      </w:pPr>
      <w:r>
        <w:rPr>
          <w:b/>
          <w:color w:val="C0504D"/>
          <w:sz w:val="22"/>
        </w:rPr>
        <w:t>Total Employment by Industry Sector</w:t>
      </w:r>
    </w:p>
    <w:p>
      <w:pPr>
        <w:pStyle w:val="BodyText"/>
        <w:spacing w:before="119"/>
        <w:ind w:left="140" w:right="335"/>
        <w:jc w:val="both"/>
      </w:pPr>
      <w:r>
        <w:rPr/>
        <w:t>Employment</w:t>
      </w:r>
      <w:r>
        <w:rPr>
          <w:spacing w:val="-5"/>
        </w:rPr>
        <w:t> </w:t>
      </w:r>
      <w:r>
        <w:rPr/>
        <w:t>in</w:t>
      </w:r>
      <w:r>
        <w:rPr>
          <w:spacing w:val="-3"/>
        </w:rPr>
        <w:t> </w:t>
      </w:r>
      <w:r>
        <w:rPr/>
        <w:t>the</w:t>
      </w:r>
      <w:r>
        <w:rPr>
          <w:spacing w:val="-2"/>
        </w:rPr>
        <w:t> </w:t>
      </w:r>
      <w:r>
        <w:rPr/>
        <w:t>Tri-Cities</w:t>
      </w:r>
      <w:r>
        <w:rPr>
          <w:spacing w:val="-3"/>
        </w:rPr>
        <w:t> </w:t>
      </w:r>
      <w:r>
        <w:rPr/>
        <w:t>region</w:t>
      </w:r>
      <w:r>
        <w:rPr>
          <w:spacing w:val="-3"/>
        </w:rPr>
        <w:t> </w:t>
      </w:r>
      <w:r>
        <w:rPr/>
        <w:t>increased</w:t>
      </w:r>
      <w:r>
        <w:rPr>
          <w:spacing w:val="-5"/>
        </w:rPr>
        <w:t> </w:t>
      </w:r>
      <w:r>
        <w:rPr/>
        <w:t>from</w:t>
      </w:r>
      <w:r>
        <w:rPr>
          <w:spacing w:val="-3"/>
        </w:rPr>
        <w:t> </w:t>
      </w:r>
      <w:r>
        <w:rPr/>
        <w:t>2006-2015</w:t>
      </w:r>
      <w:r>
        <w:rPr>
          <w:spacing w:val="-4"/>
        </w:rPr>
        <w:t> </w:t>
      </w:r>
      <w:r>
        <w:rPr/>
        <w:t>by</w:t>
      </w:r>
      <w:r>
        <w:rPr>
          <w:spacing w:val="-3"/>
        </w:rPr>
        <w:t> </w:t>
      </w:r>
      <w:r>
        <w:rPr/>
        <w:t>over</w:t>
      </w:r>
      <w:r>
        <w:rPr>
          <w:spacing w:val="-1"/>
        </w:rPr>
        <w:t> </w:t>
      </w:r>
      <w:r>
        <w:rPr/>
        <w:t>22,000</w:t>
      </w:r>
      <w:r>
        <w:rPr>
          <w:spacing w:val="-2"/>
        </w:rPr>
        <w:t> </w:t>
      </w:r>
      <w:r>
        <w:rPr/>
        <w:t>jobs</w:t>
      </w:r>
      <w:r>
        <w:rPr>
          <w:spacing w:val="-1"/>
        </w:rPr>
        <w:t> </w:t>
      </w:r>
      <w:r>
        <w:rPr/>
        <w:t>with</w:t>
      </w:r>
      <w:r>
        <w:rPr>
          <w:spacing w:val="-1"/>
        </w:rPr>
        <w:t> </w:t>
      </w:r>
      <w:r>
        <w:rPr/>
        <w:t>an</w:t>
      </w:r>
      <w:r>
        <w:rPr>
          <w:spacing w:val="-5"/>
        </w:rPr>
        <w:t> </w:t>
      </w:r>
      <w:r>
        <w:rPr/>
        <w:t>average annual growth rate of 2.0 percent. There are roughly 116,000 jobs in the region. All industries experienced positive employment growth by the end of the 10-year period. However, from 2011 to 2014 employment slightly declined as spending cuts at Hanford impacted the entire regional economy.</w:t>
      </w:r>
    </w:p>
    <w:p>
      <w:pPr>
        <w:spacing w:before="119"/>
        <w:ind w:left="140" w:right="0" w:firstLine="0"/>
        <w:jc w:val="left"/>
        <w:rPr>
          <w:rFonts w:ascii="Arial"/>
          <w:b/>
          <w:sz w:val="20"/>
        </w:rPr>
      </w:pPr>
      <w:bookmarkStart w:name="_bookmark14" w:id="33"/>
      <w:bookmarkEnd w:id="33"/>
      <w:r>
        <w:rPr/>
      </w:r>
      <w:r>
        <w:rPr>
          <w:rFonts w:ascii="Arial"/>
          <w:b/>
          <w:sz w:val="20"/>
        </w:rPr>
        <w:t>Figure ED-4: Benton and Franklin Counties Cumulative Employment by Sector</w:t>
      </w:r>
    </w:p>
    <w:p>
      <w:pPr>
        <w:pStyle w:val="BodyText"/>
        <w:spacing w:before="3"/>
        <w:rPr>
          <w:rFonts w:ascii="Arial"/>
          <w:b/>
          <w:sz w:val="9"/>
        </w:rPr>
      </w:pPr>
      <w:r>
        <w:rPr/>
        <w:pict>
          <v:group style="position:absolute;margin-left:73.25pt;margin-top:7.34128pt;width:469.45pt;height:170.85pt;mso-position-horizontal-relative:page;mso-position-vertical-relative:paragraph;z-index:-251643904;mso-wrap-distance-left:0;mso-wrap-distance-right:0" coordorigin="1465,147" coordsize="9389,3417">
            <v:shape style="position:absolute;left:1660;top:284;width:9064;height:3091" type="#_x0000_t75" stroked="false">
              <v:imagedata r:id="rId12" o:title=""/>
            </v:shape>
            <v:rect style="position:absolute;left:1472;top:154;width:9374;height:3402" filled="false" stroked="true" strokeweight=".75pt" strokecolor="#000000">
              <v:stroke dashstyle="solid"/>
            </v:rect>
            <w10:wrap type="topAndBottom"/>
          </v:group>
        </w:pict>
      </w:r>
    </w:p>
    <w:p>
      <w:pPr>
        <w:spacing w:before="67"/>
        <w:ind w:left="140" w:right="0" w:firstLine="0"/>
        <w:jc w:val="both"/>
        <w:rPr>
          <w:i/>
          <w:sz w:val="20"/>
        </w:rPr>
      </w:pPr>
      <w:r>
        <w:rPr>
          <w:i/>
          <w:sz w:val="20"/>
        </w:rPr>
        <w:t>Source: Washington State Employment Security Department</w:t>
      </w:r>
    </w:p>
    <w:p>
      <w:pPr>
        <w:pStyle w:val="BodyText"/>
        <w:spacing w:before="121"/>
        <w:ind w:left="140" w:right="335"/>
        <w:jc w:val="both"/>
      </w:pPr>
      <w:r>
        <w:rPr/>
        <w:t>Education, while small in total numbers, grew the most in the region. Warehousing, transportation, and utilities; manufacturing; wholesale trade (the main users of industrial land); and agriculture all grew faster than the regional average. Employment in the retail and finance, insurance, and real</w:t>
      </w:r>
      <w:bookmarkStart w:name="_bookmark15" w:id="34"/>
      <w:bookmarkEnd w:id="34"/>
      <w:r>
        <w:rPr/>
      </w:r>
      <w:r>
        <w:rPr/>
        <w:t> estate sectors grew the least.</w:t>
      </w:r>
    </w:p>
    <w:p>
      <w:pPr>
        <w:spacing w:before="120"/>
        <w:ind w:left="140" w:right="0" w:firstLine="0"/>
        <w:jc w:val="left"/>
        <w:rPr>
          <w:rFonts w:ascii="Arial"/>
          <w:b/>
          <w:sz w:val="20"/>
        </w:rPr>
      </w:pPr>
      <w:r>
        <w:rPr>
          <w:rFonts w:ascii="Arial"/>
          <w:b/>
          <w:sz w:val="20"/>
        </w:rPr>
        <w:t>Figure ED-5: Benton and Franklin Counties Cumulative Percent Employment Growth by Sector</w:t>
      </w:r>
    </w:p>
    <w:p>
      <w:pPr>
        <w:spacing w:after="0"/>
        <w:jc w:val="left"/>
        <w:rPr>
          <w:rFonts w:ascii="Arial"/>
          <w:sz w:val="20"/>
        </w:rPr>
        <w:sectPr>
          <w:pgSz w:w="12240" w:h="15840"/>
          <w:pgMar w:header="0" w:footer="1132" w:top="1360" w:bottom="1320" w:left="1300" w:right="1100"/>
        </w:sectPr>
      </w:pPr>
    </w:p>
    <w:p>
      <w:pPr>
        <w:pStyle w:val="BodyText"/>
        <w:ind w:left="154"/>
        <w:rPr>
          <w:rFonts w:ascii="Arial"/>
          <w:sz w:val="20"/>
        </w:rPr>
      </w:pPr>
      <w:r>
        <w:rPr>
          <w:rFonts w:ascii="Arial"/>
          <w:sz w:val="20"/>
        </w:rPr>
        <w:pict>
          <v:group style="width:449.2pt;height:175.45pt;mso-position-horizontal-relative:char;mso-position-vertical-relative:line" coordorigin="0,0" coordsize="8984,3509">
            <v:shape style="position:absolute;left:547;top:3012;width:6497;height:2" coordorigin="548,3013" coordsize="6497,0" path="m548,3013l548,3013,7044,3013e" filled="false" stroked="true" strokeweight=".510061pt" strokecolor="#d9d9d9">
              <v:path arrowok="t"/>
              <v:stroke dashstyle="solid"/>
            </v:shape>
            <v:shape style="position:absolute;left:547;top:2584;width:6497;height:2" coordorigin="548,2584" coordsize="6497,0" path="m548,2584l548,2584,7044,2584e" filled="false" stroked="true" strokeweight=".510061pt" strokecolor="#d9d9d9">
              <v:path arrowok="t"/>
              <v:stroke dashstyle="solid"/>
            </v:shape>
            <v:shape style="position:absolute;left:547;top:2364;width:6497;height:2" coordorigin="548,2364" coordsize="6497,0" path="m548,2364l548,2364,7044,2364e" filled="false" stroked="true" strokeweight=".510061pt" strokecolor="#d9d9d9">
              <v:path arrowok="t"/>
              <v:stroke dashstyle="solid"/>
            </v:shape>
            <v:shape style="position:absolute;left:547;top:2144;width:6497;height:2" coordorigin="548,2145" coordsize="6497,0" path="m548,2145l548,2145,7044,2145e" filled="false" stroked="true" strokeweight=".510061pt" strokecolor="#d9d9d9">
              <v:path arrowok="t"/>
              <v:stroke dashstyle="solid"/>
            </v:shape>
            <v:shape style="position:absolute;left:547;top:1935;width:6497;height:2" coordorigin="548,1935" coordsize="6497,0" path="m548,1935l548,1935,7044,1935e" filled="false" stroked="true" strokeweight=".510061pt" strokecolor="#d9d9d9">
              <v:path arrowok="t"/>
              <v:stroke dashstyle="solid"/>
            </v:shape>
            <v:shape style="position:absolute;left:547;top:1715;width:6497;height:2" coordorigin="548,1715" coordsize="6497,0" path="m548,1715l548,1715,7044,1715e" filled="false" stroked="true" strokeweight=".510061pt" strokecolor="#d9d9d9">
              <v:path arrowok="t"/>
              <v:stroke dashstyle="solid"/>
            </v:shape>
            <v:shape style="position:absolute;left:547;top:1505;width:6497;height:2" coordorigin="548,1506" coordsize="6497,0" path="m548,1506l548,1506,7044,1506e" filled="false" stroked="true" strokeweight=".510061pt" strokecolor="#d9d9d9">
              <v:path arrowok="t"/>
              <v:stroke dashstyle="solid"/>
            </v:shape>
            <v:shape style="position:absolute;left:547;top:1286;width:6497;height:2" coordorigin="548,1286" coordsize="6497,0" path="m548,1286l548,1286,7044,1286e" filled="false" stroked="true" strokeweight=".510061pt" strokecolor="#d9d9d9">
              <v:path arrowok="t"/>
              <v:stroke dashstyle="solid"/>
            </v:shape>
            <v:shape style="position:absolute;left:547;top:1066;width:6497;height:2" coordorigin="548,1067" coordsize="6497,0" path="m548,1067l548,1067,7044,1067e" filled="false" stroked="true" strokeweight=".510061pt" strokecolor="#d9d9d9">
              <v:path arrowok="t"/>
              <v:stroke dashstyle="solid"/>
            </v:shape>
            <v:shape style="position:absolute;left:547;top:857;width:6497;height:2" coordorigin="548,858" coordsize="6497,0" path="m548,858l548,858,7044,858e" filled="false" stroked="true" strokeweight=".510061pt" strokecolor="#d9d9d9">
              <v:path arrowok="t"/>
              <v:stroke dashstyle="solid"/>
            </v:shape>
            <v:shape style="position:absolute;left:547;top:638;width:6497;height:2" coordorigin="548,638" coordsize="6497,0" path="m548,638l548,638,7044,638e" filled="false" stroked="true" strokeweight=".510061pt" strokecolor="#d9d9d9">
              <v:path arrowok="t"/>
              <v:stroke dashstyle="solid"/>
            </v:shape>
            <v:shape style="position:absolute;left:547;top:418;width:6497;height:2" coordorigin="548,418" coordsize="6497,0" path="m548,418l548,418,7044,418e" filled="false" stroked="true" strokeweight=".510061pt" strokecolor="#d9d9d9">
              <v:path arrowok="t"/>
              <v:stroke dashstyle="solid"/>
            </v:shape>
            <v:shape style="position:absolute;left:547;top:208;width:6497;height:2" coordorigin="548,209" coordsize="6497,0" path="m548,209l548,209,7044,209e" filled="false" stroked="true" strokeweight=".510061pt" strokecolor="#d9d9d9">
              <v:path arrowok="t"/>
              <v:stroke dashstyle="solid"/>
            </v:shape>
            <v:shape style="position:absolute;left:548;top:97;width:2;height:2916" coordorigin="548,97" coordsize="0,2916" path="m548,3013l548,3013,548,97e" filled="false" stroked="true" strokeweight=".509542pt" strokecolor="#858585">
              <v:path arrowok="t"/>
              <v:stroke dashstyle="solid"/>
            </v:shape>
            <v:shape style="position:absolute;left:506;top:3012;width:42;height:2" coordorigin="506,3013" coordsize="42,0" path="m506,3013l506,3013,548,3013e" filled="false" stroked="true" strokeweight=".510061pt" strokecolor="#858585">
              <v:path arrowok="t"/>
              <v:stroke dashstyle="solid"/>
            </v:shape>
            <v:shape style="position:absolute;left:506;top:2792;width:42;height:2" coordorigin="506,2793" coordsize="42,0" path="m506,2793l506,2793,548,2793e" filled="false" stroked="true" strokeweight=".510061pt" strokecolor="#858585">
              <v:path arrowok="t"/>
              <v:stroke dashstyle="solid"/>
            </v:shape>
            <v:shape style="position:absolute;left:506;top:2584;width:42;height:2" coordorigin="506,2584" coordsize="42,0" path="m506,2584l506,2584,548,2584e" filled="false" stroked="true" strokeweight=".510061pt" strokecolor="#858585">
              <v:path arrowok="t"/>
              <v:stroke dashstyle="solid"/>
            </v:shape>
            <v:shape style="position:absolute;left:506;top:2364;width:42;height:2" coordorigin="506,2364" coordsize="42,0" path="m506,2364l506,2364,548,2364e" filled="false" stroked="true" strokeweight=".510061pt" strokecolor="#858585">
              <v:path arrowok="t"/>
              <v:stroke dashstyle="solid"/>
            </v:shape>
            <v:shape style="position:absolute;left:506;top:2144;width:42;height:2" coordorigin="506,2145" coordsize="42,0" path="m506,2145l506,2145,548,2145e" filled="false" stroked="true" strokeweight=".510061pt" strokecolor="#858585">
              <v:path arrowok="t"/>
              <v:stroke dashstyle="solid"/>
            </v:shape>
            <v:shape style="position:absolute;left:506;top:1935;width:42;height:2" coordorigin="506,1935" coordsize="42,0" path="m506,1935l506,1935,548,1935e" filled="false" stroked="true" strokeweight=".510061pt" strokecolor="#858585">
              <v:path arrowok="t"/>
              <v:stroke dashstyle="solid"/>
            </v:shape>
            <v:shape style="position:absolute;left:506;top:1715;width:42;height:2" coordorigin="506,1715" coordsize="42,0" path="m506,1715l506,1715,548,1715e" filled="false" stroked="true" strokeweight=".510061pt" strokecolor="#858585">
              <v:path arrowok="t"/>
              <v:stroke dashstyle="solid"/>
            </v:shape>
            <v:shape style="position:absolute;left:506;top:1505;width:42;height:2" coordorigin="506,1506" coordsize="42,0" path="m506,1506l506,1506,548,1506e" filled="false" stroked="true" strokeweight=".510061pt" strokecolor="#858585">
              <v:path arrowok="t"/>
              <v:stroke dashstyle="solid"/>
            </v:shape>
            <v:shape style="position:absolute;left:506;top:1286;width:42;height:2" coordorigin="506,1286" coordsize="42,0" path="m506,1286l506,1286,548,1286e" filled="false" stroked="true" strokeweight=".510061pt" strokecolor="#858585">
              <v:path arrowok="t"/>
              <v:stroke dashstyle="solid"/>
            </v:shape>
            <v:shape style="position:absolute;left:506;top:1066;width:42;height:2" coordorigin="506,1067" coordsize="42,0" path="m506,1067l506,1067,548,1067e" filled="false" stroked="true" strokeweight=".510061pt" strokecolor="#858585">
              <v:path arrowok="t"/>
              <v:stroke dashstyle="solid"/>
            </v:shape>
            <v:shape style="position:absolute;left:506;top:857;width:42;height:2" coordorigin="506,858" coordsize="42,0" path="m506,858l506,858,548,858e" filled="false" stroked="true" strokeweight=".510061pt" strokecolor="#858585">
              <v:path arrowok="t"/>
              <v:stroke dashstyle="solid"/>
            </v:shape>
            <v:shape style="position:absolute;left:506;top:638;width:42;height:2" coordorigin="506,638" coordsize="42,0" path="m506,638l506,638,548,638e" filled="false" stroked="true" strokeweight=".510061pt" strokecolor="#858585">
              <v:path arrowok="t"/>
              <v:stroke dashstyle="solid"/>
            </v:shape>
            <v:shape style="position:absolute;left:506;top:418;width:42;height:2" coordorigin="506,418" coordsize="42,0" path="m506,418l506,418,548,418e" filled="false" stroked="true" strokeweight=".510061pt" strokecolor="#858585">
              <v:path arrowok="t"/>
              <v:stroke dashstyle="solid"/>
            </v:shape>
            <v:shape style="position:absolute;left:506;top:208;width:42;height:2" coordorigin="506,209" coordsize="42,0" path="m506,209l506,209,548,209e" filled="false" stroked="true" strokeweight=".510061pt" strokecolor="#858585">
              <v:path arrowok="t"/>
              <v:stroke dashstyle="solid"/>
            </v:shape>
            <v:shape style="position:absolute;left:528;top:95;width:6536;height:2746" type="#_x0000_t75" stroked="false">
              <v:imagedata r:id="rId13" o:title=""/>
            </v:shape>
            <v:shape style="position:absolute;left:114;top:2971;width:302;height:102" type="#_x0000_t75" stroked="false">
              <v:imagedata r:id="rId14" o:title=""/>
            </v:shape>
            <v:shape style="position:absolute;left:235;top:2756;width:180;height:102" type="#_x0000_t75" stroked="false">
              <v:imagedata r:id="rId15" o:title=""/>
            </v:shape>
            <v:shape style="position:absolute;left:162;top:2540;width:254;height:102" type="#_x0000_t75" stroked="false">
              <v:imagedata r:id="rId16" o:title=""/>
            </v:shape>
            <v:shape style="position:absolute;left:151;top:2324;width:264;height:102" type="#_x0000_t75" stroked="false">
              <v:imagedata r:id="rId17" o:title=""/>
            </v:shape>
            <v:shape style="position:absolute;left:147;top:2108;width:268;height:102" type="#_x0000_t75" stroked="false">
              <v:imagedata r:id="rId18" o:title=""/>
            </v:shape>
            <v:shape style="position:absolute;left:148;top:1892;width:267;height:102" type="#_x0000_t75" stroked="false">
              <v:imagedata r:id="rId19" o:title=""/>
            </v:shape>
            <v:shape style="position:absolute;left:150;top:1676;width:265;height:102" type="#_x0000_t75" stroked="false">
              <v:imagedata r:id="rId20" o:title=""/>
            </v:shape>
            <v:shape style="position:absolute;left:151;top:1460;width:265;height:102" type="#_x0000_t75" stroked="false">
              <v:imagedata r:id="rId21" o:title=""/>
            </v:shape>
            <v:shape style="position:absolute;left:154;top:1244;width:262;height:102" type="#_x0000_t75" stroked="false">
              <v:imagedata r:id="rId22" o:title=""/>
            </v:shape>
            <v:shape style="position:absolute;left:149;top:1028;width:266;height:102" type="#_x0000_t75" stroked="false">
              <v:imagedata r:id="rId23" o:title=""/>
            </v:shape>
            <v:shape style="position:absolute;left:150;top:813;width:265;height:102" type="#_x0000_t75" stroked="false">
              <v:imagedata r:id="rId24" o:title=""/>
            </v:shape>
            <v:shape style="position:absolute;left:76;top:597;width:339;height:102" type="#_x0000_t75" stroked="false">
              <v:imagedata r:id="rId25" o:title=""/>
            </v:shape>
            <v:shape style="position:absolute;left:78;top:380;width:337;height:102" type="#_x0000_t75" stroked="false">
              <v:imagedata r:id="rId26" o:title=""/>
            </v:shape>
            <v:shape style="position:absolute;left:71;top:164;width:344;height:102" type="#_x0000_t75" stroked="false">
              <v:imagedata r:id="rId27" o:title=""/>
            </v:shape>
            <v:shape style="position:absolute;left:296;top:3154;width:278;height:290" type="#_x0000_t75" stroked="false">
              <v:imagedata r:id="rId28" o:title=""/>
            </v:shape>
            <v:shape style="position:absolute;left:7799;top:2980;width:45;height:61" coordorigin="7800,2980" coordsize="45,61" path="m7806,2995l7804,2995,7804,2994,7803,2994,7803,2992,7802,2992,7802,2990,7803,2989,7803,2987,7805,2985,7807,2984,7807,2984,7809,2984,7811,2983,7813,2982,7815,2982,7817,2981,7818,2981,7821,2980,7827,2980,7833,2982,7836,2983,7838,2984,7841,2987,7842,2989,7818,2989,7815,2990,7814,2991,7811,2991,7811,2991,7807,2993,7806,2995xm7822,3041l7813,3041,7808,3039,7807,3038,7805,3037,7802,3034,7800,3027,7800,3021,7801,3017,7804,3012,7807,3010,7809,3009,7812,3008,7815,3007,7819,3006,7835,3006,7835,3000,7834,2998,7834,2996,7833,2993,7831,2991,7826,2989,7842,2989,7843,2990,7844,2992,7844,2995,7844,3013,7821,3013,7819,3014,7817,3014,7814,3016,7811,3018,7811,3020,7811,3020,7810,3022,7810,3027,7811,3029,7813,3031,7815,3032,7817,3033,7836,3033,7831,3038,7828,3038,7825,3040,7822,3041xm7844,3040l7836,3040,7836,3039,7836,3038,7836,3033,7823,3033,7828,3031,7832,3028,7835,3025,7835,3013,7844,3013,7844,3039,7844,3040xe" filled="true" fillcolor="#000000" stroked="false">
              <v:path arrowok="t"/>
              <v:fill type="solid"/>
            </v:shape>
            <v:shape style="position:absolute;left:7856;top:2967;width:37;height:74" coordorigin="7856,2967" coordsize="37,74" path="m7876,2982l7865,2982,7865,2969,7867,2967,7875,2967,7875,2968,7876,2968,7876,2982xm7891,2990l7857,2990,7857,2989,7856,2988,7856,2984,7857,2983,7857,2982,7891,2982,7891,2984,7892,2984,7892,2987,7891,2988,7891,2990xm7886,3041l7876,3041,7874,3040,7873,3039,7868,3035,7867,3033,7867,3031,7866,3028,7865,3025,7865,2990,7876,2990,7876,3025,7876,3028,7877,3029,7879,3031,7880,3032,7892,3032,7892,3036,7891,3037,7891,3038,7891,3038,7891,3039,7890,3039,7889,3040,7887,3040,7886,3041xm7891,3032l7886,3032,7887,3031,7888,3031,7889,3031,7891,3031,7891,3032xe" filled="true" fillcolor="#000000" stroked="false">
              <v:path arrowok="t"/>
              <v:fill type="solid"/>
            </v:shape>
            <v:shape style="position:absolute;left:7901;top:2980;width:51;height:61" coordorigin="7902,2980" coordsize="51,61" path="m7934,3041l7925,3041,7920,3040,7917,3039,7911,3036,7909,3034,7906,3031,7905,3028,7904,3024,7902,3020,7902,3016,7902,3006,7902,3002,7904,2998,7905,2995,7906,2991,7909,2989,7911,2986,7920,2981,7924,2980,7932,2980,7936,2981,7942,2984,7945,2986,7946,2988,7925,2988,7923,2989,7920,2991,7915,2995,7914,2997,7913,2999,7913,3001,7913,3006,7953,3006,7953,3010,7950,3013,7913,3013,7913,3019,7915,3026,7920,3031,7927,3033,7950,3033,7950,3035,7949,3035,7949,3036,7949,3036,7949,3037,7948,3037,7947,3038,7945,3038,7945,3038,7942,3039,7941,3039,7939,3040,7937,3040,7934,3041xm7953,3006l7942,3006,7942,3000,7941,2996,7936,2990,7932,2988,7946,2988,7949,2991,7950,2994,7952,3002,7953,3006xm7949,3029l7947,3029,7948,3028,7949,3028,7949,3029xm7950,3033l7933,3033,7935,3032,7937,3032,7939,3031,7941,3031,7944,3030,7945,3030,7946,3029,7949,3029,7949,3030,7950,3031,7950,3033xe" filled="true" fillcolor="#000000" stroked="false">
              <v:path arrowok="t"/>
              <v:fill type="solid"/>
            </v:shape>
            <v:rect style="position:absolute;left:7;top:7;width:8969;height:3494" filled="false" stroked="true" strokeweight=".75pt" strokecolor="#000000">
              <v:stroke dashstyle="solid"/>
            </v:rect>
          </v:group>
        </w:pict>
      </w:r>
      <w:r>
        <w:rPr>
          <w:rFonts w:ascii="Arial"/>
          <w:sz w:val="20"/>
        </w:rPr>
      </w:r>
    </w:p>
    <w:p>
      <w:pPr>
        <w:pStyle w:val="BodyText"/>
        <w:spacing w:line="248" w:lineRule="exact"/>
        <w:ind w:left="140"/>
        <w:jc w:val="both"/>
      </w:pPr>
      <w:r>
        <w:rPr/>
        <w:t>Source: Washington State Employment Security Department</w:t>
      </w:r>
    </w:p>
    <w:p>
      <w:pPr>
        <w:pStyle w:val="BodyText"/>
        <w:spacing w:before="119"/>
        <w:ind w:left="140" w:right="334"/>
        <w:jc w:val="both"/>
      </w:pPr>
      <w:r>
        <w:rPr/>
        <w:t>The chart below shows the local concentration of jobs by sector (location quotient) along with measures of industry size and average annual employment change in the Tri-Cities region. Location quotients measure the concentration of jobs in a sector compared to the statewide average. A value of 1.0 signifies that the sector possesses the same level of employment concentration as the state. Values</w:t>
      </w:r>
      <w:r>
        <w:rPr>
          <w:spacing w:val="-6"/>
        </w:rPr>
        <w:t> </w:t>
      </w:r>
      <w:r>
        <w:rPr/>
        <w:t>above</w:t>
      </w:r>
      <w:r>
        <w:rPr>
          <w:spacing w:val="-6"/>
        </w:rPr>
        <w:t> </w:t>
      </w:r>
      <w:r>
        <w:rPr/>
        <w:t>1.0</w:t>
      </w:r>
      <w:r>
        <w:rPr>
          <w:spacing w:val="-7"/>
        </w:rPr>
        <w:t> </w:t>
      </w:r>
      <w:r>
        <w:rPr/>
        <w:t>are</w:t>
      </w:r>
      <w:r>
        <w:rPr>
          <w:spacing w:val="-6"/>
        </w:rPr>
        <w:t> </w:t>
      </w:r>
      <w:r>
        <w:rPr/>
        <w:t>more</w:t>
      </w:r>
      <w:r>
        <w:rPr>
          <w:spacing w:val="-9"/>
        </w:rPr>
        <w:t> </w:t>
      </w:r>
      <w:r>
        <w:rPr/>
        <w:t>concentrated</w:t>
      </w:r>
      <w:r>
        <w:rPr>
          <w:spacing w:val="-7"/>
        </w:rPr>
        <w:t> </w:t>
      </w:r>
      <w:r>
        <w:rPr/>
        <w:t>than</w:t>
      </w:r>
      <w:r>
        <w:rPr>
          <w:spacing w:val="-8"/>
        </w:rPr>
        <w:t> </w:t>
      </w:r>
      <w:r>
        <w:rPr/>
        <w:t>the</w:t>
      </w:r>
      <w:r>
        <w:rPr>
          <w:spacing w:val="-9"/>
        </w:rPr>
        <w:t> </w:t>
      </w:r>
      <w:r>
        <w:rPr/>
        <w:t>state</w:t>
      </w:r>
      <w:r>
        <w:rPr>
          <w:spacing w:val="-6"/>
        </w:rPr>
        <w:t> </w:t>
      </w:r>
      <w:r>
        <w:rPr/>
        <w:t>average.</w:t>
      </w:r>
      <w:r>
        <w:rPr>
          <w:spacing w:val="-9"/>
        </w:rPr>
        <w:t> </w:t>
      </w:r>
      <w:r>
        <w:rPr/>
        <w:t>The</w:t>
      </w:r>
      <w:r>
        <w:rPr>
          <w:spacing w:val="-8"/>
        </w:rPr>
        <w:t> </w:t>
      </w:r>
      <w:r>
        <w:rPr/>
        <w:t>size</w:t>
      </w:r>
      <w:r>
        <w:rPr>
          <w:spacing w:val="-6"/>
        </w:rPr>
        <w:t> </w:t>
      </w:r>
      <w:r>
        <w:rPr/>
        <w:t>of</w:t>
      </w:r>
      <w:r>
        <w:rPr>
          <w:spacing w:val="-6"/>
        </w:rPr>
        <w:t> </w:t>
      </w:r>
      <w:r>
        <w:rPr/>
        <w:t>the</w:t>
      </w:r>
      <w:r>
        <w:rPr>
          <w:spacing w:val="-9"/>
        </w:rPr>
        <w:t> </w:t>
      </w:r>
      <w:r>
        <w:rPr/>
        <w:t>bubble</w:t>
      </w:r>
      <w:r>
        <w:rPr>
          <w:spacing w:val="-7"/>
        </w:rPr>
        <w:t> </w:t>
      </w:r>
      <w:r>
        <w:rPr/>
        <w:t>represents</w:t>
      </w:r>
      <w:r>
        <w:rPr>
          <w:spacing w:val="-6"/>
        </w:rPr>
        <w:t> </w:t>
      </w:r>
      <w:r>
        <w:rPr/>
        <w:t>the number of jobs within that sector. Sectors with sizable employment and higher than average concentration, represent strengths for the region. Fast growing sectors, even if they are not very</w:t>
      </w:r>
      <w:bookmarkStart w:name="_bookmark16" w:id="35"/>
      <w:bookmarkEnd w:id="35"/>
      <w:r>
        <w:rPr/>
      </w:r>
      <w:r>
        <w:rPr/>
        <w:t> large, represent potential opportunity</w:t>
      </w:r>
      <w:r>
        <w:rPr>
          <w:spacing w:val="-8"/>
        </w:rPr>
        <w:t> </w:t>
      </w:r>
      <w:r>
        <w:rPr/>
        <w:t>areas.</w:t>
      </w:r>
    </w:p>
    <w:p>
      <w:pPr>
        <w:spacing w:before="120"/>
        <w:ind w:left="140" w:right="719" w:firstLine="0"/>
        <w:jc w:val="both"/>
        <w:rPr>
          <w:rFonts w:ascii="Arial"/>
          <w:b/>
          <w:sz w:val="20"/>
        </w:rPr>
      </w:pPr>
      <w:r>
        <w:rPr/>
        <w:pict>
          <v:group style="position:absolute;margin-left:72.75pt;margin-top:35.791889pt;width:414pt;height:240.8pt;mso-position-horizontal-relative:page;mso-position-vertical-relative:paragraph;z-index:-251641856;mso-wrap-distance-left:0;mso-wrap-distance-right:0" coordorigin="1455,716" coordsize="8280,4816">
            <v:shape style="position:absolute;left:1563;top:1074;width:8142;height:4335" type="#_x0000_t75" stroked="false">
              <v:imagedata r:id="rId29" o:title=""/>
            </v:shape>
            <v:rect style="position:absolute;left:1462;top:723;width:8265;height:4801" filled="false" stroked="true" strokeweight=".75pt" strokecolor="#000000">
              <v:stroke dashstyle="solid"/>
            </v:rect>
            <w10:wrap type="topAndBottom"/>
          </v:group>
        </w:pict>
      </w:r>
      <w:r>
        <w:rPr>
          <w:rFonts w:ascii="Arial"/>
          <w:b/>
          <w:sz w:val="20"/>
        </w:rPr>
        <w:t>Figure ED-6: Benton and Franklin Counties Employment Concentration and Change by Sector, 2006-2015</w:t>
      </w:r>
    </w:p>
    <w:p>
      <w:pPr>
        <w:spacing w:before="59"/>
        <w:ind w:left="140" w:right="0" w:firstLine="0"/>
        <w:jc w:val="both"/>
        <w:rPr>
          <w:i/>
          <w:sz w:val="20"/>
        </w:rPr>
      </w:pPr>
      <w:r>
        <w:rPr>
          <w:i/>
          <w:sz w:val="20"/>
        </w:rPr>
        <w:t>Source: Washington State Employment Security Department</w:t>
      </w:r>
    </w:p>
    <w:p>
      <w:pPr>
        <w:pStyle w:val="BodyText"/>
        <w:spacing w:before="121"/>
        <w:ind w:left="140" w:right="335"/>
        <w:jc w:val="both"/>
      </w:pPr>
      <w:r>
        <w:rPr/>
        <w:t>In the Tri-Cities region, the largest sectors - services and government - have a similar concentration as</w:t>
      </w:r>
      <w:r>
        <w:rPr>
          <w:spacing w:val="-7"/>
        </w:rPr>
        <w:t> </w:t>
      </w:r>
      <w:r>
        <w:rPr/>
        <w:t>the</w:t>
      </w:r>
      <w:r>
        <w:rPr>
          <w:spacing w:val="-6"/>
        </w:rPr>
        <w:t> </w:t>
      </w:r>
      <w:r>
        <w:rPr/>
        <w:t>state</w:t>
      </w:r>
      <w:r>
        <w:rPr>
          <w:spacing w:val="-6"/>
        </w:rPr>
        <w:t> </w:t>
      </w:r>
      <w:r>
        <w:rPr/>
        <w:t>and</w:t>
      </w:r>
      <w:r>
        <w:rPr>
          <w:spacing w:val="-7"/>
        </w:rPr>
        <w:t> </w:t>
      </w:r>
      <w:r>
        <w:rPr/>
        <w:t>the</w:t>
      </w:r>
      <w:r>
        <w:rPr>
          <w:spacing w:val="-6"/>
        </w:rPr>
        <w:t> </w:t>
      </w:r>
      <w:r>
        <w:rPr/>
        <w:t>region</w:t>
      </w:r>
      <w:r>
        <w:rPr>
          <w:spacing w:val="-10"/>
        </w:rPr>
        <w:t> </w:t>
      </w:r>
      <w:r>
        <w:rPr/>
        <w:t>are</w:t>
      </w:r>
      <w:r>
        <w:rPr>
          <w:spacing w:val="-7"/>
        </w:rPr>
        <w:t> </w:t>
      </w:r>
      <w:r>
        <w:rPr/>
        <w:t>growing</w:t>
      </w:r>
      <w:r>
        <w:rPr>
          <w:spacing w:val="-5"/>
        </w:rPr>
        <w:t> </w:t>
      </w:r>
      <w:r>
        <w:rPr/>
        <w:t>at</w:t>
      </w:r>
      <w:r>
        <w:rPr>
          <w:spacing w:val="-9"/>
        </w:rPr>
        <w:t> </w:t>
      </w:r>
      <w:r>
        <w:rPr/>
        <w:t>a</w:t>
      </w:r>
      <w:r>
        <w:rPr>
          <w:spacing w:val="-7"/>
        </w:rPr>
        <w:t> </w:t>
      </w:r>
      <w:r>
        <w:rPr/>
        <w:t>rate</w:t>
      </w:r>
      <w:r>
        <w:rPr>
          <w:spacing w:val="-9"/>
        </w:rPr>
        <w:t> </w:t>
      </w:r>
      <w:r>
        <w:rPr/>
        <w:t>of</w:t>
      </w:r>
      <w:r>
        <w:rPr>
          <w:spacing w:val="-6"/>
        </w:rPr>
        <w:t> </w:t>
      </w:r>
      <w:r>
        <w:rPr/>
        <w:t>one</w:t>
      </w:r>
      <w:r>
        <w:rPr>
          <w:spacing w:val="-6"/>
        </w:rPr>
        <w:t> </w:t>
      </w:r>
      <w:r>
        <w:rPr/>
        <w:t>to</w:t>
      </w:r>
      <w:r>
        <w:rPr>
          <w:spacing w:val="-7"/>
        </w:rPr>
        <w:t> </w:t>
      </w:r>
      <w:r>
        <w:rPr/>
        <w:t>three</w:t>
      </w:r>
      <w:r>
        <w:rPr>
          <w:spacing w:val="-6"/>
        </w:rPr>
        <w:t> </w:t>
      </w:r>
      <w:r>
        <w:rPr/>
        <w:t>percent</w:t>
      </w:r>
      <w:r>
        <w:rPr>
          <w:spacing w:val="-7"/>
        </w:rPr>
        <w:t> </w:t>
      </w:r>
      <w:r>
        <w:rPr/>
        <w:t>a</w:t>
      </w:r>
      <w:r>
        <w:rPr>
          <w:spacing w:val="-7"/>
        </w:rPr>
        <w:t> </w:t>
      </w:r>
      <w:r>
        <w:rPr/>
        <w:t>year,</w:t>
      </w:r>
      <w:r>
        <w:rPr>
          <w:spacing w:val="-9"/>
        </w:rPr>
        <w:t> </w:t>
      </w:r>
      <w:r>
        <w:rPr/>
        <w:t>indicating</w:t>
      </w:r>
      <w:r>
        <w:rPr>
          <w:spacing w:val="-5"/>
        </w:rPr>
        <w:t> </w:t>
      </w:r>
      <w:r>
        <w:rPr/>
        <w:t>they</w:t>
      </w:r>
      <w:r>
        <w:rPr>
          <w:spacing w:val="-9"/>
        </w:rPr>
        <w:t> </w:t>
      </w:r>
      <w:r>
        <w:rPr/>
        <w:t>are</w:t>
      </w:r>
      <w:r>
        <w:rPr>
          <w:spacing w:val="-6"/>
        </w:rPr>
        <w:t> </w:t>
      </w:r>
      <w:r>
        <w:rPr/>
        <w:t>the base</w:t>
      </w:r>
      <w:r>
        <w:rPr>
          <w:spacing w:val="8"/>
        </w:rPr>
        <w:t> </w:t>
      </w:r>
      <w:r>
        <w:rPr/>
        <w:t>of</w:t>
      </w:r>
      <w:r>
        <w:rPr>
          <w:spacing w:val="9"/>
        </w:rPr>
        <w:t> </w:t>
      </w:r>
      <w:r>
        <w:rPr/>
        <w:t>the</w:t>
      </w:r>
      <w:r>
        <w:rPr>
          <w:spacing w:val="8"/>
        </w:rPr>
        <w:t> </w:t>
      </w:r>
      <w:r>
        <w:rPr/>
        <w:t>regional</w:t>
      </w:r>
      <w:r>
        <w:rPr>
          <w:spacing w:val="9"/>
        </w:rPr>
        <w:t> </w:t>
      </w:r>
      <w:r>
        <w:rPr/>
        <w:t>economy.</w:t>
      </w:r>
      <w:r>
        <w:rPr>
          <w:spacing w:val="8"/>
        </w:rPr>
        <w:t> </w:t>
      </w:r>
      <w:r>
        <w:rPr/>
        <w:t>The</w:t>
      </w:r>
      <w:r>
        <w:rPr>
          <w:spacing w:val="9"/>
        </w:rPr>
        <w:t> </w:t>
      </w:r>
      <w:r>
        <w:rPr/>
        <w:t>agriculture</w:t>
      </w:r>
      <w:r>
        <w:rPr>
          <w:spacing w:val="8"/>
        </w:rPr>
        <w:t> </w:t>
      </w:r>
      <w:r>
        <w:rPr/>
        <w:t>sector</w:t>
      </w:r>
      <w:r>
        <w:rPr>
          <w:spacing w:val="9"/>
        </w:rPr>
        <w:t> </w:t>
      </w:r>
      <w:r>
        <w:rPr/>
        <w:t>is</w:t>
      </w:r>
      <w:r>
        <w:rPr>
          <w:spacing w:val="10"/>
        </w:rPr>
        <w:t> </w:t>
      </w:r>
      <w:r>
        <w:rPr/>
        <w:t>a</w:t>
      </w:r>
      <w:r>
        <w:rPr>
          <w:spacing w:val="8"/>
        </w:rPr>
        <w:t> </w:t>
      </w:r>
      <w:r>
        <w:rPr/>
        <w:t>strength</w:t>
      </w:r>
      <w:r>
        <w:rPr>
          <w:spacing w:val="7"/>
        </w:rPr>
        <w:t> </w:t>
      </w:r>
      <w:r>
        <w:rPr/>
        <w:t>in</w:t>
      </w:r>
      <w:r>
        <w:rPr>
          <w:spacing w:val="7"/>
        </w:rPr>
        <w:t> </w:t>
      </w:r>
      <w:r>
        <w:rPr/>
        <w:t>the</w:t>
      </w:r>
      <w:r>
        <w:rPr>
          <w:spacing w:val="9"/>
        </w:rPr>
        <w:t> </w:t>
      </w:r>
      <w:r>
        <w:rPr/>
        <w:t>Tri-Cities;</w:t>
      </w:r>
      <w:r>
        <w:rPr>
          <w:spacing w:val="8"/>
        </w:rPr>
        <w:t> </w:t>
      </w:r>
      <w:r>
        <w:rPr/>
        <w:t>it</w:t>
      </w:r>
      <w:r>
        <w:rPr>
          <w:spacing w:val="7"/>
        </w:rPr>
        <w:t> </w:t>
      </w:r>
      <w:r>
        <w:rPr/>
        <w:t>is</w:t>
      </w:r>
      <w:r>
        <w:rPr>
          <w:spacing w:val="10"/>
        </w:rPr>
        <w:t> </w:t>
      </w:r>
      <w:r>
        <w:rPr/>
        <w:t>much</w:t>
      </w:r>
      <w:r>
        <w:rPr>
          <w:spacing w:val="6"/>
        </w:rPr>
        <w:t> </w:t>
      </w:r>
      <w:r>
        <w:rPr/>
        <w:t>more</w:t>
      </w:r>
    </w:p>
    <w:p>
      <w:pPr>
        <w:spacing w:after="0"/>
        <w:jc w:val="both"/>
        <w:sectPr>
          <w:pgSz w:w="12240" w:h="15840"/>
          <w:pgMar w:header="0" w:footer="1132" w:top="1460" w:bottom="1320" w:left="1300" w:right="1100"/>
        </w:sectPr>
      </w:pPr>
    </w:p>
    <w:p>
      <w:pPr>
        <w:pStyle w:val="BodyText"/>
        <w:spacing w:before="80"/>
        <w:ind w:left="139" w:right="335"/>
        <w:jc w:val="both"/>
      </w:pPr>
      <w:r>
        <w:rPr/>
        <w:t>concentrated relative to the state and is growing at a rate of 3.7 percent per year. Education; manufacturing;</w:t>
      </w:r>
      <w:r>
        <w:rPr>
          <w:spacing w:val="-6"/>
        </w:rPr>
        <w:t> </w:t>
      </w:r>
      <w:r>
        <w:rPr/>
        <w:t>wholesale</w:t>
      </w:r>
      <w:r>
        <w:rPr>
          <w:spacing w:val="-8"/>
        </w:rPr>
        <w:t> </w:t>
      </w:r>
      <w:r>
        <w:rPr/>
        <w:t>trade;</w:t>
      </w:r>
      <w:r>
        <w:rPr>
          <w:spacing w:val="-6"/>
        </w:rPr>
        <w:t> </w:t>
      </w:r>
      <w:r>
        <w:rPr/>
        <w:t>and</w:t>
      </w:r>
      <w:r>
        <w:rPr>
          <w:spacing w:val="-5"/>
        </w:rPr>
        <w:t> </w:t>
      </w:r>
      <w:r>
        <w:rPr/>
        <w:t>warehousing,</w:t>
      </w:r>
      <w:r>
        <w:rPr>
          <w:spacing w:val="-4"/>
        </w:rPr>
        <w:t> </w:t>
      </w:r>
      <w:r>
        <w:rPr/>
        <w:t>transportation,</w:t>
      </w:r>
      <w:r>
        <w:rPr>
          <w:spacing w:val="-5"/>
        </w:rPr>
        <w:t> </w:t>
      </w:r>
      <w:r>
        <w:rPr/>
        <w:t>and</w:t>
      </w:r>
      <w:r>
        <w:rPr>
          <w:spacing w:val="-8"/>
        </w:rPr>
        <w:t> </w:t>
      </w:r>
      <w:r>
        <w:rPr/>
        <w:t>utilities</w:t>
      </w:r>
      <w:r>
        <w:rPr>
          <w:spacing w:val="-4"/>
        </w:rPr>
        <w:t> </w:t>
      </w:r>
      <w:r>
        <w:rPr/>
        <w:t>are</w:t>
      </w:r>
      <w:r>
        <w:rPr>
          <w:spacing w:val="-4"/>
        </w:rPr>
        <w:t> </w:t>
      </w:r>
      <w:r>
        <w:rPr/>
        <w:t>also</w:t>
      </w:r>
      <w:r>
        <w:rPr>
          <w:spacing w:val="-7"/>
        </w:rPr>
        <w:t> </w:t>
      </w:r>
      <w:r>
        <w:rPr/>
        <w:t>growing</w:t>
      </w:r>
      <w:r>
        <w:rPr>
          <w:spacing w:val="-4"/>
        </w:rPr>
        <w:t> </w:t>
      </w:r>
      <w:r>
        <w:rPr/>
        <w:t>at</w:t>
      </w:r>
      <w:r>
        <w:rPr>
          <w:spacing w:val="-6"/>
        </w:rPr>
        <w:t> </w:t>
      </w:r>
      <w:r>
        <w:rPr/>
        <w:t>a rate of more than three percent a year, but are smaller and less prevalent in the Tri-Cities compared to the state. Much of the growth in food manufacturing; wholesale trade; and warehousing, transportation and utilities may be related to the growth and prevalence of the agriculture sector in</w:t>
      </w:r>
      <w:bookmarkStart w:name="Hanford Employment" w:id="36"/>
      <w:bookmarkEnd w:id="36"/>
      <w:r>
        <w:rPr/>
      </w:r>
      <w:r>
        <w:rPr/>
        <w:t> the</w:t>
      </w:r>
      <w:r>
        <w:rPr>
          <w:spacing w:val="-1"/>
        </w:rPr>
        <w:t> </w:t>
      </w:r>
      <w:r>
        <w:rPr/>
        <w:t>Tri-Cities.</w:t>
      </w:r>
    </w:p>
    <w:p>
      <w:pPr>
        <w:spacing w:before="202"/>
        <w:ind w:left="139" w:right="0" w:firstLine="0"/>
        <w:jc w:val="both"/>
        <w:rPr>
          <w:b/>
          <w:sz w:val="22"/>
        </w:rPr>
      </w:pPr>
      <w:r>
        <w:rPr>
          <w:b/>
          <w:color w:val="C0504D"/>
          <w:sz w:val="22"/>
        </w:rPr>
        <w:t>Hanford Employment</w:t>
      </w:r>
    </w:p>
    <w:p>
      <w:pPr>
        <w:pStyle w:val="BodyText"/>
        <w:spacing w:before="119"/>
        <w:ind w:left="139" w:right="335"/>
        <w:jc w:val="both"/>
      </w:pPr>
      <w:r>
        <w:rPr/>
        <w:t>While</w:t>
      </w:r>
      <w:r>
        <w:rPr>
          <w:spacing w:val="-9"/>
        </w:rPr>
        <w:t> </w:t>
      </w:r>
      <w:r>
        <w:rPr/>
        <w:t>total</w:t>
      </w:r>
      <w:r>
        <w:rPr>
          <w:spacing w:val="-8"/>
        </w:rPr>
        <w:t> </w:t>
      </w:r>
      <w:r>
        <w:rPr/>
        <w:t>employment</w:t>
      </w:r>
      <w:r>
        <w:rPr>
          <w:spacing w:val="-8"/>
        </w:rPr>
        <w:t> </w:t>
      </w:r>
      <w:r>
        <w:rPr/>
        <w:t>increased</w:t>
      </w:r>
      <w:r>
        <w:rPr>
          <w:spacing w:val="-8"/>
        </w:rPr>
        <w:t> </w:t>
      </w:r>
      <w:r>
        <w:rPr/>
        <w:t>over</w:t>
      </w:r>
      <w:r>
        <w:rPr>
          <w:spacing w:val="-8"/>
        </w:rPr>
        <w:t> </w:t>
      </w:r>
      <w:r>
        <w:rPr/>
        <w:t>the</w:t>
      </w:r>
      <w:r>
        <w:rPr>
          <w:spacing w:val="-8"/>
        </w:rPr>
        <w:t> </w:t>
      </w:r>
      <w:r>
        <w:rPr/>
        <w:t>last</w:t>
      </w:r>
      <w:r>
        <w:rPr>
          <w:spacing w:val="-8"/>
        </w:rPr>
        <w:t> </w:t>
      </w:r>
      <w:r>
        <w:rPr/>
        <w:t>ten</w:t>
      </w:r>
      <w:r>
        <w:rPr>
          <w:spacing w:val="-9"/>
        </w:rPr>
        <w:t> </w:t>
      </w:r>
      <w:r>
        <w:rPr/>
        <w:t>years,</w:t>
      </w:r>
      <w:r>
        <w:rPr>
          <w:spacing w:val="-8"/>
        </w:rPr>
        <w:t> </w:t>
      </w:r>
      <w:r>
        <w:rPr/>
        <w:t>employment</w:t>
      </w:r>
      <w:r>
        <w:rPr>
          <w:spacing w:val="-8"/>
        </w:rPr>
        <w:t> </w:t>
      </w:r>
      <w:r>
        <w:rPr/>
        <w:t>at</w:t>
      </w:r>
      <w:r>
        <w:rPr>
          <w:spacing w:val="-8"/>
        </w:rPr>
        <w:t> </w:t>
      </w:r>
      <w:r>
        <w:rPr/>
        <w:t>Hanford</w:t>
      </w:r>
      <w:r>
        <w:rPr>
          <w:spacing w:val="-8"/>
        </w:rPr>
        <w:t> </w:t>
      </w:r>
      <w:r>
        <w:rPr/>
        <w:t>decreased</w:t>
      </w:r>
      <w:r>
        <w:rPr>
          <w:spacing w:val="-8"/>
        </w:rPr>
        <w:t> </w:t>
      </w:r>
      <w:r>
        <w:rPr/>
        <w:t>by</w:t>
      </w:r>
      <w:r>
        <w:rPr>
          <w:spacing w:val="-10"/>
        </w:rPr>
        <w:t> </w:t>
      </w:r>
      <w:r>
        <w:rPr/>
        <w:t>over 2,800</w:t>
      </w:r>
      <w:r>
        <w:rPr>
          <w:spacing w:val="-7"/>
        </w:rPr>
        <w:t> </w:t>
      </w:r>
      <w:r>
        <w:rPr/>
        <w:t>jobs</w:t>
      </w:r>
      <w:r>
        <w:rPr>
          <w:spacing w:val="-5"/>
        </w:rPr>
        <w:t> </w:t>
      </w:r>
      <w:r>
        <w:rPr/>
        <w:t>in</w:t>
      </w:r>
      <w:r>
        <w:rPr>
          <w:spacing w:val="-8"/>
        </w:rPr>
        <w:t> </w:t>
      </w:r>
      <w:r>
        <w:rPr/>
        <w:t>the</w:t>
      </w:r>
      <w:r>
        <w:rPr>
          <w:spacing w:val="-5"/>
        </w:rPr>
        <w:t> </w:t>
      </w:r>
      <w:r>
        <w:rPr/>
        <w:t>2012</w:t>
      </w:r>
      <w:r>
        <w:rPr>
          <w:spacing w:val="-6"/>
        </w:rPr>
        <w:t> </w:t>
      </w:r>
      <w:r>
        <w:rPr/>
        <w:t>fiscal</w:t>
      </w:r>
      <w:r>
        <w:rPr>
          <w:spacing w:val="-7"/>
        </w:rPr>
        <w:t> </w:t>
      </w:r>
      <w:r>
        <w:rPr/>
        <w:t>year</w:t>
      </w:r>
      <w:r>
        <w:rPr>
          <w:spacing w:val="-6"/>
        </w:rPr>
        <w:t> </w:t>
      </w:r>
      <w:r>
        <w:rPr/>
        <w:t>as</w:t>
      </w:r>
      <w:r>
        <w:rPr>
          <w:spacing w:val="-5"/>
        </w:rPr>
        <w:t> </w:t>
      </w:r>
      <w:r>
        <w:rPr/>
        <w:t>part</w:t>
      </w:r>
      <w:r>
        <w:rPr>
          <w:spacing w:val="-7"/>
        </w:rPr>
        <w:t> </w:t>
      </w:r>
      <w:r>
        <w:rPr/>
        <w:t>of</w:t>
      </w:r>
      <w:r>
        <w:rPr>
          <w:spacing w:val="-5"/>
        </w:rPr>
        <w:t> </w:t>
      </w:r>
      <w:r>
        <w:rPr/>
        <w:t>federal</w:t>
      </w:r>
      <w:r>
        <w:rPr>
          <w:spacing w:val="-8"/>
        </w:rPr>
        <w:t> </w:t>
      </w:r>
      <w:r>
        <w:rPr/>
        <w:t>spending</w:t>
      </w:r>
      <w:r>
        <w:rPr>
          <w:spacing w:val="-5"/>
        </w:rPr>
        <w:t> </w:t>
      </w:r>
      <w:r>
        <w:rPr/>
        <w:t>cuts.</w:t>
      </w:r>
      <w:r>
        <w:rPr>
          <w:spacing w:val="-5"/>
        </w:rPr>
        <w:t> </w:t>
      </w:r>
      <w:r>
        <w:rPr/>
        <w:t>This</w:t>
      </w:r>
      <w:r>
        <w:rPr>
          <w:spacing w:val="-5"/>
        </w:rPr>
        <w:t> </w:t>
      </w:r>
      <w:r>
        <w:rPr/>
        <w:t>decrease</w:t>
      </w:r>
      <w:r>
        <w:rPr>
          <w:spacing w:val="-6"/>
        </w:rPr>
        <w:t> </w:t>
      </w:r>
      <w:r>
        <w:rPr/>
        <w:t>was</w:t>
      </w:r>
      <w:r>
        <w:rPr>
          <w:spacing w:val="-5"/>
        </w:rPr>
        <w:t> </w:t>
      </w:r>
      <w:r>
        <w:rPr/>
        <w:t>part</w:t>
      </w:r>
      <w:r>
        <w:rPr>
          <w:spacing w:val="-6"/>
        </w:rPr>
        <w:t> </w:t>
      </w:r>
      <w:r>
        <w:rPr/>
        <w:t>of</w:t>
      </w:r>
      <w:r>
        <w:rPr>
          <w:spacing w:val="-6"/>
        </w:rPr>
        <w:t> </w:t>
      </w:r>
      <w:r>
        <w:rPr/>
        <w:t>a</w:t>
      </w:r>
      <w:r>
        <w:rPr>
          <w:spacing w:val="-6"/>
        </w:rPr>
        <w:t> </w:t>
      </w:r>
      <w:r>
        <w:rPr/>
        <w:t>region- wide decline in employment from 2012 and 2013, and also the end of ARRA funding. It may also be what led to the decrease in regional GDP shown in Figure</w:t>
      </w:r>
      <w:r>
        <w:rPr>
          <w:spacing w:val="-18"/>
        </w:rPr>
        <w:t> </w:t>
      </w:r>
      <w:r>
        <w:rPr/>
        <w:t>ED-1.</w:t>
      </w:r>
    </w:p>
    <w:p>
      <w:pPr>
        <w:spacing w:before="117"/>
        <w:ind w:left="140" w:right="0" w:firstLine="0"/>
        <w:jc w:val="both"/>
        <w:rPr>
          <w:rFonts w:ascii="Arial"/>
          <w:b/>
          <w:sz w:val="20"/>
        </w:rPr>
      </w:pPr>
      <w:r>
        <w:rPr/>
        <w:pict>
          <v:group style="position:absolute;margin-left:72.75pt;margin-top:24.17491pt;width:430.45pt;height:228.25pt;mso-position-horizontal-relative:page;mso-position-vertical-relative:paragraph;z-index:-251640832;mso-wrap-distance-left:0;mso-wrap-distance-right:0" coordorigin="1455,483" coordsize="8609,4565">
            <v:shape style="position:absolute;left:1541;top:671;width:8334;height:4254" type="#_x0000_t75" stroked="false">
              <v:imagedata r:id="rId30" o:title=""/>
            </v:shape>
            <v:rect style="position:absolute;left:1462;top:491;width:8594;height:4550" filled="false" stroked="true" strokeweight=".75pt" strokecolor="#000000">
              <v:stroke dashstyle="solid"/>
            </v:rect>
            <w10:wrap type="topAndBottom"/>
          </v:group>
        </w:pict>
      </w:r>
      <w:bookmarkStart w:name="_bookmark17" w:id="37"/>
      <w:bookmarkEnd w:id="37"/>
      <w:r>
        <w:rPr/>
      </w:r>
      <w:r>
        <w:rPr>
          <w:rFonts w:ascii="Arial"/>
          <w:b/>
          <w:sz w:val="20"/>
        </w:rPr>
        <w:t>Figure ED-7: Hanford and PNNL Employment, Fiscal Year 2009 to Fiscal Year 2016</w:t>
      </w:r>
    </w:p>
    <w:p>
      <w:pPr>
        <w:spacing w:before="38"/>
        <w:ind w:left="140" w:right="0" w:firstLine="0"/>
        <w:jc w:val="both"/>
        <w:rPr>
          <w:i/>
          <w:sz w:val="20"/>
        </w:rPr>
      </w:pPr>
      <w:r>
        <w:rPr>
          <w:i/>
          <w:sz w:val="20"/>
        </w:rPr>
        <w:t>Source: Tri-City Development Council (TRIDEC), 2016</w:t>
      </w:r>
    </w:p>
    <w:p>
      <w:pPr>
        <w:pStyle w:val="BodyText"/>
        <w:spacing w:before="3"/>
        <w:rPr>
          <w:i/>
          <w:sz w:val="17"/>
        </w:rPr>
      </w:pPr>
    </w:p>
    <w:p>
      <w:pPr>
        <w:spacing w:before="0"/>
        <w:ind w:left="140" w:right="0" w:firstLine="0"/>
        <w:jc w:val="both"/>
        <w:rPr>
          <w:b/>
          <w:sz w:val="24"/>
        </w:rPr>
      </w:pPr>
      <w:bookmarkStart w:name="Commercial Real Estate Trends" w:id="38"/>
      <w:bookmarkEnd w:id="38"/>
      <w:r>
        <w:rPr/>
      </w:r>
      <w:r>
        <w:rPr>
          <w:b/>
          <w:sz w:val="24"/>
        </w:rPr>
        <w:t>COMMERCIAL REAL ESTATE TRENDS</w:t>
      </w:r>
    </w:p>
    <w:p>
      <w:pPr>
        <w:pStyle w:val="BodyText"/>
        <w:spacing w:before="120"/>
        <w:ind w:left="140" w:right="334" w:hanging="1"/>
        <w:jc w:val="both"/>
      </w:pPr>
      <w:r>
        <w:rPr/>
        <w:t>With much of the Hanford, PNNL and health care activities located in Richland, the City is home to much</w:t>
      </w:r>
      <w:r>
        <w:rPr>
          <w:spacing w:val="-4"/>
        </w:rPr>
        <w:t> </w:t>
      </w:r>
      <w:r>
        <w:rPr/>
        <w:t>of</w:t>
      </w:r>
      <w:r>
        <w:rPr>
          <w:spacing w:val="-2"/>
        </w:rPr>
        <w:t> </w:t>
      </w:r>
      <w:r>
        <w:rPr/>
        <w:t>the</w:t>
      </w:r>
      <w:r>
        <w:rPr>
          <w:spacing w:val="-2"/>
        </w:rPr>
        <w:t> </w:t>
      </w:r>
      <w:r>
        <w:rPr/>
        <w:t>built</w:t>
      </w:r>
      <w:r>
        <w:rPr>
          <w:spacing w:val="-2"/>
        </w:rPr>
        <w:t> </w:t>
      </w:r>
      <w:r>
        <w:rPr/>
        <w:t>commercial</w:t>
      </w:r>
      <w:r>
        <w:rPr>
          <w:spacing w:val="-4"/>
        </w:rPr>
        <w:t> </w:t>
      </w:r>
      <w:r>
        <w:rPr/>
        <w:t>real</w:t>
      </w:r>
      <w:r>
        <w:rPr>
          <w:spacing w:val="-4"/>
        </w:rPr>
        <w:t> </w:t>
      </w:r>
      <w:r>
        <w:rPr/>
        <w:t>estate</w:t>
      </w:r>
      <w:r>
        <w:rPr>
          <w:spacing w:val="-4"/>
        </w:rPr>
        <w:t> </w:t>
      </w:r>
      <w:r>
        <w:rPr/>
        <w:t>in</w:t>
      </w:r>
      <w:r>
        <w:rPr>
          <w:spacing w:val="-3"/>
        </w:rPr>
        <w:t> </w:t>
      </w:r>
      <w:r>
        <w:rPr/>
        <w:t>the</w:t>
      </w:r>
      <w:r>
        <w:rPr>
          <w:spacing w:val="-2"/>
        </w:rPr>
        <w:t> </w:t>
      </w:r>
      <w:r>
        <w:rPr/>
        <w:t>region.</w:t>
      </w:r>
      <w:r>
        <w:rPr>
          <w:spacing w:val="-2"/>
        </w:rPr>
        <w:t> </w:t>
      </w:r>
      <w:r>
        <w:rPr/>
        <w:t>It</w:t>
      </w:r>
      <w:r>
        <w:rPr>
          <w:spacing w:val="-1"/>
        </w:rPr>
        <w:t> </w:t>
      </w:r>
      <w:r>
        <w:rPr/>
        <w:t>trails</w:t>
      </w:r>
      <w:r>
        <w:rPr>
          <w:spacing w:val="-3"/>
        </w:rPr>
        <w:t> </w:t>
      </w:r>
      <w:r>
        <w:rPr/>
        <w:t>only</w:t>
      </w:r>
      <w:r>
        <w:rPr>
          <w:spacing w:val="-3"/>
        </w:rPr>
        <w:t> </w:t>
      </w:r>
      <w:r>
        <w:rPr/>
        <w:t>Kennewick,</w:t>
      </w:r>
      <w:r>
        <w:rPr>
          <w:spacing w:val="-2"/>
        </w:rPr>
        <w:t> </w:t>
      </w:r>
      <w:r>
        <w:rPr/>
        <w:t>which</w:t>
      </w:r>
      <w:r>
        <w:rPr>
          <w:spacing w:val="-4"/>
        </w:rPr>
        <w:t> </w:t>
      </w:r>
      <w:r>
        <w:rPr/>
        <w:t>is</w:t>
      </w:r>
      <w:r>
        <w:rPr>
          <w:spacing w:val="-1"/>
        </w:rPr>
        <w:t> </w:t>
      </w:r>
      <w:r>
        <w:rPr/>
        <w:t>home</w:t>
      </w:r>
      <w:r>
        <w:rPr>
          <w:spacing w:val="-4"/>
        </w:rPr>
        <w:t> </w:t>
      </w:r>
      <w:r>
        <w:rPr/>
        <w:t>to</w:t>
      </w:r>
      <w:r>
        <w:rPr>
          <w:spacing w:val="-2"/>
        </w:rPr>
        <w:t> </w:t>
      </w:r>
      <w:r>
        <w:rPr/>
        <w:t>the region’s shopping malls. According to the Benton County Assessor, Richland holds the highest share of office and industrial building square footage but lags considerably with respect to retail businesses, primarily located in</w:t>
      </w:r>
      <w:r>
        <w:rPr>
          <w:spacing w:val="-7"/>
        </w:rPr>
        <w:t> </w:t>
      </w:r>
      <w:r>
        <w:rPr/>
        <w:t>Kennewick.</w:t>
      </w:r>
    </w:p>
    <w:p>
      <w:pPr>
        <w:pStyle w:val="BodyText"/>
        <w:spacing w:before="119"/>
        <w:ind w:left="140" w:right="336"/>
        <w:jc w:val="both"/>
      </w:pPr>
      <w:r>
        <w:rPr/>
        <w:t>Figure ED-8 below shows that office and retail uses are clustered in the downtown core as to be expected; retail is also heavy but isolated near the Queensgate area; a considerable amount of industrial</w:t>
      </w:r>
      <w:r>
        <w:rPr>
          <w:spacing w:val="-4"/>
        </w:rPr>
        <w:t> </w:t>
      </w:r>
      <w:r>
        <w:rPr/>
        <w:t>development</w:t>
      </w:r>
      <w:r>
        <w:rPr>
          <w:spacing w:val="-4"/>
        </w:rPr>
        <w:t> </w:t>
      </w:r>
      <w:r>
        <w:rPr/>
        <w:t>is</w:t>
      </w:r>
      <w:r>
        <w:rPr>
          <w:spacing w:val="-5"/>
        </w:rPr>
        <w:t> </w:t>
      </w:r>
      <w:r>
        <w:rPr/>
        <w:t>located</w:t>
      </w:r>
      <w:r>
        <w:rPr>
          <w:spacing w:val="-4"/>
        </w:rPr>
        <w:t> </w:t>
      </w:r>
      <w:r>
        <w:rPr/>
        <w:t>to</w:t>
      </w:r>
      <w:r>
        <w:rPr>
          <w:spacing w:val="-3"/>
        </w:rPr>
        <w:t> </w:t>
      </w:r>
      <w:r>
        <w:rPr/>
        <w:t>the</w:t>
      </w:r>
      <w:r>
        <w:rPr>
          <w:spacing w:val="-3"/>
        </w:rPr>
        <w:t> </w:t>
      </w:r>
      <w:r>
        <w:rPr/>
        <w:t>north</w:t>
      </w:r>
      <w:r>
        <w:rPr>
          <w:spacing w:val="-4"/>
        </w:rPr>
        <w:t> </w:t>
      </w:r>
      <w:r>
        <w:rPr/>
        <w:t>in</w:t>
      </w:r>
      <w:r>
        <w:rPr>
          <w:spacing w:val="-4"/>
        </w:rPr>
        <w:t> </w:t>
      </w:r>
      <w:r>
        <w:rPr/>
        <w:t>Horn</w:t>
      </w:r>
      <w:r>
        <w:rPr>
          <w:spacing w:val="-4"/>
        </w:rPr>
        <w:t> </w:t>
      </w:r>
      <w:r>
        <w:rPr/>
        <w:t>Rapids;</w:t>
      </w:r>
      <w:r>
        <w:rPr>
          <w:spacing w:val="-5"/>
        </w:rPr>
        <w:t> </w:t>
      </w:r>
      <w:r>
        <w:rPr/>
        <w:t>and</w:t>
      </w:r>
      <w:r>
        <w:rPr>
          <w:spacing w:val="-3"/>
        </w:rPr>
        <w:t> </w:t>
      </w:r>
      <w:r>
        <w:rPr/>
        <w:t>a</w:t>
      </w:r>
      <w:r>
        <w:rPr>
          <w:spacing w:val="-6"/>
        </w:rPr>
        <w:t> </w:t>
      </w:r>
      <w:r>
        <w:rPr/>
        <w:t>cluster</w:t>
      </w:r>
      <w:r>
        <w:rPr>
          <w:spacing w:val="-5"/>
        </w:rPr>
        <w:t> </w:t>
      </w:r>
      <w:r>
        <w:rPr/>
        <w:t>of</w:t>
      </w:r>
      <w:r>
        <w:rPr>
          <w:spacing w:val="-5"/>
        </w:rPr>
        <w:t> </w:t>
      </w:r>
      <w:r>
        <w:rPr/>
        <w:t>office</w:t>
      </w:r>
      <w:r>
        <w:rPr>
          <w:spacing w:val="-3"/>
        </w:rPr>
        <w:t> </w:t>
      </w:r>
      <w:r>
        <w:rPr/>
        <w:t>and</w:t>
      </w:r>
      <w:r>
        <w:rPr>
          <w:spacing w:val="-5"/>
        </w:rPr>
        <w:t> </w:t>
      </w:r>
      <w:r>
        <w:rPr/>
        <w:t>retail</w:t>
      </w:r>
      <w:r>
        <w:rPr>
          <w:spacing w:val="-3"/>
        </w:rPr>
        <w:t> </w:t>
      </w:r>
      <w:r>
        <w:rPr/>
        <w:t>to</w:t>
      </w:r>
      <w:r>
        <w:rPr>
          <w:spacing w:val="-3"/>
        </w:rPr>
        <w:t> </w:t>
      </w:r>
      <w:r>
        <w:rPr/>
        <w:t>the south in Island</w:t>
      </w:r>
      <w:r>
        <w:rPr>
          <w:spacing w:val="-3"/>
        </w:rPr>
        <w:t> </w:t>
      </w:r>
      <w:r>
        <w:rPr/>
        <w:t>View.</w:t>
      </w:r>
    </w:p>
    <w:p>
      <w:pPr>
        <w:pStyle w:val="BodyText"/>
        <w:rPr>
          <w:sz w:val="26"/>
        </w:rPr>
      </w:pPr>
    </w:p>
    <w:p>
      <w:pPr>
        <w:spacing w:before="165"/>
        <w:ind w:left="140" w:right="0" w:firstLine="0"/>
        <w:jc w:val="both"/>
        <w:rPr>
          <w:rFonts w:ascii="Arial"/>
          <w:b/>
          <w:sz w:val="20"/>
        </w:rPr>
      </w:pPr>
      <w:r>
        <w:rPr>
          <w:rFonts w:ascii="Arial"/>
          <w:b/>
          <w:sz w:val="20"/>
        </w:rPr>
        <w:t>Table ED-2: Building Square Footage, by Type</w:t>
      </w:r>
    </w:p>
    <w:p>
      <w:pPr>
        <w:spacing w:after="0"/>
        <w:jc w:val="both"/>
        <w:rPr>
          <w:rFonts w:ascii="Arial"/>
          <w:sz w:val="20"/>
        </w:rPr>
        <w:sectPr>
          <w:pgSz w:w="12240" w:h="15840"/>
          <w:pgMar w:header="0" w:footer="1132" w:top="1360" w:bottom="1320" w:left="1300" w:right="1100"/>
        </w:sectPr>
      </w:pPr>
    </w:p>
    <w:tbl>
      <w:tblPr>
        <w:tblW w:w="0" w:type="auto"/>
        <w:jc w:val="left"/>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75"/>
        <w:gridCol w:w="1260"/>
        <w:gridCol w:w="1116"/>
        <w:gridCol w:w="1349"/>
        <w:gridCol w:w="1171"/>
        <w:gridCol w:w="1159"/>
        <w:gridCol w:w="1310"/>
      </w:tblGrid>
      <w:tr>
        <w:trPr>
          <w:trHeight w:val="688" w:hRule="atLeast"/>
        </w:trPr>
        <w:tc>
          <w:tcPr>
            <w:tcW w:w="1975" w:type="dxa"/>
            <w:shd w:val="clear" w:color="auto" w:fill="CCD5DD"/>
          </w:tcPr>
          <w:p>
            <w:pPr>
              <w:pStyle w:val="TableParagraph"/>
              <w:spacing w:before="0"/>
              <w:ind w:left="0"/>
              <w:rPr>
                <w:rFonts w:ascii="Arial"/>
                <w:b/>
                <w:sz w:val="35"/>
              </w:rPr>
            </w:pPr>
          </w:p>
          <w:p>
            <w:pPr>
              <w:pStyle w:val="TableParagraph"/>
              <w:spacing w:before="0"/>
              <w:rPr>
                <w:b/>
                <w:sz w:val="22"/>
              </w:rPr>
            </w:pPr>
            <w:r>
              <w:rPr>
                <w:b/>
                <w:sz w:val="22"/>
              </w:rPr>
              <w:t>Use</w:t>
            </w:r>
          </w:p>
        </w:tc>
        <w:tc>
          <w:tcPr>
            <w:tcW w:w="1260" w:type="dxa"/>
            <w:shd w:val="clear" w:color="auto" w:fill="CCD5DD"/>
          </w:tcPr>
          <w:p>
            <w:pPr>
              <w:pStyle w:val="TableParagraph"/>
              <w:spacing w:before="0"/>
              <w:ind w:left="0"/>
              <w:rPr>
                <w:rFonts w:ascii="Arial"/>
                <w:b/>
                <w:sz w:val="35"/>
              </w:rPr>
            </w:pPr>
          </w:p>
          <w:p>
            <w:pPr>
              <w:pStyle w:val="TableParagraph"/>
              <w:spacing w:before="0"/>
              <w:ind w:left="108"/>
              <w:rPr>
                <w:b/>
                <w:sz w:val="22"/>
              </w:rPr>
            </w:pPr>
            <w:r>
              <w:rPr>
                <w:b/>
                <w:sz w:val="22"/>
              </w:rPr>
              <w:t>Richland</w:t>
            </w:r>
          </w:p>
        </w:tc>
        <w:tc>
          <w:tcPr>
            <w:tcW w:w="1116" w:type="dxa"/>
            <w:shd w:val="clear" w:color="auto" w:fill="CCD5DD"/>
          </w:tcPr>
          <w:p>
            <w:pPr>
              <w:pStyle w:val="TableParagraph"/>
              <w:spacing w:line="280" w:lineRule="atLeast" w:before="97"/>
              <w:ind w:left="108" w:right="79"/>
              <w:rPr>
                <w:b/>
                <w:sz w:val="22"/>
              </w:rPr>
            </w:pPr>
            <w:r>
              <w:rPr>
                <w:b/>
                <w:sz w:val="22"/>
              </w:rPr>
              <w:t>West Richland</w:t>
            </w:r>
          </w:p>
        </w:tc>
        <w:tc>
          <w:tcPr>
            <w:tcW w:w="1349" w:type="dxa"/>
            <w:shd w:val="clear" w:color="auto" w:fill="CCD5DD"/>
          </w:tcPr>
          <w:p>
            <w:pPr>
              <w:pStyle w:val="TableParagraph"/>
              <w:spacing w:before="0"/>
              <w:ind w:left="0"/>
              <w:rPr>
                <w:rFonts w:ascii="Arial"/>
                <w:b/>
                <w:sz w:val="35"/>
              </w:rPr>
            </w:pPr>
          </w:p>
          <w:p>
            <w:pPr>
              <w:pStyle w:val="TableParagraph"/>
              <w:spacing w:before="0"/>
              <w:rPr>
                <w:b/>
                <w:sz w:val="22"/>
              </w:rPr>
            </w:pPr>
            <w:r>
              <w:rPr>
                <w:b/>
                <w:sz w:val="22"/>
              </w:rPr>
              <w:t>Kennewick</w:t>
            </w:r>
          </w:p>
        </w:tc>
        <w:tc>
          <w:tcPr>
            <w:tcW w:w="1171" w:type="dxa"/>
            <w:shd w:val="clear" w:color="auto" w:fill="CCD5DD"/>
          </w:tcPr>
          <w:p>
            <w:pPr>
              <w:pStyle w:val="TableParagraph"/>
              <w:spacing w:before="0"/>
              <w:ind w:left="0"/>
              <w:rPr>
                <w:rFonts w:ascii="Arial"/>
                <w:b/>
                <w:sz w:val="35"/>
              </w:rPr>
            </w:pPr>
          </w:p>
          <w:p>
            <w:pPr>
              <w:pStyle w:val="TableParagraph"/>
              <w:spacing w:before="0"/>
              <w:rPr>
                <w:b/>
                <w:sz w:val="22"/>
              </w:rPr>
            </w:pPr>
            <w:r>
              <w:rPr>
                <w:b/>
                <w:sz w:val="22"/>
              </w:rPr>
              <w:t>Prosser</w:t>
            </w:r>
          </w:p>
        </w:tc>
        <w:tc>
          <w:tcPr>
            <w:tcW w:w="1159" w:type="dxa"/>
            <w:shd w:val="clear" w:color="auto" w:fill="CCD5DD"/>
          </w:tcPr>
          <w:p>
            <w:pPr>
              <w:pStyle w:val="TableParagraph"/>
              <w:spacing w:line="280" w:lineRule="atLeast" w:before="97"/>
              <w:ind w:right="309"/>
              <w:rPr>
                <w:b/>
                <w:sz w:val="22"/>
              </w:rPr>
            </w:pPr>
            <w:r>
              <w:rPr>
                <w:b/>
                <w:sz w:val="22"/>
              </w:rPr>
              <w:t>Rest of County</w:t>
            </w:r>
          </w:p>
        </w:tc>
        <w:tc>
          <w:tcPr>
            <w:tcW w:w="1310" w:type="dxa"/>
            <w:shd w:val="clear" w:color="auto" w:fill="CCD5DD"/>
          </w:tcPr>
          <w:p>
            <w:pPr>
              <w:pStyle w:val="TableParagraph"/>
              <w:spacing w:before="0"/>
              <w:ind w:left="0"/>
              <w:rPr>
                <w:rFonts w:ascii="Arial"/>
                <w:b/>
                <w:sz w:val="35"/>
              </w:rPr>
            </w:pPr>
          </w:p>
          <w:p>
            <w:pPr>
              <w:pStyle w:val="TableParagraph"/>
              <w:spacing w:before="0"/>
              <w:ind w:left="108"/>
              <w:rPr>
                <w:b/>
                <w:sz w:val="22"/>
              </w:rPr>
            </w:pPr>
            <w:r>
              <w:rPr>
                <w:b/>
                <w:sz w:val="22"/>
              </w:rPr>
              <w:t>Total</w:t>
            </w:r>
          </w:p>
        </w:tc>
      </w:tr>
      <w:tr>
        <w:trPr>
          <w:trHeight w:val="316" w:hRule="atLeast"/>
        </w:trPr>
        <w:tc>
          <w:tcPr>
            <w:tcW w:w="1975" w:type="dxa"/>
          </w:tcPr>
          <w:p>
            <w:pPr>
              <w:pStyle w:val="TableParagraph"/>
              <w:spacing w:line="237" w:lineRule="exact"/>
              <w:ind w:left="155"/>
              <w:rPr>
                <w:sz w:val="22"/>
              </w:rPr>
            </w:pPr>
            <w:r>
              <w:rPr>
                <w:sz w:val="22"/>
              </w:rPr>
              <w:t>Retail</w:t>
            </w:r>
          </w:p>
        </w:tc>
        <w:tc>
          <w:tcPr>
            <w:tcW w:w="1260" w:type="dxa"/>
          </w:tcPr>
          <w:p>
            <w:pPr>
              <w:pStyle w:val="TableParagraph"/>
              <w:spacing w:line="237" w:lineRule="exact"/>
              <w:ind w:left="108"/>
              <w:rPr>
                <w:sz w:val="22"/>
              </w:rPr>
            </w:pPr>
            <w:r>
              <w:rPr>
                <w:sz w:val="22"/>
              </w:rPr>
              <w:t>2,775,000</w:t>
            </w:r>
          </w:p>
        </w:tc>
        <w:tc>
          <w:tcPr>
            <w:tcW w:w="1116" w:type="dxa"/>
          </w:tcPr>
          <w:p>
            <w:pPr>
              <w:pStyle w:val="TableParagraph"/>
              <w:spacing w:line="237" w:lineRule="exact"/>
              <w:ind w:left="156"/>
              <w:rPr>
                <w:sz w:val="22"/>
              </w:rPr>
            </w:pPr>
            <w:r>
              <w:rPr>
                <w:sz w:val="22"/>
              </w:rPr>
              <w:t>205,000</w:t>
            </w:r>
          </w:p>
        </w:tc>
        <w:tc>
          <w:tcPr>
            <w:tcW w:w="1349" w:type="dxa"/>
          </w:tcPr>
          <w:p>
            <w:pPr>
              <w:pStyle w:val="TableParagraph"/>
              <w:spacing w:line="237" w:lineRule="exact"/>
              <w:ind w:left="156"/>
              <w:rPr>
                <w:sz w:val="22"/>
              </w:rPr>
            </w:pPr>
            <w:r>
              <w:rPr>
                <w:sz w:val="22"/>
              </w:rPr>
              <w:t>5,089,000</w:t>
            </w:r>
          </w:p>
        </w:tc>
        <w:tc>
          <w:tcPr>
            <w:tcW w:w="1171" w:type="dxa"/>
          </w:tcPr>
          <w:p>
            <w:pPr>
              <w:pStyle w:val="TableParagraph"/>
              <w:spacing w:line="237" w:lineRule="exact"/>
              <w:ind w:left="155"/>
              <w:rPr>
                <w:sz w:val="22"/>
              </w:rPr>
            </w:pPr>
            <w:r>
              <w:rPr>
                <w:sz w:val="22"/>
              </w:rPr>
              <w:t>421,000</w:t>
            </w:r>
          </w:p>
        </w:tc>
        <w:tc>
          <w:tcPr>
            <w:tcW w:w="1159" w:type="dxa"/>
          </w:tcPr>
          <w:p>
            <w:pPr>
              <w:pStyle w:val="TableParagraph"/>
              <w:spacing w:line="237" w:lineRule="exact"/>
              <w:ind w:left="0" w:right="115"/>
              <w:jc w:val="right"/>
              <w:rPr>
                <w:sz w:val="22"/>
              </w:rPr>
            </w:pPr>
            <w:r>
              <w:rPr>
                <w:sz w:val="22"/>
              </w:rPr>
              <w:t>123,000</w:t>
            </w:r>
          </w:p>
        </w:tc>
        <w:tc>
          <w:tcPr>
            <w:tcW w:w="1310" w:type="dxa"/>
          </w:tcPr>
          <w:p>
            <w:pPr>
              <w:pStyle w:val="TableParagraph"/>
              <w:spacing w:line="237" w:lineRule="exact"/>
              <w:ind w:left="156"/>
              <w:rPr>
                <w:sz w:val="22"/>
              </w:rPr>
            </w:pPr>
            <w:r>
              <w:rPr>
                <w:sz w:val="22"/>
              </w:rPr>
              <w:t>8,613,000</w:t>
            </w:r>
          </w:p>
        </w:tc>
      </w:tr>
      <w:tr>
        <w:trPr>
          <w:trHeight w:val="318" w:hRule="atLeast"/>
        </w:trPr>
        <w:tc>
          <w:tcPr>
            <w:tcW w:w="1975" w:type="dxa"/>
          </w:tcPr>
          <w:p>
            <w:pPr>
              <w:pStyle w:val="TableParagraph"/>
              <w:spacing w:line="239" w:lineRule="exact"/>
              <w:ind w:left="155"/>
              <w:rPr>
                <w:sz w:val="22"/>
              </w:rPr>
            </w:pPr>
            <w:r>
              <w:rPr>
                <w:sz w:val="22"/>
              </w:rPr>
              <w:t>Industrial</w:t>
            </w:r>
          </w:p>
        </w:tc>
        <w:tc>
          <w:tcPr>
            <w:tcW w:w="1260" w:type="dxa"/>
          </w:tcPr>
          <w:p>
            <w:pPr>
              <w:pStyle w:val="TableParagraph"/>
              <w:spacing w:line="239" w:lineRule="exact"/>
              <w:ind w:left="108"/>
              <w:rPr>
                <w:sz w:val="22"/>
              </w:rPr>
            </w:pPr>
            <w:r>
              <w:rPr>
                <w:sz w:val="22"/>
              </w:rPr>
              <w:t>2,803,000</w:t>
            </w:r>
          </w:p>
        </w:tc>
        <w:tc>
          <w:tcPr>
            <w:tcW w:w="1116" w:type="dxa"/>
          </w:tcPr>
          <w:p>
            <w:pPr>
              <w:pStyle w:val="TableParagraph"/>
              <w:spacing w:line="239" w:lineRule="exact"/>
              <w:ind w:left="156"/>
              <w:rPr>
                <w:sz w:val="22"/>
              </w:rPr>
            </w:pPr>
            <w:r>
              <w:rPr>
                <w:sz w:val="22"/>
              </w:rPr>
              <w:t>282,000</w:t>
            </w:r>
          </w:p>
        </w:tc>
        <w:tc>
          <w:tcPr>
            <w:tcW w:w="1349" w:type="dxa"/>
          </w:tcPr>
          <w:p>
            <w:pPr>
              <w:pStyle w:val="TableParagraph"/>
              <w:spacing w:line="239" w:lineRule="exact"/>
              <w:ind w:left="156"/>
              <w:rPr>
                <w:sz w:val="22"/>
              </w:rPr>
            </w:pPr>
            <w:r>
              <w:rPr>
                <w:sz w:val="22"/>
              </w:rPr>
              <w:t>2,475,000</w:t>
            </w:r>
          </w:p>
        </w:tc>
        <w:tc>
          <w:tcPr>
            <w:tcW w:w="1171" w:type="dxa"/>
          </w:tcPr>
          <w:p>
            <w:pPr>
              <w:pStyle w:val="TableParagraph"/>
              <w:spacing w:line="239" w:lineRule="exact"/>
              <w:ind w:left="155"/>
              <w:rPr>
                <w:sz w:val="22"/>
              </w:rPr>
            </w:pPr>
            <w:r>
              <w:rPr>
                <w:sz w:val="22"/>
              </w:rPr>
              <w:t>924,000</w:t>
            </w:r>
          </w:p>
        </w:tc>
        <w:tc>
          <w:tcPr>
            <w:tcW w:w="1159" w:type="dxa"/>
          </w:tcPr>
          <w:p>
            <w:pPr>
              <w:pStyle w:val="TableParagraph"/>
              <w:spacing w:line="239" w:lineRule="exact"/>
              <w:rPr>
                <w:sz w:val="22"/>
              </w:rPr>
            </w:pPr>
            <w:r>
              <w:rPr>
                <w:sz w:val="22"/>
              </w:rPr>
              <w:t>1,381,000</w:t>
            </w:r>
          </w:p>
        </w:tc>
        <w:tc>
          <w:tcPr>
            <w:tcW w:w="1310" w:type="dxa"/>
          </w:tcPr>
          <w:p>
            <w:pPr>
              <w:pStyle w:val="TableParagraph"/>
              <w:spacing w:line="239" w:lineRule="exact"/>
              <w:ind w:left="156"/>
              <w:rPr>
                <w:sz w:val="22"/>
              </w:rPr>
            </w:pPr>
            <w:r>
              <w:rPr>
                <w:sz w:val="22"/>
              </w:rPr>
              <w:t>7,866,000</w:t>
            </w:r>
          </w:p>
        </w:tc>
      </w:tr>
      <w:tr>
        <w:trPr>
          <w:trHeight w:val="316" w:hRule="atLeast"/>
        </w:trPr>
        <w:tc>
          <w:tcPr>
            <w:tcW w:w="1975" w:type="dxa"/>
          </w:tcPr>
          <w:p>
            <w:pPr>
              <w:pStyle w:val="TableParagraph"/>
              <w:spacing w:line="237" w:lineRule="exact"/>
              <w:ind w:left="155"/>
              <w:rPr>
                <w:sz w:val="22"/>
              </w:rPr>
            </w:pPr>
            <w:r>
              <w:rPr>
                <w:sz w:val="22"/>
              </w:rPr>
              <w:t>Office</w:t>
            </w:r>
          </w:p>
        </w:tc>
        <w:tc>
          <w:tcPr>
            <w:tcW w:w="1260" w:type="dxa"/>
          </w:tcPr>
          <w:p>
            <w:pPr>
              <w:pStyle w:val="TableParagraph"/>
              <w:spacing w:line="237" w:lineRule="exact"/>
              <w:ind w:left="108"/>
              <w:rPr>
                <w:sz w:val="22"/>
              </w:rPr>
            </w:pPr>
            <w:r>
              <w:rPr>
                <w:sz w:val="22"/>
              </w:rPr>
              <w:t>3,259,000</w:t>
            </w:r>
          </w:p>
        </w:tc>
        <w:tc>
          <w:tcPr>
            <w:tcW w:w="1116" w:type="dxa"/>
          </w:tcPr>
          <w:p>
            <w:pPr>
              <w:pStyle w:val="TableParagraph"/>
              <w:spacing w:line="237" w:lineRule="exact"/>
              <w:ind w:left="0" w:right="194"/>
              <w:jc w:val="right"/>
              <w:rPr>
                <w:sz w:val="22"/>
              </w:rPr>
            </w:pPr>
            <w:r>
              <w:rPr>
                <w:sz w:val="22"/>
              </w:rPr>
              <w:t>52,000</w:t>
            </w:r>
          </w:p>
        </w:tc>
        <w:tc>
          <w:tcPr>
            <w:tcW w:w="1349" w:type="dxa"/>
          </w:tcPr>
          <w:p>
            <w:pPr>
              <w:pStyle w:val="TableParagraph"/>
              <w:spacing w:line="237" w:lineRule="exact"/>
              <w:ind w:left="156"/>
              <w:rPr>
                <w:sz w:val="22"/>
              </w:rPr>
            </w:pPr>
            <w:r>
              <w:rPr>
                <w:sz w:val="22"/>
              </w:rPr>
              <w:t>2,645,000</w:t>
            </w:r>
          </w:p>
        </w:tc>
        <w:tc>
          <w:tcPr>
            <w:tcW w:w="1171" w:type="dxa"/>
          </w:tcPr>
          <w:p>
            <w:pPr>
              <w:pStyle w:val="TableParagraph"/>
              <w:spacing w:line="237" w:lineRule="exact"/>
              <w:ind w:left="155"/>
              <w:rPr>
                <w:sz w:val="22"/>
              </w:rPr>
            </w:pPr>
            <w:r>
              <w:rPr>
                <w:sz w:val="22"/>
              </w:rPr>
              <w:t>110,000</w:t>
            </w:r>
          </w:p>
        </w:tc>
        <w:tc>
          <w:tcPr>
            <w:tcW w:w="1159" w:type="dxa"/>
          </w:tcPr>
          <w:p>
            <w:pPr>
              <w:pStyle w:val="TableParagraph"/>
              <w:spacing w:line="237" w:lineRule="exact"/>
              <w:ind w:left="0" w:right="141"/>
              <w:jc w:val="right"/>
              <w:rPr>
                <w:sz w:val="22"/>
              </w:rPr>
            </w:pPr>
            <w:r>
              <w:rPr>
                <w:sz w:val="22"/>
              </w:rPr>
              <w:t>57,000</w:t>
            </w:r>
          </w:p>
        </w:tc>
        <w:tc>
          <w:tcPr>
            <w:tcW w:w="1310" w:type="dxa"/>
          </w:tcPr>
          <w:p>
            <w:pPr>
              <w:pStyle w:val="TableParagraph"/>
              <w:spacing w:line="237" w:lineRule="exact"/>
              <w:ind w:left="156"/>
              <w:rPr>
                <w:sz w:val="22"/>
              </w:rPr>
            </w:pPr>
            <w:r>
              <w:rPr>
                <w:sz w:val="22"/>
              </w:rPr>
              <w:t>6,123,000</w:t>
            </w:r>
          </w:p>
        </w:tc>
      </w:tr>
      <w:tr>
        <w:trPr>
          <w:trHeight w:val="318" w:hRule="atLeast"/>
        </w:trPr>
        <w:tc>
          <w:tcPr>
            <w:tcW w:w="1975" w:type="dxa"/>
          </w:tcPr>
          <w:p>
            <w:pPr>
              <w:pStyle w:val="TableParagraph"/>
              <w:spacing w:line="237" w:lineRule="exact" w:before="62"/>
              <w:ind w:left="155"/>
              <w:rPr>
                <w:sz w:val="22"/>
              </w:rPr>
            </w:pPr>
            <w:r>
              <w:rPr>
                <w:sz w:val="22"/>
              </w:rPr>
              <w:t>Accommodations</w:t>
            </w:r>
          </w:p>
        </w:tc>
        <w:tc>
          <w:tcPr>
            <w:tcW w:w="1260" w:type="dxa"/>
          </w:tcPr>
          <w:p>
            <w:pPr>
              <w:pStyle w:val="TableParagraph"/>
              <w:spacing w:line="237" w:lineRule="exact" w:before="62"/>
              <w:ind w:left="156"/>
              <w:rPr>
                <w:sz w:val="22"/>
              </w:rPr>
            </w:pPr>
            <w:r>
              <w:rPr>
                <w:sz w:val="22"/>
              </w:rPr>
              <w:t>462,000</w:t>
            </w:r>
          </w:p>
        </w:tc>
        <w:tc>
          <w:tcPr>
            <w:tcW w:w="1116" w:type="dxa"/>
          </w:tcPr>
          <w:p>
            <w:pPr>
              <w:pStyle w:val="TableParagraph"/>
              <w:spacing w:line="237" w:lineRule="exact" w:before="62"/>
              <w:ind w:left="156"/>
              <w:rPr>
                <w:sz w:val="22"/>
              </w:rPr>
            </w:pPr>
            <w:r>
              <w:rPr>
                <w:w w:val="100"/>
                <w:sz w:val="22"/>
              </w:rPr>
              <w:t>-</w:t>
            </w:r>
          </w:p>
        </w:tc>
        <w:tc>
          <w:tcPr>
            <w:tcW w:w="1349" w:type="dxa"/>
          </w:tcPr>
          <w:p>
            <w:pPr>
              <w:pStyle w:val="TableParagraph"/>
              <w:spacing w:line="237" w:lineRule="exact" w:before="62"/>
              <w:ind w:left="300"/>
              <w:rPr>
                <w:sz w:val="22"/>
              </w:rPr>
            </w:pPr>
            <w:r>
              <w:rPr>
                <w:sz w:val="22"/>
              </w:rPr>
              <w:t>633,000</w:t>
            </w:r>
          </w:p>
        </w:tc>
        <w:tc>
          <w:tcPr>
            <w:tcW w:w="1171" w:type="dxa"/>
          </w:tcPr>
          <w:p>
            <w:pPr>
              <w:pStyle w:val="TableParagraph"/>
              <w:spacing w:line="237" w:lineRule="exact" w:before="62"/>
              <w:ind w:left="155"/>
              <w:rPr>
                <w:sz w:val="22"/>
              </w:rPr>
            </w:pPr>
            <w:r>
              <w:rPr>
                <w:sz w:val="22"/>
              </w:rPr>
              <w:t>54,000</w:t>
            </w:r>
          </w:p>
        </w:tc>
        <w:tc>
          <w:tcPr>
            <w:tcW w:w="1159" w:type="dxa"/>
          </w:tcPr>
          <w:p>
            <w:pPr>
              <w:pStyle w:val="TableParagraph"/>
              <w:spacing w:line="237" w:lineRule="exact" w:before="62"/>
              <w:ind w:left="156"/>
              <w:rPr>
                <w:sz w:val="22"/>
              </w:rPr>
            </w:pPr>
            <w:r>
              <w:rPr>
                <w:w w:val="100"/>
                <w:sz w:val="22"/>
              </w:rPr>
              <w:t>-</w:t>
            </w:r>
          </w:p>
        </w:tc>
        <w:tc>
          <w:tcPr>
            <w:tcW w:w="1310" w:type="dxa"/>
          </w:tcPr>
          <w:p>
            <w:pPr>
              <w:pStyle w:val="TableParagraph"/>
              <w:spacing w:line="237" w:lineRule="exact" w:before="62"/>
              <w:ind w:left="156"/>
              <w:rPr>
                <w:sz w:val="22"/>
              </w:rPr>
            </w:pPr>
            <w:r>
              <w:rPr>
                <w:sz w:val="22"/>
              </w:rPr>
              <w:t>1,149,000</w:t>
            </w:r>
          </w:p>
        </w:tc>
      </w:tr>
      <w:tr>
        <w:trPr>
          <w:trHeight w:val="318" w:hRule="atLeast"/>
        </w:trPr>
        <w:tc>
          <w:tcPr>
            <w:tcW w:w="1975" w:type="dxa"/>
          </w:tcPr>
          <w:p>
            <w:pPr>
              <w:pStyle w:val="TableParagraph"/>
              <w:spacing w:line="239" w:lineRule="exact"/>
              <w:ind w:left="155"/>
              <w:rPr>
                <w:sz w:val="22"/>
              </w:rPr>
            </w:pPr>
            <w:r>
              <w:rPr>
                <w:sz w:val="22"/>
              </w:rPr>
              <w:t>Other</w:t>
            </w:r>
          </w:p>
        </w:tc>
        <w:tc>
          <w:tcPr>
            <w:tcW w:w="1260" w:type="dxa"/>
          </w:tcPr>
          <w:p>
            <w:pPr>
              <w:pStyle w:val="TableParagraph"/>
              <w:spacing w:line="239" w:lineRule="exact"/>
              <w:ind w:left="156"/>
              <w:rPr>
                <w:sz w:val="22"/>
              </w:rPr>
            </w:pPr>
            <w:r>
              <w:rPr>
                <w:sz w:val="22"/>
              </w:rPr>
              <w:t>326,000</w:t>
            </w:r>
          </w:p>
        </w:tc>
        <w:tc>
          <w:tcPr>
            <w:tcW w:w="1116" w:type="dxa"/>
          </w:tcPr>
          <w:p>
            <w:pPr>
              <w:pStyle w:val="TableParagraph"/>
              <w:spacing w:line="239" w:lineRule="exact"/>
              <w:ind w:left="0" w:right="146"/>
              <w:jc w:val="right"/>
              <w:rPr>
                <w:sz w:val="22"/>
              </w:rPr>
            </w:pPr>
            <w:r>
              <w:rPr>
                <w:sz w:val="22"/>
              </w:rPr>
              <w:t>59,000</w:t>
            </w:r>
          </w:p>
        </w:tc>
        <w:tc>
          <w:tcPr>
            <w:tcW w:w="1349" w:type="dxa"/>
          </w:tcPr>
          <w:p>
            <w:pPr>
              <w:pStyle w:val="TableParagraph"/>
              <w:spacing w:line="239" w:lineRule="exact"/>
              <w:ind w:left="156"/>
              <w:rPr>
                <w:sz w:val="22"/>
              </w:rPr>
            </w:pPr>
            <w:r>
              <w:rPr>
                <w:sz w:val="22"/>
              </w:rPr>
              <w:t>1,087,000</w:t>
            </w:r>
          </w:p>
        </w:tc>
        <w:tc>
          <w:tcPr>
            <w:tcW w:w="1171" w:type="dxa"/>
          </w:tcPr>
          <w:p>
            <w:pPr>
              <w:pStyle w:val="TableParagraph"/>
              <w:spacing w:line="239" w:lineRule="exact"/>
              <w:ind w:left="155"/>
              <w:rPr>
                <w:sz w:val="22"/>
              </w:rPr>
            </w:pPr>
            <w:r>
              <w:rPr>
                <w:sz w:val="22"/>
              </w:rPr>
              <w:t>57,000</w:t>
            </w:r>
          </w:p>
        </w:tc>
        <w:tc>
          <w:tcPr>
            <w:tcW w:w="1159" w:type="dxa"/>
          </w:tcPr>
          <w:p>
            <w:pPr>
              <w:pStyle w:val="TableParagraph"/>
              <w:spacing w:line="239" w:lineRule="exact"/>
              <w:ind w:left="0" w:right="115"/>
              <w:jc w:val="right"/>
              <w:rPr>
                <w:sz w:val="22"/>
              </w:rPr>
            </w:pPr>
            <w:r>
              <w:rPr>
                <w:sz w:val="22"/>
              </w:rPr>
              <w:t>259,000</w:t>
            </w:r>
          </w:p>
        </w:tc>
        <w:tc>
          <w:tcPr>
            <w:tcW w:w="1310" w:type="dxa"/>
          </w:tcPr>
          <w:p>
            <w:pPr>
              <w:pStyle w:val="TableParagraph"/>
              <w:spacing w:line="239" w:lineRule="exact"/>
              <w:ind w:left="156"/>
              <w:rPr>
                <w:sz w:val="22"/>
              </w:rPr>
            </w:pPr>
            <w:r>
              <w:rPr>
                <w:sz w:val="22"/>
              </w:rPr>
              <w:t>1,788,000</w:t>
            </w:r>
          </w:p>
        </w:tc>
      </w:tr>
      <w:tr>
        <w:trPr>
          <w:trHeight w:val="318" w:hRule="atLeast"/>
        </w:trPr>
        <w:tc>
          <w:tcPr>
            <w:tcW w:w="1975" w:type="dxa"/>
          </w:tcPr>
          <w:p>
            <w:pPr>
              <w:pStyle w:val="TableParagraph"/>
              <w:spacing w:line="239" w:lineRule="exact"/>
              <w:ind w:left="155"/>
              <w:rPr>
                <w:sz w:val="22"/>
              </w:rPr>
            </w:pPr>
            <w:r>
              <w:rPr>
                <w:sz w:val="22"/>
              </w:rPr>
              <w:t>Total Commercial</w:t>
            </w:r>
          </w:p>
        </w:tc>
        <w:tc>
          <w:tcPr>
            <w:tcW w:w="1260" w:type="dxa"/>
          </w:tcPr>
          <w:p>
            <w:pPr>
              <w:pStyle w:val="TableParagraph"/>
              <w:spacing w:line="239" w:lineRule="exact"/>
              <w:ind w:left="108"/>
              <w:rPr>
                <w:sz w:val="22"/>
              </w:rPr>
            </w:pPr>
            <w:r>
              <w:rPr>
                <w:sz w:val="22"/>
              </w:rPr>
              <w:t>9,626,000</w:t>
            </w:r>
          </w:p>
        </w:tc>
        <w:tc>
          <w:tcPr>
            <w:tcW w:w="1116" w:type="dxa"/>
          </w:tcPr>
          <w:p>
            <w:pPr>
              <w:pStyle w:val="TableParagraph"/>
              <w:spacing w:line="239" w:lineRule="exact"/>
              <w:ind w:left="156"/>
              <w:rPr>
                <w:sz w:val="22"/>
              </w:rPr>
            </w:pPr>
            <w:r>
              <w:rPr>
                <w:sz w:val="22"/>
              </w:rPr>
              <w:t>597,000</w:t>
            </w:r>
          </w:p>
        </w:tc>
        <w:tc>
          <w:tcPr>
            <w:tcW w:w="1349" w:type="dxa"/>
          </w:tcPr>
          <w:p>
            <w:pPr>
              <w:pStyle w:val="TableParagraph"/>
              <w:spacing w:line="239" w:lineRule="exact"/>
              <w:ind w:left="156"/>
              <w:rPr>
                <w:sz w:val="22"/>
              </w:rPr>
            </w:pPr>
            <w:r>
              <w:rPr>
                <w:sz w:val="22"/>
              </w:rPr>
              <w:t>11,930,000</w:t>
            </w:r>
          </w:p>
        </w:tc>
        <w:tc>
          <w:tcPr>
            <w:tcW w:w="1171" w:type="dxa"/>
          </w:tcPr>
          <w:p>
            <w:pPr>
              <w:pStyle w:val="TableParagraph"/>
              <w:spacing w:line="239" w:lineRule="exact"/>
              <w:rPr>
                <w:sz w:val="22"/>
              </w:rPr>
            </w:pPr>
            <w:r>
              <w:rPr>
                <w:sz w:val="22"/>
              </w:rPr>
              <w:t>1,566,000</w:t>
            </w:r>
          </w:p>
        </w:tc>
        <w:tc>
          <w:tcPr>
            <w:tcW w:w="1159" w:type="dxa"/>
          </w:tcPr>
          <w:p>
            <w:pPr>
              <w:pStyle w:val="TableParagraph"/>
              <w:spacing w:line="239" w:lineRule="exact"/>
              <w:rPr>
                <w:sz w:val="22"/>
              </w:rPr>
            </w:pPr>
            <w:r>
              <w:rPr>
                <w:sz w:val="22"/>
              </w:rPr>
              <w:t>1,821,000</w:t>
            </w:r>
          </w:p>
        </w:tc>
        <w:tc>
          <w:tcPr>
            <w:tcW w:w="1310" w:type="dxa"/>
          </w:tcPr>
          <w:p>
            <w:pPr>
              <w:pStyle w:val="TableParagraph"/>
              <w:spacing w:line="239" w:lineRule="exact"/>
              <w:ind w:left="108"/>
              <w:rPr>
                <w:sz w:val="22"/>
              </w:rPr>
            </w:pPr>
            <w:r>
              <w:rPr>
                <w:sz w:val="22"/>
              </w:rPr>
              <w:t>25,540,000</w:t>
            </w:r>
          </w:p>
        </w:tc>
      </w:tr>
    </w:tbl>
    <w:p>
      <w:pPr>
        <w:spacing w:before="57"/>
        <w:ind w:left="140" w:right="0" w:firstLine="0"/>
        <w:jc w:val="left"/>
        <w:rPr>
          <w:i/>
          <w:sz w:val="20"/>
        </w:rPr>
      </w:pPr>
      <w:bookmarkStart w:name="_bookmark18" w:id="39"/>
      <w:bookmarkEnd w:id="39"/>
      <w:r>
        <w:rPr/>
      </w:r>
      <w:r>
        <w:rPr>
          <w:i/>
          <w:sz w:val="20"/>
        </w:rPr>
        <w:t>Source: Benton County Assessor, 2016, Washington Office of Financial Management Estimates.</w:t>
      </w:r>
    </w:p>
    <w:p>
      <w:pPr>
        <w:spacing w:before="121"/>
        <w:ind w:left="140" w:right="0" w:firstLine="0"/>
        <w:jc w:val="left"/>
        <w:rPr>
          <w:rFonts w:ascii="Arial"/>
          <w:b/>
          <w:sz w:val="20"/>
        </w:rPr>
      </w:pPr>
      <w:r>
        <w:rPr/>
        <w:pict>
          <v:group style="position:absolute;margin-left:72.75pt;margin-top:24.349895pt;width:318.9pt;height:399.75pt;mso-position-horizontal-relative:page;mso-position-vertical-relative:paragraph;z-index:-251639808;mso-wrap-distance-left:0;mso-wrap-distance-right:0" coordorigin="1455,487" coordsize="6378,7995">
            <v:shape style="position:absolute;left:1470;top:502;width:6348;height:7965" type="#_x0000_t75" stroked="false">
              <v:imagedata r:id="rId31" o:title=""/>
            </v:shape>
            <v:shape style="position:absolute;left:2085;top:3617;width:206;height:135" coordorigin="2085,3618" coordsize="206,135" path="m2085,3752l2091,3744,2122,3718,2280,3621,2291,3618e" filled="false" stroked="true" strokeweight="1.025675pt" strokecolor="#ffffff">
              <v:path arrowok="t"/>
              <v:stroke dashstyle="solid"/>
            </v:shape>
            <v:shape style="position:absolute;left:2290;top:3455;width:2440;height:494" coordorigin="2291,3455" coordsize="2440,494" path="m2291,3618l2354,3597,2383,3589,2558,3539,2621,3521,2847,3455,2855,3455,2871,3458,2873,3458,3028,3486,3041,3490,3120,3537,3123,3537,3225,3608,3243,3608,3348,3613,3509,3729,3687,3775,3716,3768,3853,3720,3919,3713,4045,3784,4173,3925,4255,3946,4428,3946,4606,3946,4696,3949,4730,3949e" filled="false" stroked="true" strokeweight="1.02566pt" strokecolor="#ffffff">
              <v:path arrowok="t"/>
              <v:stroke dashstyle="solid"/>
            </v:shape>
            <v:shape style="position:absolute;left:1862;top:3752;width:224;height:627" coordorigin="1862,3752" coordsize="224,627" path="m2085,3752l2085,3755,2072,3768,2052,3820,2015,3954,2002,4046,1978,4195,1962,4277,1881,4359,1862,4379e" filled="false" stroked="true" strokeweight="1.025709pt" strokecolor="#ffffff">
              <v:path arrowok="t"/>
              <v:stroke dashstyle="solid"/>
            </v:shape>
            <v:shape style="position:absolute;left:6778;top:6527;width:705;height:261" coordorigin="6778,6527" coordsize="705,261" path="m6778,6527l6860,6637,7033,6714,7177,6758,7308,6787,7479,6784,7482,6784e" filled="false" stroked="true" strokeweight="1.025664pt" strokecolor="#ffffff">
              <v:path arrowok="t"/>
              <v:stroke dashstyle="solid"/>
            </v:shape>
            <v:shape style="position:absolute;left:7482;top:6784;width:336;height:39" coordorigin="7482,6784" coordsize="336,39" path="m7482,6784l7663,6806,7794,6819,7818,6822e" filled="false" stroked="true" strokeweight="1.025658pt" strokecolor="#ffffff">
              <v:path arrowok="t"/>
              <v:stroke dashstyle="solid"/>
            </v:shape>
            <v:shape style="position:absolute;left:4730;top:3200;width:604;height:749" coordorigin="4730,3201" coordsize="604,749" path="m5334,3201l4977,3600,4869,3729,4761,3878,4730,3949e" filled="false" stroked="true" strokeweight="1.025692pt" strokecolor="#ffffff">
              <v:path arrowok="t"/>
              <v:stroke dashstyle="solid"/>
            </v:shape>
            <v:shape style="position:absolute;left:1808;top:502;width:3526;height:2699" coordorigin="1809,502" coordsize="3526,2699" path="m1809,502l2125,746,2314,885,2682,1166,3317,1652,3680,1932,3774,2004,3947,2140,4231,2350,4409,2471,4533,2558,4698,2676,5069,2938,5216,3043,5268,3083,5315,3169,5323,3185,5334,3201e" filled="false" stroked="true" strokeweight="1.025679pt" strokecolor="#ffffff">
              <v:path arrowok="t"/>
              <v:stroke dashstyle="solid"/>
            </v:shape>
            <v:shape style="position:absolute;left:1470;top:4379;width:393;height:281" coordorigin="1470,4379" coordsize="393,281" path="m1470,4660l1542,4584,1705,4497,1812,4435,1862,4379e" filled="false" stroked="true" strokeweight="1.025677pt" strokecolor="#ffffff">
              <v:path arrowok="t"/>
              <v:stroke dashstyle="solid"/>
            </v:shape>
            <v:shape style="position:absolute;left:4669;top:3949;width:449;height:1439" coordorigin="4669,3949" coordsize="449,1439" path="m4730,3949l4696,4070,4672,4193,4669,4300,4675,4629,4680,4895,4693,5007,4827,5157,5118,5388e" filled="false" stroked="true" strokeweight="1.025710pt" strokecolor="#ffffff">
              <v:path arrowok="t"/>
              <v:stroke dashstyle="solid"/>
            </v:shape>
            <v:shape style="position:absolute;left:5118;top:5387;width:177;height:114" coordorigin="5118,5388" coordsize="177,114" path="m5118,5388l5197,5451,5260,5488,5295,5501e" filled="false" stroked="true" strokeweight="1.025674pt" strokecolor="#ffffff">
              <v:path arrowok="t"/>
              <v:stroke dashstyle="solid"/>
            </v:shape>
            <v:shape style="position:absolute;left:6260;top:5731;width:518;height:796" coordorigin="6261,5731" coordsize="518,796" path="m6261,5731l6297,5787,6329,5829,6439,5992,6518,6107,6542,6138,6734,6409,6747,6443,6778,6527e" filled="false" stroked="true" strokeweight="1.025698pt" strokecolor="#ffffff">
              <v:path arrowok="t"/>
              <v:stroke dashstyle="solid"/>
            </v:shape>
            <v:shape style="position:absolute;left:6106;top:5537;width:155;height:194" coordorigin="6106,5538" coordsize="155,194" path="m6106,5538l6224,5685,6258,5727,6261,5731e" filled="false" stroked="true" strokeweight="1.025693pt" strokecolor="#ffffff">
              <v:path arrowok="t"/>
              <v:stroke dashstyle="solid"/>
            </v:shape>
            <v:shape style="position:absolute;left:1470;top:4039;width:4138;height:4428" coordorigin="1470,4039" coordsize="4138,4428" path="m5364,8466l5381,8442,5387,8436,5394,8423,5397,8423,5397,8420,5400,8420,5400,8418,5402,8415,5405,8412,5433,8394,5433,8392,5437,8392,5463,8360,5463,8357,5465,8355,5468,8352,5470,8350,5473,8346,5499,8331,5515,8320,5518,8318,5525,8313,5547,8291,5560,8278,5562,8276,5568,8271,5581,8260,5588,8255,5591,8252,5594,8250,5599,8226,5607,8192,5573,8192,5560,8189,5555,8189,5536,8166,5529,8160,5518,8155,5483,8160,5444,8160,5444,8129,5447,7808,5447,7772,5400,7772,5387,7772,5352,7772,5315,7772,5245,7775,5090,7775,5076,7775,5050,7775,4985,7775,4938,7777,4898,7777,4803,7777,4746,7777,4746,7788,4746,7838,4738,7856,4719,7856,4719,7887,4733,7887,4733,7890,4735,7890,4730,7895,4728,7895,4724,7895,4706,7895,4688,7903,4685,7919,4680,7939,4678,7961,4675,7969,4672,7982,4669,7998,4672,8008,4678,8031,4680,8040,4683,8055,4688,8066,4698,8084,4706,8103,4717,8121,4722,8134,4733,8145,4743,8160,4743,8237,4743,8260,4741,8278,4741,8294,4741,8310,4741,8326,4741,8328,4391,8331,4391,8381,4039,8381,4039,8326,4042,8053,4045,7790,4045,7779,4002,7782,3884,7782,3470,7790,3438,7727,3433,7714,3433,7711,3433,7709,3430,7709,3430,7706,3430,7703,3430,7701,3427,7701,3427,7698,3427,7696,3427,7693,3427,7690,3425,7690,3425,7659,3433,7628,3433,7611,3430,7611,3430,7609,3430,7606,3430,7604,3430,7601,3427,7598,3427,7596,3427,7593,3425,7593,3425,7591,3425,7588,3422,7588,3422,7585,3422,7583,3420,7583,3420,7580,3417,7578,3417,7575,3414,7575,3414,7572,3412,7572,3412,7569,3409,7569,3409,7567,3407,7567,3407,7559,3391,7546,3372,7546,3372,7543,3370,7543,3370,7541,3367,7538,3367,7536,3365,7536,3365,7533,3361,7533,3361,7530,3359,7530,3359,7528,3357,7528,3357,7525,3354,7525,3354,7523,3352,7519,3352,7517,3348,7517,3348,7514,3346,7514,3346,7512,3343,7512,3343,7510,3343,7506,3341,7506,3341,7504,3338,7504,3338,7501,3335,7501,3335,7499,3335,7496,3333,7496,3333,7493,3330,7493,3330,7491,3330,7488,3328,7488,3328,7486,3325,7486,3325,7483,3325,7480,3322,7480,3322,7478,3322,7475,3320,7475,3320,7473,3317,7470,3317,7467,3315,7467,3315,7464,3315,7462,3312,7462,3312,7459,3312,7457,3309,7457,3309,7454,3309,7451,3306,7451,3306,7449,3306,7446,3275,7386,3275,7383,3273,7383,3273,7381,3273,7378,3270,7378,3270,7375,3270,7373,3267,7373,3267,7370,3267,7368,3265,7365,3265,7362,3265,7359,3262,7359,3262,7357,3262,7354,3260,7354,3260,7352,3260,7349,3256,7346,3256,7344,3256,7341,3254,7341,3254,7339,3254,7336,3251,7336,3251,7333,3251,7331,3249,7328,3249,7326,3249,7322,3247,7322,3247,7320,3247,7318,3243,7315,3243,7313,3243,7309,3241,7309,3241,7307,3241,7304,3238,7304,3238,7302,3238,7299,3238,7296,3236,7296,3236,7294,3236,7291,3233,7291,3233,7289,3233,7286,3233,7283,3230,7283,3230,7281,3230,7278,3228,7278,3228,7276,3228,7273,3228,7270,3225,7270,3225,7267,3225,7265,3223,7265,3223,7263,3223,7260,3223,7257,3220,7257,3220,7254,3220,7252,3217,7252,3217,7249,3217,7247,3217,7244,3215,7244,3215,7241,3215,7239,3212,7236,3212,7234,3212,7231,3210,7231,3210,7228,3210,7226,3210,7223,3207,7223,3207,7221,3207,7217,3204,7215,3204,7213,3204,7210,3201,7210,3201,7208,3201,7204,3201,7202,3199,7202,3199,7199,3199,7197,3170,7121,3165,7107,3168,7079,3346,7073,3357,7073,3357,7029,3509,7026,3509,7068,3593,7068,3606,7076,3795,7158,3908,7202,3929,7210,4015,7252,4026,7254,4334,7320,4523,7341,4619,7431,4656,7496,4706,7493,4706,7427,4706,7420,4709,7241,4711,7112,4711,7068,4373,7073,4373,6816,4544,6814,4544,6646,4373,6561,4334,6519,4203,6380,4173,6380,4147,6380,4118,6380,4089,6380,4029,6377,3942,6380,3858,6383,3772,6385,3687,6388,3650,6388,3608,6388,3601,6388,3553,6390,3514,6390,3409,6394,3444,6307,3448,6265,3448,6220,3451,6162,3472,6123,3490,6102,3493,6088,3509,6068,3517,6057,3517,6018,3514,6018,3514,6000,3514,5978,3514,5957,3514,5918,3514,5913,3512,5900,3512,5891,3512,5871,3512,5852,3514,5852,3514,5821,3512,5821,3512,5803,3512,5779,3512,5766,3509,5708,3509,5695,3503,5695,3496,5695,3446,5698,3444,5698,3440,5698,3404,5698,3370,5698,3330,5700,3125,5700,3125,5727,3125,5735,3057,5735,3057,5700,2976,5700,2976,5613,2976,5527,2868,5527,2803,5527,2803,5396,2889,5422,2889,5414,2889,5409,2889,5396,2910,5396,2931,5396,2931,5356,2879,5356,2803,5356,2803,5351,2781,5351,2779,5351,2632,5351,2632,5346,2632,5201,2634,5180,2634,5002,2616,5004,2469,5015,2304,5026,2288,5026,2275,5026,2131,5026,1954,5023,1957,4676,1957,4642,1957,4602,1957,4490,1860,4398,1855,4392,1810,4353,1783,4330,1757,4304,1697,4248,1652,4206,1608,4167,1547,4109,1521,4083,1490,4057,1470,4039e" filled="false" stroked="true" strokeweight=".65644pt" strokecolor="#4e4e4e">
              <v:path arrowok="t"/>
              <v:stroke dashstyle="solid"/>
            </v:shape>
            <v:shape style="position:absolute;left:1463;top:3619;width:149;height:366" type="#_x0000_t75" stroked="false">
              <v:imagedata r:id="rId32" o:title=""/>
            </v:shape>
            <v:shape style="position:absolute;left:1463;top:495;width:2681;height:3041" type="#_x0000_t75" stroked="false">
              <v:imagedata r:id="rId33" o:title=""/>
            </v:shape>
            <v:shape style="position:absolute;left:1929;top:502;width:3458;height:354" coordorigin="1929,502" coordsize="3458,354" path="m1929,502l1970,528,2658,743,2939,825,3110,856,2658,714,2761,520,2889,562,2889,573,2897,633,3083,657,3330,680,3444,693,3545,698,3722,709,4617,696,4698,693,5387,691,5385,502e" filled="false" stroked="true" strokeweight=".656421pt" strokecolor="#4e4e4e">
              <v:path arrowok="t"/>
              <v:stroke dashstyle="solid"/>
            </v:shape>
            <v:shape style="position:absolute;left:3597;top:5642;width:79;height:47" coordorigin="3598,5643" coordsize="79,47" path="m3677,5687l3677,5661,3674,5661,3672,5661,3669,5661,3667,5661,3663,5658,3661,5658,3659,5658,3656,5658,3654,5656,3650,5656,3648,5656,3645,5656,3643,5653,3640,5653,3637,5653,3635,5650,3632,5650,3630,5650,3619,5648,3604,5643,3601,5663,3598,5690,3677,5687xe" filled="false" stroked="true" strokeweight=".65643pt" strokecolor="#4e4e4e">
              <v:path arrowok="t"/>
              <v:stroke dashstyle="solid"/>
            </v:shape>
            <v:shape style="position:absolute;left:3180;top:5356;width:79;height:165" coordorigin="3181,5356" coordsize="79,165" path="m3260,5521l3256,5356,3217,5356,3181,5356,3183,5498,3260,5521xe" filled="false" stroked="true" strokeweight=".656451pt" strokecolor="#4e4e4e">
              <v:path arrowok="t"/>
              <v:stroke dashstyle="solid"/>
            </v:shape>
            <v:shape style="position:absolute;left:2975;top:5303;width:58;height:45" coordorigin="2976,5304" coordsize="58,45" path="m3033,5304l2976,5304,2976,5309,2976,5330,2976,5348,3033,5348,3033,5304xe" filled="false" stroked="true" strokeweight=".656435pt" strokecolor="#4e4e4e">
              <v:path arrowok="t"/>
              <v:stroke dashstyle="solid"/>
            </v:shape>
            <v:shape style="position:absolute;left:4420;top:1166;width:22;height:2" coordorigin="4420,1166" coordsize="22,0" path="m4420,1166l4420,1166,4441,1166e" filled="false" stroked="true" strokeweight=".246158pt" strokecolor="#343434">
              <v:path arrowok="t"/>
              <v:stroke dashstyle="solid"/>
            </v:shape>
            <v:shape style="position:absolute;left:4452;top:1166;width:23;height:2" coordorigin="4452,1166" coordsize="23,0" path="m4452,1166l4452,1166,4475,1166e" filled="false" stroked="true" strokeweight=".246158pt" strokecolor="#343434">
              <v:path arrowok="t"/>
              <v:stroke dashstyle="solid"/>
            </v:shape>
            <v:shape style="position:absolute;left:4485;top:1166;width:22;height:2" coordorigin="4486,1166" coordsize="22,0" path="m4486,1166l4486,1166,4507,1166e" filled="false" stroked="true" strokeweight=".246158pt" strokecolor="#343434">
              <v:path arrowok="t"/>
              <v:stroke dashstyle="solid"/>
            </v:shape>
            <v:shape style="position:absolute;left:4517;top:1166;width:23;height:2" coordorigin="4518,1166" coordsize="23,0" path="m4518,1166l4518,1166,4541,1166e" filled="false" stroked="true" strokeweight=".246158pt" strokecolor="#343434">
              <v:path arrowok="t"/>
              <v:stroke dashstyle="solid"/>
            </v:shape>
            <v:shape style="position:absolute;left:4551;top:1166;width:22;height:2" coordorigin="4551,1166" coordsize="22,0" path="m4551,1166l4551,1166,4573,1166e" filled="false" stroked="true" strokeweight=".246158pt" strokecolor="#343434">
              <v:path arrowok="t"/>
              <v:stroke dashstyle="solid"/>
            </v:shape>
            <v:shape style="position:absolute;left:4583;top:1166;width:23;height:2" coordorigin="4583,1166" coordsize="23,0" path="m4583,1166l4583,1166,4606,1166e" filled="false" stroked="true" strokeweight=".246158pt" strokecolor="#343434">
              <v:path arrowok="t"/>
              <v:stroke dashstyle="solid"/>
            </v:shape>
            <v:shape style="position:absolute;left:4616;top:1166;width:22;height:2" coordorigin="4617,1166" coordsize="22,0" path="m4617,1166l4617,1166,4638,1166e" filled="false" stroked="true" strokeweight=".246158pt" strokecolor="#343434">
              <v:path arrowok="t"/>
              <v:stroke dashstyle="solid"/>
            </v:shape>
            <v:shape style="position:absolute;left:4648;top:1166;width:23;height:2" coordorigin="4649,1166" coordsize="23,0" path="m4649,1166l4649,1166,4672,1166e" filled="false" stroked="true" strokeweight=".246158pt" strokecolor="#343434">
              <v:path arrowok="t"/>
              <v:stroke dashstyle="solid"/>
            </v:shape>
            <v:shape style="position:absolute;left:4682;top:1166;width:22;height:2" coordorigin="4683,1166" coordsize="22,0" path="m4683,1166l4698,1166,4704,1166e" filled="false" stroked="true" strokeweight=".246158pt" strokecolor="#343434">
              <v:path arrowok="t"/>
              <v:stroke dashstyle="solid"/>
            </v:shape>
            <v:shape style="position:absolute;left:4714;top:1166;width:23;height:2" coordorigin="4715,1166" coordsize="23,0" path="m4715,1166l4715,1166,4738,1166e" filled="false" stroked="true" strokeweight=".246158pt" strokecolor="#343434">
              <v:path arrowok="t"/>
              <v:stroke dashstyle="solid"/>
            </v:shape>
            <v:shape style="position:absolute;left:4748;top:1166;width:22;height:2" coordorigin="4748,1166" coordsize="22,0" path="m4748,1166l4748,1166,4770,1166e" filled="false" stroked="true" strokeweight=".246158pt" strokecolor="#343434">
              <v:path arrowok="t"/>
              <v:stroke dashstyle="solid"/>
            </v:shape>
            <v:shape style="position:absolute;left:4780;top:1166;width:23;height:2" coordorigin="4780,1166" coordsize="23,0" path="m4780,1166l4780,1166,4803,1166e" filled="false" stroked="true" strokeweight=".246158pt" strokecolor="#343434">
              <v:path arrowok="t"/>
              <v:stroke dashstyle="solid"/>
            </v:shape>
            <v:shape style="position:absolute;left:4813;top:1166;width:22;height:2" coordorigin="4814,1166" coordsize="22,0" path="m4814,1166l4814,1166,4835,1166e" filled="false" stroked="true" strokeweight=".246158pt" strokecolor="#343434">
              <v:path arrowok="t"/>
              <v:stroke dashstyle="solid"/>
            </v:shape>
            <v:shape style="position:absolute;left:4845;top:1166;width:23;height:2" coordorigin="4846,1166" coordsize="23,0" path="m4846,1166l4846,1166,4869,1166e" filled="false" stroked="true" strokeweight=".246158pt" strokecolor="#343434">
              <v:path arrowok="t"/>
              <v:stroke dashstyle="solid"/>
            </v:shape>
            <v:shape style="position:absolute;left:4879;top:1166;width:22;height:2" coordorigin="4880,1166" coordsize="22,0" path="m4880,1166l4880,1166,4901,1166e" filled="false" stroked="true" strokeweight=".246158pt" strokecolor="#343434">
              <v:path arrowok="t"/>
              <v:stroke dashstyle="solid"/>
            </v:shape>
            <v:shape style="position:absolute;left:4911;top:1166;width:23;height:2" coordorigin="4912,1166" coordsize="23,0" path="m4912,1166l4912,1166,4934,1166e" filled="false" stroked="true" strokeweight=".246158pt" strokecolor="#343434">
              <v:path arrowok="t"/>
              <v:stroke dashstyle="solid"/>
            </v:shape>
            <v:shape style="position:absolute;left:4945;top:1166;width:22;height:2" coordorigin="4945,1166" coordsize="22,0" path="m4945,1166l4945,1166,4966,1166e" filled="false" stroked="true" strokeweight=".246158pt" strokecolor="#343434">
              <v:path arrowok="t"/>
              <v:stroke dashstyle="solid"/>
            </v:shape>
            <v:shape style="position:absolute;left:4977;top:1166;width:23;height:2" coordorigin="4977,1166" coordsize="23,0" path="m4977,1166l4977,1166,5000,1166e" filled="false" stroked="true" strokeweight=".246158pt" strokecolor="#343434">
              <v:path arrowok="t"/>
              <v:stroke dashstyle="solid"/>
            </v:shape>
            <v:shape style="position:absolute;left:5010;top:1166;width:22;height:2" coordorigin="5011,1166" coordsize="22,0" path="m5011,1166l5011,1166,5032,1166e" filled="false" stroked="true" strokeweight=".246158pt" strokecolor="#343434">
              <v:path arrowok="t"/>
              <v:stroke dashstyle="solid"/>
            </v:shape>
            <v:shape style="position:absolute;left:5042;top:1166;width:23;height:2" coordorigin="5043,1166" coordsize="23,0" path="m5043,1166l5043,1166,5066,1166e" filled="false" stroked="true" strokeweight=".246158pt" strokecolor="#343434">
              <v:path arrowok="t"/>
              <v:stroke dashstyle="solid"/>
            </v:shape>
            <v:shape style="position:absolute;left:5076;top:1163;width:22;height:3" coordorigin="5076,1164" coordsize="22,3" path="m5076,1166l5076,1166,5098,1164e" filled="false" stroked="true" strokeweight=".246158pt" strokecolor="#343434">
              <v:path arrowok="t"/>
              <v:stroke dashstyle="solid"/>
            </v:shape>
            <v:shape style="position:absolute;left:5108;top:1163;width:23;height:2" coordorigin="5108,1164" coordsize="23,0" path="m5108,1164l5108,1164,5131,1164e" filled="false" stroked="true" strokeweight=".246158pt" strokecolor="#343434">
              <v:path arrowok="t"/>
              <v:stroke dashstyle="solid"/>
            </v:shape>
            <v:shape style="position:absolute;left:5142;top:1163;width:22;height:2" coordorigin="5142,1164" coordsize="22,0" path="m5142,1164l5142,1164,5163,1164e" filled="false" stroked="true" strokeweight=".246158pt" strokecolor="#343434">
              <v:path arrowok="t"/>
              <v:stroke dashstyle="solid"/>
            </v:shape>
            <v:shape style="position:absolute;left:5174;top:1163;width:23;height:2" coordorigin="5174,1164" coordsize="23,0" path="m5174,1164l5174,1164,5197,1164e" filled="false" stroked="true" strokeweight=".246158pt" strokecolor="#343434">
              <v:path arrowok="t"/>
              <v:stroke dashstyle="solid"/>
            </v:shape>
            <v:shape style="position:absolute;left:5207;top:1163;width:22;height:2" coordorigin="5208,1164" coordsize="22,0" path="m5208,1164l5223,1164,5229,1164e" filled="false" stroked="true" strokeweight=".246158pt" strokecolor="#343434">
              <v:path arrowok="t"/>
              <v:stroke dashstyle="solid"/>
            </v:shape>
            <v:line style="position:absolute" from="5395,1080" to="5400,1080" stroked="true" strokeweight="1.189763pt" strokecolor="#343434">
              <v:stroke dashstyle="solid"/>
            </v:line>
            <v:line style="position:absolute" from="5392,1048" to="5396,1048" stroked="true" strokeweight="1.066684pt" strokecolor="#343434">
              <v:stroke dashstyle="solid"/>
            </v:line>
            <v:line style="position:absolute" from="5392,1015" to="5396,1015" stroked="true" strokeweight="1.189763pt" strokecolor="#343434">
              <v:stroke dashstyle="solid"/>
            </v:line>
            <v:shape style="position:absolute;left:5391;top:971;width:3;height:22" coordorigin="5392,972" coordsize="3,22" path="m5394,993l5394,993,5392,972e" filled="false" stroked="true" strokeweight=".246171pt" strokecolor="#343434">
              <v:path arrowok="t"/>
              <v:stroke dashstyle="solid"/>
            </v:shape>
            <v:shape style="position:absolute;left:5743;top:7768;width:22;height:2" coordorigin="5744,7769" coordsize="22,0" path="m5765,7769l5748,7769,5744,7769e" filled="false" stroked="true" strokeweight=".246158pt" strokecolor="#343434">
              <v:path arrowok="t"/>
              <v:stroke dashstyle="solid"/>
            </v:shape>
            <v:shape style="position:absolute;left:5709;top:7768;width:24;height:2" coordorigin="5709,7769" coordsize="24,0" path="m5733,7769l5733,7769,5709,7769e" filled="false" stroked="true" strokeweight=".246158pt" strokecolor="#343434">
              <v:path arrowok="t"/>
              <v:stroke dashstyle="solid"/>
            </v:shape>
            <v:shape style="position:absolute;left:5677;top:7768;width:22;height:2" coordorigin="5678,7769" coordsize="22,0" path="m5699,7769l5699,7769,5678,7769e" filled="false" stroked="true" strokeweight=".246158pt" strokecolor="#343434">
              <v:path arrowok="t"/>
              <v:stroke dashstyle="solid"/>
            </v:shape>
            <v:shape style="position:absolute;left:5643;top:7768;width:24;height:4" coordorigin="5643,7769" coordsize="24,4" path="m5667,7769l5654,7769,5643,7772e" filled="false" stroked="true" strokeweight=".246158pt" strokecolor="#343434">
              <v:path arrowok="t"/>
              <v:stroke dashstyle="solid"/>
            </v:shape>
            <v:shape style="position:absolute;left:5612;top:7772;width:22;height:2" coordorigin="5612,7772" coordsize="22,0" path="m5634,7772l5628,7772,5615,7772,5612,7772e" filled="false" stroked="true" strokeweight=".246158pt" strokecolor="#343434">
              <v:path arrowok="t"/>
              <v:stroke dashstyle="solid"/>
            </v:shape>
            <v:shape style="position:absolute;left:5577;top:7772;width:24;height:2" coordorigin="5578,7772" coordsize="24,0" path="m5602,7772l5591,7772,5581,7772,5578,7772e" filled="false" stroked="true" strokeweight=".246158pt" strokecolor="#343434">
              <v:path arrowok="t"/>
              <v:stroke dashstyle="solid"/>
            </v:shape>
            <v:shape style="position:absolute;left:5546;top:7772;width:22;height:2" coordorigin="5547,7772" coordsize="22,0" path="m5568,7772l5555,7772,5547,7772e" filled="false" stroked="true" strokeweight=".246158pt" strokecolor="#343434">
              <v:path arrowok="t"/>
              <v:stroke dashstyle="solid"/>
            </v:shape>
            <v:shape style="position:absolute;left:5512;top:7772;width:24;height:2" coordorigin="5512,7772" coordsize="24,0" path="m5536,7772l5531,7772,5520,7772,5512,7772e" filled="false" stroked="true" strokeweight=".246158pt" strokecolor="#343434">
              <v:path arrowok="t"/>
              <v:stroke dashstyle="solid"/>
            </v:shape>
            <v:shape style="position:absolute;left:5480;top:7772;width:22;height:2" coordorigin="5481,7772" coordsize="22,0" path="m5502,7772l5494,7772,5481,7772e" filled="false" stroked="true" strokeweight=".246158pt" strokecolor="#343434">
              <v:path arrowok="t"/>
              <v:stroke dashstyle="solid"/>
            </v:shape>
            <v:shape style="position:absolute;left:5446;top:7772;width:24;height:2" coordorigin="5447,7772" coordsize="24,0" path="m5470,7772l5470,7772,5447,7772e" filled="false" stroked="true" strokeweight=".246158pt" strokecolor="#343434">
              <v:path arrowok="t"/>
              <v:stroke dashstyle="solid"/>
            </v:shape>
            <v:shape style="position:absolute;left:5415;top:7772;width:22;height:2" coordorigin="5415,7772" coordsize="22,0" path="m5437,7772l5437,7772,5415,7772e" filled="false" stroked="true" strokeweight=".246158pt" strokecolor="#343434">
              <v:path arrowok="t"/>
              <v:stroke dashstyle="solid"/>
            </v:shape>
            <v:shape style="position:absolute;left:5139;top:7498;width:268;height:276" type="#_x0000_t75" stroked="false">
              <v:imagedata r:id="rId34" o:title=""/>
            </v:shape>
            <v:shape style="position:absolute;left:5121;top:7580;width:23;height:2" coordorigin="5122,7580" coordsize="23,0" path="m5145,7580l5145,7580,5122,7580e" filled="false" stroked="true" strokeweight=".246158pt" strokecolor="#343434">
              <v:path arrowok="t"/>
              <v:stroke dashstyle="solid"/>
            </v:shape>
            <v:shape style="position:absolute;left:5089;top:7580;width:22;height:2" coordorigin="5090,7580" coordsize="22,0" path="m5111,7580l5111,7580,5090,7580e" filled="false" stroked="true" strokeweight=".246158pt" strokecolor="#343434">
              <v:path arrowok="t"/>
              <v:stroke dashstyle="solid"/>
            </v:shape>
            <v:shape style="position:absolute;left:5055;top:7580;width:23;height:2" coordorigin="5056,7580" coordsize="23,0" path="m5079,7580l5079,7580,5056,7580e" filled="false" stroked="true" strokeweight=".246158pt" strokecolor="#343434">
              <v:path arrowok="t"/>
              <v:stroke dashstyle="solid"/>
            </v:shape>
            <v:shape style="position:absolute;left:5023;top:7580;width:22;height:2" coordorigin="5024,7580" coordsize="22,0" path="m5045,7580l5045,7580,5024,7580e" filled="false" stroked="true" strokeweight=".246158pt" strokecolor="#343434">
              <v:path arrowok="t"/>
              <v:stroke dashstyle="solid"/>
            </v:shape>
            <v:shape style="position:absolute;left:4990;top:7580;width:23;height:2" coordorigin="4990,7580" coordsize="23,0" path="m5013,7580l4998,7580,4990,7580e" filled="false" stroked="true" strokeweight=".246158pt" strokecolor="#343434">
              <v:path arrowok="t"/>
              <v:stroke dashstyle="solid"/>
            </v:shape>
            <v:shape style="position:absolute;left:4958;top:7580;width:22;height:2" coordorigin="4958,7580" coordsize="22,0" path="m4980,7580l4969,7580,4961,7580,4958,7580e" filled="false" stroked="true" strokeweight=".246158pt" strokecolor="#343434">
              <v:path arrowok="t"/>
              <v:stroke dashstyle="solid"/>
            </v:shape>
            <v:shape style="position:absolute;left:4924;top:7580;width:23;height:2" coordorigin="4925,7580" coordsize="23,0" path="m4948,7580l4930,7580,4925,7580e" filled="false" stroked="true" strokeweight=".246158pt" strokecolor="#343434">
              <v:path arrowok="t"/>
              <v:stroke dashstyle="solid"/>
            </v:shape>
            <v:shape style="position:absolute;left:4892;top:7580;width:22;height:2" coordorigin="4893,7580" coordsize="22,0" path="m4914,7580l4895,7580,4893,7580e" filled="false" stroked="true" strokeweight=".246158pt" strokecolor="#343434">
              <v:path arrowok="t"/>
              <v:stroke dashstyle="solid"/>
            </v:shape>
            <v:shape style="position:absolute;left:4859;top:7580;width:23;height:2" coordorigin="4859,7580" coordsize="23,0" path="m4882,7580l4861,7580,4859,7580e" filled="false" stroked="true" strokeweight=".246158pt" strokecolor="#343434">
              <v:path arrowok="t"/>
              <v:stroke dashstyle="solid"/>
            </v:shape>
            <v:shape style="position:absolute;left:4827;top:7577;width:22;height:3" coordorigin="4827,7578" coordsize="22,3" path="m4848,7580l4829,7578,4827,7578e" filled="false" stroked="true" strokeweight=".246158pt" strokecolor="#343434">
              <v:path arrowok="t"/>
              <v:stroke dashstyle="solid"/>
            </v:shape>
            <v:line style="position:absolute" from="4701,7642" to="4706,7642" stroked="true" strokeweight="1.189763pt" strokecolor="#343434">
              <v:stroke dashstyle="solid"/>
            </v:line>
            <v:line style="position:absolute" from="4701,7674" to="4706,7674" stroked="true" strokeweight="1.066684pt" strokecolor="#343434">
              <v:stroke dashstyle="solid"/>
            </v:line>
            <v:line style="position:absolute" from="4701,7708" to="4706,7708" stroked="true" strokeweight="1.189763pt" strokecolor="#343434">
              <v:stroke dashstyle="solid"/>
            </v:line>
            <v:line style="position:absolute" from="4701,7740" to="4706,7740" stroked="true" strokeweight="1.066643pt" strokecolor="#343434">
              <v:stroke dashstyle="solid"/>
            </v:line>
            <v:shape style="position:absolute;left:4701;top:7761;width:8;height:16" coordorigin="4701,7761" coordsize="8,16" path="m4704,7761l4701,7777,4709,7777e" filled="false" stroked="true" strokeweight=".246169pt" strokecolor="#343434">
              <v:path arrowok="t"/>
              <v:stroke dashstyle="solid"/>
            </v:shape>
            <v:shape style="position:absolute;left:4719;top:7777;width:24;height:2" coordorigin="4719,7777" coordsize="24,0" path="m4719,7777l4735,7777,4743,7777e" filled="false" stroked="true" strokeweight=".246158pt" strokecolor="#343434">
              <v:path arrowok="t"/>
              <v:stroke dashstyle="solid"/>
            </v:shape>
            <v:line style="position:absolute" from="4743,7794" to="4748,7794" stroked="true" strokeweight="1.189763pt" strokecolor="#343434">
              <v:stroke dashstyle="solid"/>
            </v:line>
            <v:line style="position:absolute" from="4743,7827" to="4748,7827" stroked="true" strokeweight="1.066643pt" strokecolor="#343434">
              <v:stroke dashstyle="solid"/>
            </v:line>
            <v:shape style="position:absolute;left:4724;top:7847;width:17;height:9" coordorigin="4724,7848" coordsize="17,9" path="m4741,7848l4738,7856,4724,7856e" filled="false" stroked="true" strokeweight=".246161pt" strokecolor="#343434">
              <v:path arrowok="t"/>
              <v:stroke dashstyle="solid"/>
            </v:shape>
            <v:line style="position:absolute" from="4717,7871" to="4722,7871" stroked="true" strokeweight="1.066684pt" strokecolor="#343434">
              <v:stroke dashstyle="solid"/>
            </v:line>
            <v:shape style="position:absolute;left:4727;top:7886;width:8;height:9" coordorigin="4728,7887" coordsize="8,9" path="m4728,7887l4730,7887,4733,7887,4733,7890,4735,7890,4730,7895,4728,7895e" filled="false" stroked="true" strokeweight=".246165pt" strokecolor="#343434">
              <v:path arrowok="t"/>
              <v:stroke dashstyle="solid"/>
            </v:shape>
            <v:shape style="position:absolute;left:4695;top:7895;width:22;height:5" coordorigin="4696,7895" coordsize="22,5" path="m4717,7895l4715,7895,4711,7895,4709,7895,4706,7895,4696,7900e" filled="false" stroked="true" strokeweight=".246159pt" strokecolor="#343434">
              <v:path arrowok="t"/>
              <v:stroke dashstyle="solid"/>
            </v:shape>
            <v:shape style="position:absolute;left:4682;top:7905;width:3;height:21" coordorigin="4683,7906" coordsize="3,21" path="m4685,7906l4685,7919,4683,7926e" filled="false" stroked="true" strokeweight=".246171pt" strokecolor="#343434">
              <v:path arrowok="t"/>
              <v:stroke dashstyle="solid"/>
            </v:shape>
            <v:shape style="position:absolute;left:4677;top:7937;width:3;height:24" coordorigin="4678,7937" coordsize="3,24" path="m4680,7937l4680,7939,4678,7961e" filled="false" stroked="true" strokeweight=".246171pt" strokecolor="#343434">
              <v:path arrowok="t"/>
              <v:stroke dashstyle="solid"/>
            </v:shape>
            <v:shape style="position:absolute;left:4669;top:7971;width:6;height:21" coordorigin="4669,7971" coordsize="6,21" path="m4675,7971l4672,7982,4669,7992e" filled="false" stroked="true" strokeweight=".246171pt" strokecolor="#343434">
              <v:path arrowok="t"/>
              <v:stroke dashstyle="solid"/>
            </v:shape>
            <v:shape style="position:absolute;left:4669;top:8002;width:6;height:22" coordorigin="4669,8003" coordsize="6,22" path="m4669,8003l4672,8008,4675,8024e" filled="false" stroked="true" strokeweight=".246171pt" strokecolor="#343434">
              <v:path arrowok="t"/>
              <v:stroke dashstyle="solid"/>
            </v:shape>
            <v:shape style="position:absolute;left:4677;top:8034;width:5;height:21" coordorigin="4678,8035" coordsize="5,21" path="m4678,8035l4680,8040,4683,8055e" filled="false" stroked="true" strokeweight=".246171pt" strokecolor="#343434">
              <v:path arrowok="t"/>
              <v:stroke dashstyle="solid"/>
            </v:shape>
            <v:shape style="position:absolute;left:4688;top:8065;width:10;height:19" coordorigin="4688,8066" coordsize="10,19" path="m4688,8066l4688,8066,4698,8084e" filled="false" stroked="true" strokeweight=".246168pt" strokecolor="#343434">
              <v:path arrowok="t"/>
              <v:stroke dashstyle="solid"/>
            </v:shape>
            <v:shape style="position:absolute;left:4703;top:8094;width:11;height:19" coordorigin="4704,8095" coordsize="11,19" path="m4704,8095l4706,8103,4715,8113e" filled="false" stroked="true" strokeweight=".246168pt" strokecolor="#343434">
              <v:path arrowok="t"/>
              <v:stroke dashstyle="solid"/>
            </v:shape>
            <v:shape style="position:absolute;left:4719;top:8123;width:11;height:19" coordorigin="4719,8123" coordsize="11,19" path="m4719,8123l4722,8134,4730,8142e" filled="false" stroked="true" strokeweight=".246168pt" strokecolor="#343434">
              <v:path arrowok="t"/>
              <v:stroke dashstyle="solid"/>
            </v:shape>
            <v:shape style="position:absolute;left:4737;top:8152;width:6;height:19" coordorigin="4738,8153" coordsize="6,19" path="m4738,8153l4743,8160,4743,8171e" filled="false" stroked="true" strokeweight=".24617pt" strokecolor="#343434">
              <v:path arrowok="t"/>
              <v:stroke dashstyle="solid"/>
            </v:shape>
            <v:line style="position:absolute" from="4741,8193" to="4746,8193" stroked="true" strokeweight="1.189804pt" strokecolor="#343434">
              <v:stroke dashstyle="solid"/>
            </v:line>
            <v:line style="position:absolute" from="4741,8226" to="4746,8226" stroked="true" strokeweight="1.066643pt" strokecolor="#343434">
              <v:stroke dashstyle="solid"/>
            </v:line>
            <v:line style="position:absolute" from="4741,8259" to="4746,8259" stroked="true" strokeweight="1.189763pt" strokecolor="#343434">
              <v:stroke dashstyle="solid"/>
            </v:line>
            <v:line style="position:absolute" from="4738,8291" to="4743,8291" stroked="true" strokeweight="1.066684pt" strokecolor="#343434">
              <v:stroke dashstyle="solid"/>
            </v:line>
            <v:shape style="position:absolute;left:4730;top:8312;width:11;height:14" coordorigin="4730,8313" coordsize="11,14" path="m4741,8313l4741,8326,4730,8326e" filled="false" stroked="true" strokeweight=".246166pt" strokecolor="#343434">
              <v:path arrowok="t"/>
              <v:stroke dashstyle="solid"/>
            </v:shape>
            <v:line style="position:absolute" from="4271,8326" to="4719,8326" stroked="true" strokeweight=".246158pt" strokecolor="#343434">
              <v:stroke dashstyle="shortdot"/>
            </v:line>
            <v:shape style="position:absolute;left:4238;top:8323;width:22;height:3" coordorigin="4239,8323" coordsize="22,3" path="m4260,8326l4260,8326,4239,8323e" filled="false" stroked="true" strokeweight=".246158pt" strokecolor="#343434">
              <v:path arrowok="t"/>
              <v:stroke dashstyle="solid"/>
            </v:shape>
            <v:shape style="position:absolute;left:4205;top:8323;width:24;height:2" coordorigin="4205,8323" coordsize="24,0" path="m4229,8323l4229,8323,4205,8323e" filled="false" stroked="true" strokeweight=".246158pt" strokecolor="#343434">
              <v:path arrowok="t"/>
              <v:stroke dashstyle="solid"/>
            </v:shape>
            <v:shape style="position:absolute;left:4173;top:8323;width:22;height:2" coordorigin="4173,8323" coordsize="22,0" path="m4194,8323l4194,8323,4173,8323e" filled="false" stroked="true" strokeweight=".246158pt" strokecolor="#343434">
              <v:path arrowok="t"/>
              <v:stroke dashstyle="solid"/>
            </v:shape>
            <v:shape style="position:absolute;left:4139;top:8323;width:24;height:2" coordorigin="4139,8323" coordsize="24,0" path="m4163,8323l4163,8323,4139,8323e" filled="false" stroked="true" strokeweight=".246158pt" strokecolor="#343434">
              <v:path arrowok="t"/>
              <v:stroke dashstyle="solid"/>
            </v:shape>
            <v:shape style="position:absolute;left:4120;top:8310;width:9;height:14" coordorigin="4120,8310" coordsize="9,14" path="m4129,8323l4126,8323,4126,8310,4120,8310e" filled="false" stroked="true" strokeweight=".246168pt" strokecolor="#343434">
              <v:path arrowok="t"/>
              <v:stroke dashstyle="solid"/>
            </v:shape>
            <v:shape style="position:absolute;left:4091;top:8310;width:19;height:5" coordorigin="4092,8310" coordsize="19,5" path="m4111,8310l4098,8310,4098,8313,4092,8315e" filled="false" stroked="true" strokeweight=".246159pt" strokecolor="#343434">
              <v:path arrowok="t"/>
              <v:stroke dashstyle="solid"/>
            </v:shape>
            <v:shape style="position:absolute;left:4060;top:8315;width:21;height:5" coordorigin="4061,8315" coordsize="21,5" path="m4081,8315l4071,8318,4063,8318,4061,8320e" filled="false" stroked="true" strokeweight=".246159pt" strokecolor="#343434">
              <v:path arrowok="t"/>
              <v:stroke dashstyle="solid"/>
            </v:shape>
            <v:shape style="position:absolute;left:4039;top:8312;width:11;height:14" coordorigin="4039,8313" coordsize="11,14" path="m4050,8323l4039,8326,4039,8313e" filled="false" stroked="true" strokeweight=".246166pt" strokecolor="#343434">
              <v:path arrowok="t"/>
              <v:stroke dashstyle="solid"/>
            </v:shape>
            <v:line style="position:absolute" from="4037,8291" to="4042,8291" stroked="true" strokeweight="1.066684pt" strokecolor="#343434">
              <v:stroke dashstyle="solid"/>
            </v:line>
            <v:line style="position:absolute" from="4039,8259" to="4044,8259" stroked="true" strokeweight="1.189763pt" strokecolor="#343434">
              <v:stroke dashstyle="solid"/>
            </v:line>
            <v:line style="position:absolute" from="4039,8226" to="4044,8226" stroked="true" strokeweight="1.066643pt" strokecolor="#343434">
              <v:stroke dashstyle="solid"/>
            </v:line>
            <v:line style="position:absolute" from="4039,8193" to="4044,8193" stroked="true" strokeweight="1.189804pt" strokecolor="#343434">
              <v:stroke dashstyle="solid"/>
            </v:line>
            <v:line style="position:absolute" from="4039,8160" to="4044,8160" stroked="true" strokeweight="1.066684pt" strokecolor="#343434">
              <v:stroke dashstyle="solid"/>
            </v:line>
            <v:line style="position:absolute" from="4039,8128" to="4044,8128" stroked="true" strokeweight="1.189722pt" strokecolor="#343434">
              <v:stroke dashstyle="solid"/>
            </v:line>
            <v:line style="position:absolute" from="4039,8095" to="4044,8095" stroked="true" strokeweight="1.066725pt" strokecolor="#343434">
              <v:stroke dashstyle="solid"/>
            </v:line>
            <v:line style="position:absolute" from="4039,8062" to="4044,8062" stroked="true" strokeweight="1.189722pt" strokecolor="#343434">
              <v:stroke dashstyle="solid"/>
            </v:line>
            <v:line style="position:absolute" from="4039,8029" to="4044,8029" stroked="true" strokeweight="1.066684pt" strokecolor="#343434">
              <v:stroke dashstyle="solid"/>
            </v:line>
            <v:line style="position:absolute" from="4039,7997" to="4044,7997" stroked="true" strokeweight="1.189763pt" strokecolor="#343434">
              <v:stroke dashstyle="solid"/>
            </v:line>
            <v:line style="position:absolute" from="4039,7963" to="4044,7963" stroked="true" strokeweight="1.066684pt" strokecolor="#343434">
              <v:stroke dashstyle="solid"/>
            </v:line>
            <v:line style="position:absolute" from="4043,7931" to="4047,7931" stroked="true" strokeweight="1.189804pt" strokecolor="#343434">
              <v:stroke dashstyle="solid"/>
            </v:line>
            <v:line style="position:absolute" from="4043,7898" to="4047,7898" stroked="true" strokeweight="1.066643pt" strokecolor="#343434">
              <v:stroke dashstyle="solid"/>
            </v:line>
            <v:line style="position:absolute" from="4043,7865" to="4047,7865" stroked="true" strokeweight="1.189763pt" strokecolor="#343434">
              <v:stroke dashstyle="solid"/>
            </v:line>
            <v:line style="position:absolute" from="4043,7832" to="4047,7832" stroked="true" strokeweight="1.066643pt" strokecolor="#343434">
              <v:stroke dashstyle="solid"/>
            </v:line>
            <v:line style="position:absolute" from="4043,7800" to="4047,7800" stroked="true" strokeweight="1.189763pt" strokecolor="#343434">
              <v:stroke dashstyle="solid"/>
            </v:line>
            <v:shape style="position:absolute;left:4018;top:7779;width:23;height:3" coordorigin="4019,7779" coordsize="23,3" path="m4042,7779l4042,7779,4019,7782e" filled="false" stroked="true" strokeweight=".246158pt" strokecolor="#343434">
              <v:path arrowok="t"/>
              <v:stroke dashstyle="solid"/>
            </v:shape>
            <v:shape style="position:absolute;left:3986;top:7781;width:22;height:2" coordorigin="3987,7782" coordsize="22,0" path="m4008,7782l4002,7782,3987,7782e" filled="false" stroked="true" strokeweight=".246158pt" strokecolor="#343434">
              <v:path arrowok="t"/>
              <v:stroke dashstyle="solid"/>
            </v:shape>
            <v:shape style="position:absolute;left:3953;top:7781;width:23;height:2" coordorigin="3953,7782" coordsize="23,0" path="m3976,7782l3976,7782,3953,7782e" filled="false" stroked="true" strokeweight=".246158pt" strokecolor="#343434">
              <v:path arrowok="t"/>
              <v:stroke dashstyle="solid"/>
            </v:shape>
            <v:shape style="position:absolute;left:3921;top:7781;width:22;height:2" coordorigin="3921,7782" coordsize="22,0" path="m3942,7782l3942,7782,3921,7782e" filled="false" stroked="true" strokeweight=".246158pt" strokecolor="#343434">
              <v:path arrowok="t"/>
              <v:stroke dashstyle="solid"/>
            </v:shape>
            <v:shape style="position:absolute;left:3886;top:7781;width:24;height:2" coordorigin="3887,7782" coordsize="24,0" path="m3910,7782l3910,7782,3887,7782e" filled="false" stroked="true" strokeweight=".246158pt" strokecolor="#343434">
              <v:path arrowok="t"/>
              <v:stroke dashstyle="solid"/>
            </v:shape>
            <v:shape style="position:absolute;left:3855;top:7781;width:22;height:2" coordorigin="3855,7782" coordsize="22,0" path="m3877,7782l3877,7782,3855,7782e" filled="false" stroked="true" strokeweight=".246158pt" strokecolor="#343434">
              <v:path arrowok="t"/>
              <v:stroke dashstyle="solid"/>
            </v:shape>
            <v:shape style="position:absolute;left:3820;top:7785;width:24;height:2" coordorigin="3821,7785" coordsize="24,0" path="m3845,7785l3845,7785,3821,7785e" filled="false" stroked="true" strokeweight=".246158pt" strokecolor="#343434">
              <v:path arrowok="t"/>
              <v:stroke dashstyle="solid"/>
            </v:shape>
            <v:shape style="position:absolute;left:3789;top:7785;width:22;height:2" coordorigin="3790,7785" coordsize="22,0" path="m3811,7785l3811,7785,3790,7785e" filled="false" stroked="true" strokeweight=".246158pt" strokecolor="#343434">
              <v:path arrowok="t"/>
              <v:stroke dashstyle="solid"/>
            </v:shape>
            <v:shape style="position:absolute;left:3755;top:7785;width:24;height:2" coordorigin="3755,7785" coordsize="24,0" path="m3779,7785l3779,7785,3755,7785e" filled="false" stroked="true" strokeweight=".246158pt" strokecolor="#343434">
              <v:path arrowok="t"/>
              <v:stroke dashstyle="solid"/>
            </v:shape>
            <v:shape style="position:absolute;left:3724;top:7785;width:22;height:2" coordorigin="3724,7785" coordsize="22,0" path="m3745,7785l3745,7785,3724,7785e" filled="false" stroked="true" strokeweight=".246158pt" strokecolor="#343434">
              <v:path arrowok="t"/>
              <v:stroke dashstyle="solid"/>
            </v:shape>
            <v:shape style="position:absolute;left:3689;top:7785;width:24;height:2" coordorigin="3690,7785" coordsize="24,0" path="m3713,7785l3713,7785,3690,7785e" filled="false" stroked="true" strokeweight=".246158pt" strokecolor="#343434">
              <v:path arrowok="t"/>
              <v:stroke dashstyle="solid"/>
            </v:shape>
            <v:shape style="position:absolute;left:3658;top:7785;width:22;height:3" coordorigin="3658,7785" coordsize="22,3" path="m3680,7785l3680,7785,3658,7788e" filled="false" stroked="true" strokeweight=".246158pt" strokecolor="#343434">
              <v:path arrowok="t"/>
              <v:stroke dashstyle="solid"/>
            </v:shape>
            <v:shape style="position:absolute;left:3624;top:7787;width:24;height:2" coordorigin="3624,7788" coordsize="24,0" path="m3648,7788l3648,7788,3624,7788e" filled="false" stroked="true" strokeweight=".246158pt" strokecolor="#343434">
              <v:path arrowok="t"/>
              <v:stroke dashstyle="solid"/>
            </v:shape>
            <v:line style="position:absolute" from="4709,6992" to="4714,6992" stroked="true" strokeweight="1.066684pt" strokecolor="#343434">
              <v:stroke dashstyle="solid"/>
            </v:line>
            <v:line style="position:absolute" from="4709,6958" to="4714,6958" stroked="true" strokeweight="1.025699pt" strokecolor="#343434">
              <v:stroke dashstyle="solid"/>
            </v:line>
            <v:line style="position:absolute" from="4712,6926" to="4717,6926" stroked="true" strokeweight="1.066643pt" strokecolor="#343434">
              <v:stroke dashstyle="solid"/>
            </v:line>
            <v:line style="position:absolute" from="4712,6892" to="4717,6892" stroked="true" strokeweight="1.025658pt" strokecolor="#343434">
              <v:stroke dashstyle="solid"/>
            </v:line>
            <v:line style="position:absolute" from="4712,6860" to="4717,6860" stroked="true" strokeweight="1.066725pt" strokecolor="#343434">
              <v:stroke dashstyle="solid"/>
            </v:line>
            <v:shape style="position:absolute;left:4163;top:6380;width:23;height:2" coordorigin="4163,6380" coordsize="23,0" path="m4186,6380l4173,6380,4163,6380e" filled="false" stroked="true" strokeweight=".246158pt" strokecolor="#343434">
              <v:path arrowok="t"/>
              <v:stroke dashstyle="solid"/>
            </v:shape>
            <v:shape style="position:absolute;left:4131;top:6380;width:22;height:2" coordorigin="4131,6380" coordsize="22,0" path="m4152,6380l4147,6380,4131,6380e" filled="false" stroked="true" strokeweight=".246158pt" strokecolor="#343434">
              <v:path arrowok="t"/>
              <v:stroke dashstyle="solid"/>
            </v:shape>
            <v:shape style="position:absolute;left:4097;top:6380;width:23;height:2" coordorigin="4098,6380" coordsize="23,0" path="m4120,6380l4118,6380,4098,6380e" filled="false" stroked="true" strokeweight=".246158pt" strokecolor="#343434">
              <v:path arrowok="t"/>
              <v:stroke dashstyle="solid"/>
            </v:shape>
            <v:shape style="position:absolute;left:4065;top:6380;width:22;height:2" coordorigin="4066,6380" coordsize="22,0" path="m4087,6380l4087,6380,4066,6380e" filled="false" stroked="true" strokeweight=".246158pt" strokecolor="#343434">
              <v:path arrowok="t"/>
              <v:stroke dashstyle="solid"/>
            </v:shape>
            <v:shape style="position:absolute;left:4031;top:6377;width:23;height:2" coordorigin="4032,6377" coordsize="23,0" path="m4055,6377l4055,6377,4032,6377e" filled="false" stroked="true" strokeweight=".246158pt" strokecolor="#343434">
              <v:path arrowok="t"/>
              <v:stroke dashstyle="solid"/>
            </v:shape>
            <v:shape style="position:absolute;left:3999;top:6377;width:22;height:4" coordorigin="4000,6377" coordsize="22,4" path="m4021,6377l4021,6377,4000,6380e" filled="false" stroked="true" strokeweight=".246158pt" strokecolor="#343434">
              <v:path arrowok="t"/>
              <v:stroke dashstyle="solid"/>
            </v:shape>
            <v:shape style="position:absolute;left:3966;top:6380;width:23;height:2" coordorigin="3966,6380" coordsize="23,0" path="m3989,6380l3989,6380,3966,6380e" filled="false" stroked="true" strokeweight=".246158pt" strokecolor="#343434">
              <v:path arrowok="t"/>
              <v:stroke dashstyle="solid"/>
            </v:shape>
            <v:shape style="position:absolute;left:3934;top:6380;width:22;height:2" coordorigin="3934,6380" coordsize="22,0" path="m3956,6380l3942,6380,3934,6380e" filled="false" stroked="true" strokeweight=".246158pt" strokecolor="#343434">
              <v:path arrowok="t"/>
              <v:stroke dashstyle="solid"/>
            </v:shape>
            <v:shape style="position:absolute;left:3900;top:6380;width:23;height:2" coordorigin="3901,6380" coordsize="23,0" path="m3924,6380l3924,6380,3901,6380e" filled="false" stroked="true" strokeweight=".246158pt" strokecolor="#343434">
              <v:path arrowok="t"/>
              <v:stroke dashstyle="solid"/>
            </v:shape>
            <v:shape style="position:absolute;left:3868;top:6382;width:22;height:2" coordorigin="3869,6383" coordsize="22,0" path="m3890,6383l3890,6383,3869,6383e" filled="false" stroked="true" strokeweight=".246158pt" strokecolor="#343434">
              <v:path arrowok="t"/>
              <v:stroke dashstyle="solid"/>
            </v:shape>
            <v:shape style="position:absolute;left:3834;top:6382;width:24;height:2" coordorigin="3834,6383" coordsize="24,0" path="m3858,6383l3858,6383,3834,6383e" filled="false" stroked="true" strokeweight=".246158pt" strokecolor="#343434">
              <v:path arrowok="t"/>
              <v:stroke dashstyle="solid"/>
            </v:shape>
            <v:shape style="position:absolute;left:3802;top:6382;width:22;height:2" coordorigin="3803,6383" coordsize="22,0" path="m3824,6383l3824,6383,3803,6383e" filled="false" stroked="true" strokeweight=".246158pt" strokecolor="#343434">
              <v:path arrowok="t"/>
              <v:stroke dashstyle="solid"/>
            </v:shape>
            <v:shape style="position:absolute;left:3768;top:6385;width:24;height:2" coordorigin="3768,6385" coordsize="24,0" path="m3792,6385l3772,6385,3768,6385e" filled="false" stroked="true" strokeweight=".246158pt" strokecolor="#343434">
              <v:path arrowok="t"/>
              <v:stroke dashstyle="solid"/>
            </v:shape>
            <v:shape style="position:absolute;left:3737;top:6385;width:22;height:2" coordorigin="3737,6385" coordsize="22,0" path="m3759,6385l3759,6385,3737,6385e" filled="false" stroked="true" strokeweight=".246158pt" strokecolor="#343434">
              <v:path arrowok="t"/>
              <v:stroke dashstyle="solid"/>
            </v:shape>
            <v:shape style="position:absolute;left:3702;top:6385;width:24;height:2" coordorigin="3703,6385" coordsize="24,0" path="m3727,6385l3727,6385,3703,6385e" filled="false" stroked="true" strokeweight=".246158pt" strokecolor="#343434">
              <v:path arrowok="t"/>
              <v:stroke dashstyle="solid"/>
            </v:shape>
            <v:shape style="position:absolute;left:3671;top:6387;width:22;height:2" coordorigin="3672,6388" coordsize="22,0" path="m3693,6388l3687,6388,3672,6388e" filled="false" stroked="true" strokeweight=".246158pt" strokecolor="#343434">
              <v:path arrowok="t"/>
              <v:stroke dashstyle="solid"/>
            </v:shape>
            <v:shape style="position:absolute;left:3637;top:6387;width:24;height:2" coordorigin="3637,6388" coordsize="24,0" path="m3661,6388l3650,6388,3637,6388e" filled="false" stroked="true" strokeweight=".246158pt" strokecolor="#343434">
              <v:path arrowok="t"/>
              <v:stroke dashstyle="solid"/>
            </v:shape>
            <v:shape style="position:absolute;left:3605;top:6387;width:22;height:2" coordorigin="3606,6388" coordsize="22,0" path="m3627,6388l3608,6388,3606,6388e" filled="false" stroked="true" strokeweight=".246158pt" strokecolor="#343434">
              <v:path arrowok="t"/>
              <v:stroke dashstyle="solid"/>
            </v:shape>
            <v:shape style="position:absolute;left:3571;top:6387;width:24;height:3" coordorigin="3572,6388" coordsize="24,3" path="m3595,6388l3595,6388,3572,6390e" filled="false" stroked="true" strokeweight=".246158pt" strokecolor="#343434">
              <v:path arrowok="t"/>
              <v:stroke dashstyle="solid"/>
            </v:shape>
            <v:shape style="position:absolute;left:3540;top:6390;width:22;height:2" coordorigin="3540,6390" coordsize="22,0" path="m3562,6390l3553,6390,3540,6390e" filled="false" stroked="true" strokeweight=".246158pt" strokecolor="#343434">
              <v:path arrowok="t"/>
              <v:stroke dashstyle="solid"/>
            </v:shape>
            <v:shape style="position:absolute;left:3514;top:6382;width:16;height:8" coordorigin="3514,6383" coordsize="16,8" path="m3530,6390l3514,6390,3514,6383e" filled="false" stroked="true" strokeweight=".24616pt" strokecolor="#343434">
              <v:path arrowok="t"/>
              <v:stroke dashstyle="solid"/>
            </v:shape>
            <v:line style="position:absolute" from="3512,6362" to="3517,6362" stroked="true" strokeweight="1.066684pt" strokecolor="#343434">
              <v:stroke dashstyle="solid"/>
            </v:line>
            <v:line style="position:absolute" from="3512,6329" to="3517,6329" stroked="true" strokeweight="1.189763pt" strokecolor="#343434">
              <v:stroke dashstyle="solid"/>
            </v:line>
            <v:line style="position:absolute" from="3512,6296" to="3517,6296" stroked="true" strokeweight="1.066684pt" strokecolor="#343434">
              <v:stroke dashstyle="solid"/>
            </v:line>
            <v:shape style="position:absolute;left:3511;top:6251;width:3;height:24" coordorigin="3512,6252" coordsize="3,24" path="m3514,6275l3514,6275,3512,6252e" filled="false" stroked="true" strokeweight=".246171pt" strokecolor="#343434">
              <v:path arrowok="t"/>
              <v:stroke dashstyle="solid"/>
            </v:shape>
            <v:line style="position:absolute" from="3509,6230" to="3514,6230" stroked="true" strokeweight="1.066684pt" strokecolor="#343434">
              <v:stroke dashstyle="solid"/>
            </v:line>
            <v:line style="position:absolute" from="3509,6198" to="3514,6198" stroked="true" strokeweight="1.189763pt" strokecolor="#343434">
              <v:stroke dashstyle="solid"/>
            </v:line>
            <v:line style="position:absolute" from="3509,6165" to="3514,6165" stroked="true" strokeweight="1.066684pt" strokecolor="#343434">
              <v:stroke dashstyle="solid"/>
            </v:line>
            <v:line style="position:absolute" from="3509,6132" to="3514,6132" stroked="true" strokeweight="1.189763pt" strokecolor="#343434">
              <v:stroke dashstyle="solid"/>
            </v:line>
            <v:line style="position:absolute" from="3509,6099" to="3514,6099" stroked="true" strokeweight="1.066684pt" strokecolor="#343434">
              <v:stroke dashstyle="solid"/>
            </v:line>
            <v:shape style="position:absolute;left:3509;top:6057;width:8;height:22" coordorigin="3509,6057" coordsize="8,22" path="m3509,6079l3509,6068,3517,6057e" filled="false" stroked="true" strokeweight=".24617pt" strokecolor="#343434">
              <v:path arrowok="t"/>
              <v:stroke dashstyle="solid"/>
            </v:shape>
            <v:line style="position:absolute" from="3514,6036" to="3519,6036" stroked="true" strokeweight="1.025658pt" strokecolor="#343434">
              <v:stroke dashstyle="solid"/>
            </v:line>
            <v:shape style="position:absolute;left:3514;top:5999;width:5;height:16" coordorigin="3514,6000" coordsize="5,16" path="m3514,6015l3514,6000,3519,6000e" filled="false" stroked="true" strokeweight=".24617pt" strokecolor="#343434">
              <v:path arrowok="t"/>
              <v:stroke dashstyle="solid"/>
            </v:shape>
            <v:shape style="position:absolute;left:3532;top:5999;width:22;height:2" coordorigin="3532,6000" coordsize="22,0" path="m3532,6000l3532,6000,3553,6000e" filled="false" stroked="true" strokeweight=".246158pt" strokecolor="#343434">
              <v:path arrowok="t"/>
              <v:stroke dashstyle="solid"/>
            </v:shape>
            <v:shape style="position:absolute;left:3564;top:5999;width:21;height:2" coordorigin="3564,6000" coordsize="21,0" path="m3564,6000l3564,6000,3585,6000e" filled="false" stroked="true" strokeweight=".246158pt" strokecolor="#343434">
              <v:path arrowok="t"/>
              <v:stroke dashstyle="solid"/>
            </v:shape>
            <v:shape style="position:absolute;left:3590;top:5967;width:8;height:22" coordorigin="3590,5968" coordsize="8,22" path="m3590,5989l3590,5989,3598,5968e" filled="false" stroked="true" strokeweight=".24617pt" strokecolor="#343434">
              <v:path arrowok="t"/>
              <v:stroke dashstyle="solid"/>
            </v:shape>
            <v:line style="position:absolute" from="3599,5947" to="3604,5947" stroked="true" strokeweight="1.025658pt" strokecolor="#343434">
              <v:stroke dashstyle="solid"/>
            </v:line>
            <v:shape style="position:absolute;left:3592;top:5910;width:9;height:16" coordorigin="3593,5910" coordsize="9,16" path="m3601,5926l3601,5910,3593,5910e" filled="false" stroked="true" strokeweight=".246169pt" strokecolor="#343434">
              <v:path arrowok="t"/>
              <v:stroke dashstyle="solid"/>
            </v:shape>
            <v:shape style="position:absolute;left:3558;top:5912;width:24;height:2" coordorigin="3558,5913" coordsize="24,0" path="m3582,5913l3582,5913,3558,5913e" filled="false" stroked="true" strokeweight=".246158pt" strokecolor="#343434">
              <v:path arrowok="t"/>
              <v:stroke dashstyle="solid"/>
            </v:shape>
            <v:shape style="position:absolute;left:3527;top:5912;width:22;height:2" coordorigin="3527,5913" coordsize="22,0" path="m3549,5913l3549,5913,3527,5913e" filled="false" stroked="true" strokeweight=".246158pt" strokecolor="#343434">
              <v:path arrowok="t"/>
              <v:stroke dashstyle="solid"/>
            </v:shape>
            <v:shape style="position:absolute;left:3511;top:5894;width:5;height:19" coordorigin="3512,5895" coordsize="5,19" path="m3517,5913l3514,5913,3512,5900,3512,5895e" filled="false" stroked="true" strokeweight=".246171pt" strokecolor="#343434">
              <v:path arrowok="t"/>
              <v:stroke dashstyle="solid"/>
            </v:shape>
            <v:shape style="position:absolute;left:3511;top:5868;width:11;height:16" coordorigin="3512,5868" coordsize="11,16" path="m3512,5884l3512,5871,3522,5868e" filled="false" stroked="true" strokeweight=".246167pt" strokecolor="#343434">
              <v:path arrowok="t"/>
              <v:stroke dashstyle="solid"/>
            </v:shape>
            <v:shape style="position:absolute;left:3532;top:5868;width:22;height:2" coordorigin="3532,5868" coordsize="22,0" path="m3532,5868l3538,5868,3553,5868e" filled="false" stroked="true" strokeweight=".246158pt" strokecolor="#343434">
              <v:path arrowok="t"/>
              <v:stroke dashstyle="solid"/>
            </v:shape>
            <v:shape style="position:absolute;left:3564;top:5868;width:24;height:2" coordorigin="3564,5868" coordsize="24,0" path="m3564,5868l3564,5868,3588,5868e" filled="false" stroked="true" strokeweight=".246158pt" strokecolor="#343434">
              <v:path arrowok="t"/>
              <v:stroke dashstyle="solid"/>
            </v:shape>
            <v:shape style="position:absolute;left:3597;top:5868;width:22;height:2" coordorigin="3598,5868" coordsize="22,0" path="m3598,5868l3598,5868,3619,5868e" filled="false" stroked="true" strokeweight=".246158pt" strokecolor="#343434">
              <v:path arrowok="t"/>
              <v:stroke dashstyle="solid"/>
            </v:shape>
            <v:shape style="position:absolute;left:3629;top:5865;width:24;height:4" coordorigin="3630,5865" coordsize="24,4" path="m3630,5868l3635,5868,3654,5865e" filled="false" stroked="true" strokeweight=".246158pt" strokecolor="#343434">
              <v:path arrowok="t"/>
              <v:stroke dashstyle="solid"/>
            </v:shape>
            <v:shape style="position:absolute;left:3663;top:5865;width:22;height:2" coordorigin="3663,5865" coordsize="22,0" path="m3663,5865l3680,5865,3685,5865e" filled="false" stroked="true" strokeweight=".246158pt" strokecolor="#343434">
              <v:path arrowok="t"/>
              <v:stroke dashstyle="solid"/>
            </v:shape>
            <v:shape style="position:absolute;left:3695;top:5865;width:24;height:2" coordorigin="3695,5865" coordsize="24,0" path="m3695,5865l3695,5865,3719,5865e" filled="false" stroked="true" strokeweight=".246158pt" strokecolor="#343434">
              <v:path arrowok="t"/>
              <v:stroke dashstyle="solid"/>
            </v:shape>
            <v:shape style="position:absolute;left:3729;top:5865;width:22;height:2" coordorigin="3729,5865" coordsize="22,0" path="m3729,5865l3729,5865,3750,5865e" filled="false" stroked="true" strokeweight=".246158pt" strokecolor="#343434">
              <v:path arrowok="t"/>
              <v:stroke dashstyle="solid"/>
            </v:shape>
            <v:shape style="position:absolute;left:3761;top:5862;width:24;height:3" coordorigin="3761,5863" coordsize="24,3" path="m3761,5865l3761,5865,3785,5863e" filled="false" stroked="true" strokeweight=".246158pt" strokecolor="#343434">
              <v:path arrowok="t"/>
              <v:stroke dashstyle="solid"/>
            </v:shape>
            <v:shape style="position:absolute;left:3794;top:5862;width:22;height:2" coordorigin="3795,5863" coordsize="22,0" path="m3795,5863l3795,5863,3816,5863e" filled="false" stroked="true" strokeweight=".246158pt" strokecolor="#343434">
              <v:path arrowok="t"/>
              <v:stroke dashstyle="solid"/>
            </v:shape>
            <v:line style="position:absolute" from="4024,5425" to="4029,5425" stroked="true" strokeweight="1.066684pt" strokecolor="#343434">
              <v:stroke dashstyle="solid"/>
            </v:line>
            <v:line style="position:absolute" from="4024,5392" to="4029,5392" stroked="true" strokeweight="1.148736pt" strokecolor="#343434">
              <v:stroke dashstyle="solid"/>
            </v:line>
            <v:line style="position:absolute" from="4024,5359" to="4029,5359" stroked="true" strokeweight="1.066684pt" strokecolor="#343434">
              <v:stroke dashstyle="solid"/>
            </v:line>
            <v:shape style="position:absolute;left:4026;top:5314;width:2;height:23" coordorigin="4026,5315" coordsize="0,23" path="m4026,5338l4026,5330,4026,5320,4026,5315e" filled="false" stroked="true" strokeweight=".246172pt" strokecolor="#343434">
              <v:path arrowok="t"/>
              <v:stroke dashstyle="solid"/>
            </v:shape>
            <v:line style="position:absolute" from="4024,5293" to="4029,5293" stroked="true" strokeweight="1.066684pt" strokecolor="#343434">
              <v:stroke dashstyle="solid"/>
            </v:line>
            <v:line style="position:absolute" from="4024,5260" to="4029,5260" stroked="true" strokeweight="1.148736pt" strokecolor="#343434">
              <v:stroke dashstyle="solid"/>
            </v:line>
            <v:line style="position:absolute" from="4024,5228" to="4029,5228" stroked="true" strokeweight="1.066684pt" strokecolor="#343434">
              <v:stroke dashstyle="solid"/>
            </v:line>
            <v:line style="position:absolute" from="4024,5195" to="4029,5195" stroked="true" strokeweight="1.148736pt" strokecolor="#343434">
              <v:stroke dashstyle="solid"/>
            </v:line>
            <v:line style="position:absolute" from="4024,5162" to="4029,5162" stroked="true" strokeweight="1.066684pt" strokecolor="#343434">
              <v:stroke dashstyle="solid"/>
            </v:line>
            <v:line style="position:absolute" from="4024,5129" to="4029,5129" stroked="true" strokeweight="1.148736pt" strokecolor="#343434">
              <v:stroke dashstyle="solid"/>
            </v:line>
            <v:line style="position:absolute" from="4024,5096" to="4029,5096" stroked="true" strokeweight="1.066684pt" strokecolor="#343434">
              <v:stroke dashstyle="solid"/>
            </v:line>
            <v:line style="position:absolute" from="4024,5064" to="4029,5064" stroked="true" strokeweight="1.148736pt" strokecolor="#343434">
              <v:stroke dashstyle="solid"/>
            </v:line>
            <v:line style="position:absolute" from="4024,5031" to="4029,5031" stroked="true" strokeweight="1.066684pt" strokecolor="#343434">
              <v:stroke dashstyle="solid"/>
            </v:line>
            <v:line style="position:absolute" from="4131,3153" to="4136,3153" stroked="true" strokeweight="1.066684pt" strokecolor="#343434">
              <v:stroke dashstyle="solid"/>
            </v:line>
            <v:line style="position:absolute" from="4131,3122" to="4136,3122" stroked="true" strokeweight="1.025658pt" strokecolor="#343434">
              <v:stroke dashstyle="solid"/>
            </v:line>
            <v:line style="position:absolute" from="4131,3088" to="4136,3088" stroked="true" strokeweight="1.066684pt" strokecolor="#343434">
              <v:stroke dashstyle="solid"/>
            </v:line>
            <v:shape style="position:absolute;left:4133;top:3045;width:4;height:21" coordorigin="4134,3046" coordsize="4,21" path="m4134,3066l4134,3066,4137,3046e" filled="false" stroked="true" strokeweight=".246171pt" strokecolor="#343434">
              <v:path arrowok="t"/>
              <v:stroke dashstyle="solid"/>
            </v:shape>
            <v:line style="position:absolute" from="4134,3022" to="4139,3022" stroked="true" strokeweight="1.066684pt" strokecolor="#343434">
              <v:stroke dashstyle="solid"/>
            </v:line>
            <v:line style="position:absolute" from="4134,2990" to="4139,2990" stroked="true" strokeweight="1.025658pt" strokecolor="#343434">
              <v:stroke dashstyle="solid"/>
            </v:line>
            <v:shape style="position:absolute;left:4128;top:2953;width:9;height:14" coordorigin="4129,2954" coordsize="9,14" path="m4137,2967l4137,2954,4129,2954e" filled="false" stroked="true" strokeweight=".246168pt" strokecolor="#343434">
              <v:path arrowok="t"/>
              <v:stroke dashstyle="solid"/>
            </v:shape>
            <v:shape style="position:absolute;left:1520;top:495;width:6305;height:7978" type="#_x0000_t75" stroked="false">
              <v:imagedata r:id="rId35" o:title=""/>
            </v:shape>
            <v:shape style="position:absolute;left:5273;top:7170;width:184;height:102" type="#_x0000_t75" stroked="false">
              <v:imagedata r:id="rId36" o:title=""/>
            </v:shape>
            <v:rect style="position:absolute;left:1462;top:494;width:6363;height:7980" filled="false" stroked="true" strokeweight=".75pt" strokecolor="#000000">
              <v:stroke dashstyle="solid"/>
            </v:rect>
            <w10:wrap type="topAndBottom"/>
          </v:group>
        </w:pict>
      </w:r>
      <w:r>
        <w:rPr>
          <w:rFonts w:ascii="Arial"/>
          <w:b/>
          <w:sz w:val="20"/>
        </w:rPr>
        <w:t>Figure ED-8: Commercial Building Sizes and Types in Richland</w:t>
      </w:r>
    </w:p>
    <w:p>
      <w:pPr>
        <w:spacing w:before="29"/>
        <w:ind w:left="139" w:right="0" w:firstLine="0"/>
        <w:jc w:val="left"/>
        <w:rPr>
          <w:i/>
          <w:sz w:val="20"/>
        </w:rPr>
      </w:pPr>
      <w:bookmarkStart w:name="Employment and Household Trends" w:id="40"/>
      <w:bookmarkEnd w:id="40"/>
      <w:r>
        <w:rPr/>
      </w:r>
      <w:r>
        <w:rPr>
          <w:i/>
          <w:sz w:val="20"/>
        </w:rPr>
        <w:t>Source: Benton County Assessor, 2016</w:t>
      </w:r>
    </w:p>
    <w:p>
      <w:pPr>
        <w:pStyle w:val="BodyText"/>
        <w:spacing w:before="3"/>
        <w:rPr>
          <w:i/>
          <w:sz w:val="17"/>
        </w:rPr>
      </w:pPr>
    </w:p>
    <w:p>
      <w:pPr>
        <w:spacing w:before="1"/>
        <w:ind w:left="140" w:right="0" w:firstLine="0"/>
        <w:jc w:val="left"/>
        <w:rPr>
          <w:b/>
          <w:sz w:val="24"/>
        </w:rPr>
      </w:pPr>
      <w:r>
        <w:rPr>
          <w:b/>
          <w:sz w:val="24"/>
        </w:rPr>
        <w:t>EMPLOYMENT AND HOUSEHOLD TRENDS</w:t>
      </w:r>
    </w:p>
    <w:p>
      <w:pPr>
        <w:pStyle w:val="BodyText"/>
        <w:spacing w:before="119"/>
        <w:ind w:left="140"/>
      </w:pPr>
      <w:r>
        <w:rPr/>
        <w:t>The following section summarizes selected relevant employment and household characteristics that frame the economic performance in Richland.</w:t>
      </w:r>
    </w:p>
    <w:p>
      <w:pPr>
        <w:spacing w:after="0"/>
        <w:sectPr>
          <w:pgSz w:w="12240" w:h="15840"/>
          <w:pgMar w:header="0" w:footer="1132" w:top="1440" w:bottom="1320" w:left="1300" w:right="1100"/>
        </w:sectPr>
      </w:pPr>
    </w:p>
    <w:p>
      <w:pPr>
        <w:spacing w:before="80"/>
        <w:ind w:left="140" w:right="0" w:firstLine="0"/>
        <w:jc w:val="both"/>
        <w:rPr>
          <w:b/>
          <w:sz w:val="22"/>
        </w:rPr>
      </w:pPr>
      <w:bookmarkStart w:name="Employment Status, Income, and Demograph" w:id="41"/>
      <w:bookmarkEnd w:id="41"/>
      <w:r>
        <w:rPr/>
      </w:r>
      <w:r>
        <w:rPr>
          <w:b/>
          <w:color w:val="C0504D"/>
          <w:sz w:val="22"/>
        </w:rPr>
        <w:t>Employment Status, Income, and Demographic</w:t>
      </w:r>
      <w:r>
        <w:rPr>
          <w:b/>
          <w:color w:val="C0504D"/>
          <w:spacing w:val="-23"/>
          <w:sz w:val="22"/>
        </w:rPr>
        <w:t> </w:t>
      </w:r>
      <w:r>
        <w:rPr>
          <w:b/>
          <w:color w:val="C0504D"/>
          <w:sz w:val="22"/>
        </w:rPr>
        <w:t>Characteristics</w:t>
      </w:r>
    </w:p>
    <w:p>
      <w:pPr>
        <w:pStyle w:val="BodyText"/>
        <w:spacing w:before="119"/>
        <w:ind w:left="139" w:right="335"/>
        <w:jc w:val="both"/>
      </w:pPr>
      <w:r>
        <w:rPr/>
        <w:t>Relative</w:t>
      </w:r>
      <w:r>
        <w:rPr>
          <w:spacing w:val="-3"/>
        </w:rPr>
        <w:t> </w:t>
      </w:r>
      <w:r>
        <w:rPr/>
        <w:t>to</w:t>
      </w:r>
      <w:r>
        <w:rPr>
          <w:spacing w:val="-3"/>
        </w:rPr>
        <w:t> </w:t>
      </w:r>
      <w:r>
        <w:rPr/>
        <w:t>Kennewick</w:t>
      </w:r>
      <w:r>
        <w:rPr>
          <w:spacing w:val="-4"/>
        </w:rPr>
        <w:t> </w:t>
      </w:r>
      <w:r>
        <w:rPr/>
        <w:t>and</w:t>
      </w:r>
      <w:r>
        <w:rPr>
          <w:spacing w:val="-3"/>
        </w:rPr>
        <w:t> </w:t>
      </w:r>
      <w:r>
        <w:rPr/>
        <w:t>Pasco,</w:t>
      </w:r>
      <w:r>
        <w:rPr>
          <w:spacing w:val="-2"/>
        </w:rPr>
        <w:t> </w:t>
      </w:r>
      <w:r>
        <w:rPr/>
        <w:t>Richland</w:t>
      </w:r>
      <w:r>
        <w:rPr>
          <w:spacing w:val="-2"/>
        </w:rPr>
        <w:t> </w:t>
      </w:r>
      <w:r>
        <w:rPr/>
        <w:t>has</w:t>
      </w:r>
      <w:r>
        <w:rPr>
          <w:spacing w:val="-4"/>
        </w:rPr>
        <w:t> </w:t>
      </w:r>
      <w:r>
        <w:rPr/>
        <w:t>high</w:t>
      </w:r>
      <w:r>
        <w:rPr>
          <w:spacing w:val="-2"/>
        </w:rPr>
        <w:t> </w:t>
      </w:r>
      <w:r>
        <w:rPr/>
        <w:t>labor</w:t>
      </w:r>
      <w:r>
        <w:rPr>
          <w:spacing w:val="-2"/>
        </w:rPr>
        <w:t> </w:t>
      </w:r>
      <w:r>
        <w:rPr/>
        <w:t>force</w:t>
      </w:r>
      <w:r>
        <w:rPr>
          <w:spacing w:val="-3"/>
        </w:rPr>
        <w:t> </w:t>
      </w:r>
      <w:r>
        <w:rPr/>
        <w:t>participation</w:t>
      </w:r>
      <w:r>
        <w:rPr>
          <w:spacing w:val="-4"/>
        </w:rPr>
        <w:t> </w:t>
      </w:r>
      <w:r>
        <w:rPr/>
        <w:t>for</w:t>
      </w:r>
      <w:r>
        <w:rPr>
          <w:spacing w:val="-3"/>
        </w:rPr>
        <w:t> </w:t>
      </w:r>
      <w:r>
        <w:rPr/>
        <w:t>residents</w:t>
      </w:r>
      <w:r>
        <w:rPr>
          <w:spacing w:val="-2"/>
        </w:rPr>
        <w:t> </w:t>
      </w:r>
      <w:r>
        <w:rPr/>
        <w:t>with</w:t>
      </w:r>
      <w:r>
        <w:rPr>
          <w:spacing w:val="-2"/>
        </w:rPr>
        <w:t> </w:t>
      </w:r>
      <w:r>
        <w:rPr/>
        <w:t>ages between</w:t>
      </w:r>
      <w:r>
        <w:rPr>
          <w:spacing w:val="-10"/>
        </w:rPr>
        <w:t> </w:t>
      </w:r>
      <w:r>
        <w:rPr/>
        <w:t>30</w:t>
      </w:r>
      <w:r>
        <w:rPr>
          <w:spacing w:val="-8"/>
        </w:rPr>
        <w:t> </w:t>
      </w:r>
      <w:r>
        <w:rPr/>
        <w:t>and</w:t>
      </w:r>
      <w:r>
        <w:rPr>
          <w:spacing w:val="-8"/>
        </w:rPr>
        <w:t> </w:t>
      </w:r>
      <w:r>
        <w:rPr/>
        <w:t>54.</w:t>
      </w:r>
      <w:r>
        <w:rPr>
          <w:spacing w:val="-8"/>
        </w:rPr>
        <w:t> </w:t>
      </w:r>
      <w:r>
        <w:rPr/>
        <w:t>This</w:t>
      </w:r>
      <w:r>
        <w:rPr>
          <w:spacing w:val="-7"/>
        </w:rPr>
        <w:t> </w:t>
      </w:r>
      <w:r>
        <w:rPr/>
        <w:t>typically</w:t>
      </w:r>
      <w:r>
        <w:rPr>
          <w:spacing w:val="-9"/>
        </w:rPr>
        <w:t> </w:t>
      </w:r>
      <w:r>
        <w:rPr/>
        <w:t>is</w:t>
      </w:r>
      <w:r>
        <w:rPr>
          <w:spacing w:val="-7"/>
        </w:rPr>
        <w:t> </w:t>
      </w:r>
      <w:r>
        <w:rPr/>
        <w:t>the</w:t>
      </w:r>
      <w:r>
        <w:rPr>
          <w:spacing w:val="-8"/>
        </w:rPr>
        <w:t> </w:t>
      </w:r>
      <w:r>
        <w:rPr/>
        <w:t>prime</w:t>
      </w:r>
      <w:r>
        <w:rPr>
          <w:spacing w:val="-8"/>
        </w:rPr>
        <w:t> </w:t>
      </w:r>
      <w:r>
        <w:rPr/>
        <w:t>working</w:t>
      </w:r>
      <w:r>
        <w:rPr>
          <w:spacing w:val="-7"/>
        </w:rPr>
        <w:t> </w:t>
      </w:r>
      <w:r>
        <w:rPr/>
        <w:t>age</w:t>
      </w:r>
      <w:r>
        <w:rPr>
          <w:spacing w:val="-8"/>
        </w:rPr>
        <w:t> </w:t>
      </w:r>
      <w:r>
        <w:rPr/>
        <w:t>for</w:t>
      </w:r>
      <w:r>
        <w:rPr>
          <w:spacing w:val="-9"/>
        </w:rPr>
        <w:t> </w:t>
      </w:r>
      <w:r>
        <w:rPr/>
        <w:t>most</w:t>
      </w:r>
      <w:r>
        <w:rPr>
          <w:spacing w:val="-8"/>
        </w:rPr>
        <w:t> </w:t>
      </w:r>
      <w:r>
        <w:rPr/>
        <w:t>Americans,</w:t>
      </w:r>
      <w:r>
        <w:rPr>
          <w:spacing w:val="-8"/>
        </w:rPr>
        <w:t> </w:t>
      </w:r>
      <w:r>
        <w:rPr/>
        <w:t>a</w:t>
      </w:r>
      <w:r>
        <w:rPr>
          <w:spacing w:val="-8"/>
        </w:rPr>
        <w:t> </w:t>
      </w:r>
      <w:r>
        <w:rPr/>
        <w:t>time</w:t>
      </w:r>
      <w:r>
        <w:rPr>
          <w:spacing w:val="-8"/>
        </w:rPr>
        <w:t> </w:t>
      </w:r>
      <w:r>
        <w:rPr/>
        <w:t>when</w:t>
      </w:r>
      <w:r>
        <w:rPr>
          <w:spacing w:val="-9"/>
        </w:rPr>
        <w:t> </w:t>
      </w:r>
      <w:r>
        <w:rPr/>
        <w:t>they</w:t>
      </w:r>
      <w:r>
        <w:rPr>
          <w:spacing w:val="-9"/>
        </w:rPr>
        <w:t> </w:t>
      </w:r>
      <w:r>
        <w:rPr/>
        <w:t>are most productive as workers. Rates for younger populations are slightly lower than in Pasco due to a higher share of full-time students in higher education. Similarly, rates are lower for those 65 and</w:t>
      </w:r>
      <w:bookmarkStart w:name="_bookmark19" w:id="42"/>
      <w:bookmarkEnd w:id="42"/>
      <w:r>
        <w:rPr/>
      </w:r>
      <w:r>
        <w:rPr/>
        <w:t> older due to their long-term financial stability enabling</w:t>
      </w:r>
      <w:r>
        <w:rPr>
          <w:spacing w:val="-9"/>
        </w:rPr>
        <w:t> </w:t>
      </w:r>
      <w:r>
        <w:rPr/>
        <w:t>retirement.</w:t>
      </w:r>
    </w:p>
    <w:p>
      <w:pPr>
        <w:spacing w:before="121"/>
        <w:ind w:left="140" w:right="0" w:firstLine="0"/>
        <w:jc w:val="left"/>
        <w:rPr>
          <w:rFonts w:ascii="Arial"/>
          <w:b/>
          <w:sz w:val="20"/>
        </w:rPr>
      </w:pPr>
      <w:r>
        <w:rPr>
          <w:rFonts w:ascii="Arial"/>
          <w:b/>
          <w:sz w:val="20"/>
        </w:rPr>
        <w:t>Figure ED-9: Labor Force Participation</w:t>
      </w:r>
    </w:p>
    <w:p>
      <w:pPr>
        <w:pStyle w:val="BodyText"/>
        <w:spacing w:before="2"/>
        <w:rPr>
          <w:rFonts w:ascii="Arial"/>
          <w:b/>
          <w:sz w:val="9"/>
        </w:rPr>
      </w:pPr>
      <w:r>
        <w:rPr/>
        <w:pict>
          <v:group style="position:absolute;margin-left:73.25pt;margin-top:7.25pt;width:469.5pt;height:173.15pt;mso-position-horizontal-relative:page;mso-position-vertical-relative:paragraph;z-index:-251638784;mso-wrap-distance-left:0;mso-wrap-distance-right:0" coordorigin="1465,145" coordsize="9390,3463">
            <v:shape style="position:absolute;left:1696;top:275;width:8971;height:3209" type="#_x0000_t75" stroked="false">
              <v:imagedata r:id="rId37" o:title=""/>
            </v:shape>
            <v:rect style="position:absolute;left:1472;top:152;width:9375;height:3448" filled="false" stroked="true" strokeweight=".75pt" strokecolor="#000000">
              <v:stroke dashstyle="solid"/>
            </v:rect>
            <w10:wrap type="topAndBottom"/>
          </v:group>
        </w:pict>
      </w:r>
    </w:p>
    <w:p>
      <w:pPr>
        <w:spacing w:before="61"/>
        <w:ind w:left="140" w:right="0" w:firstLine="0"/>
        <w:jc w:val="both"/>
        <w:rPr>
          <w:i/>
          <w:sz w:val="20"/>
        </w:rPr>
      </w:pPr>
      <w:r>
        <w:rPr>
          <w:i/>
          <w:sz w:val="20"/>
        </w:rPr>
        <w:t>Source: US Census Bureau, American Community Survey, 5-Year ACS, Table S2301</w:t>
      </w:r>
    </w:p>
    <w:p>
      <w:pPr>
        <w:pStyle w:val="BodyText"/>
        <w:spacing w:before="121"/>
        <w:ind w:left="140" w:right="335"/>
        <w:jc w:val="both"/>
      </w:pPr>
      <w:r>
        <w:rPr/>
        <w:t>Total employment in Richland has grown over the past 25 years. Current estimates of employment in the City place the number at approximately 25,000. Growth in employment in Kennewick and</w:t>
      </w:r>
      <w:bookmarkStart w:name="_bookmark20" w:id="43"/>
      <w:bookmarkEnd w:id="43"/>
      <w:r>
        <w:rPr/>
      </w:r>
      <w:r>
        <w:rPr/>
        <w:t> Pasco has been a function of higher rates of population and labor force growth over the same time.</w:t>
      </w:r>
    </w:p>
    <w:p>
      <w:pPr>
        <w:spacing w:before="119"/>
        <w:ind w:left="140" w:right="0" w:firstLine="0"/>
        <w:jc w:val="left"/>
        <w:rPr>
          <w:rFonts w:ascii="Arial"/>
          <w:b/>
          <w:sz w:val="20"/>
        </w:rPr>
      </w:pPr>
      <w:r>
        <w:rPr/>
        <w:pict>
          <v:group style="position:absolute;margin-left:72.75pt;margin-top:24.265877pt;width:268.3pt;height:177.3pt;mso-position-horizontal-relative:page;mso-position-vertical-relative:paragraph;z-index:-251637760;mso-wrap-distance-left:0;mso-wrap-distance-right:0" coordorigin="1455,485" coordsize="5366,3546">
            <v:shape style="position:absolute;left:1491;top:709;width:5149;height:3191" type="#_x0000_t75" stroked="false">
              <v:imagedata r:id="rId38" o:title=""/>
            </v:shape>
            <v:rect style="position:absolute;left:1462;top:492;width:5351;height:3531" filled="false" stroked="true" strokeweight=".75pt" strokecolor="#000000">
              <v:stroke dashstyle="solid"/>
            </v:rect>
            <w10:wrap type="topAndBottom"/>
          </v:group>
        </w:pict>
      </w:r>
      <w:r>
        <w:rPr>
          <w:rFonts w:ascii="Arial"/>
          <w:b/>
          <w:sz w:val="20"/>
        </w:rPr>
        <w:t>Figure ED-10: Total Employment, 1990 - 2016</w:t>
      </w:r>
    </w:p>
    <w:p>
      <w:pPr>
        <w:spacing w:before="37"/>
        <w:ind w:left="140" w:right="0" w:firstLine="0"/>
        <w:jc w:val="both"/>
        <w:rPr>
          <w:i/>
          <w:sz w:val="20"/>
        </w:rPr>
      </w:pPr>
      <w:r>
        <w:rPr>
          <w:i/>
          <w:sz w:val="20"/>
        </w:rPr>
        <w:t>Source: Bureau of Labor Statistics, Local Area Unemployment Statistics.</w:t>
      </w:r>
    </w:p>
    <w:p>
      <w:pPr>
        <w:pStyle w:val="BodyText"/>
        <w:spacing w:before="121"/>
        <w:ind w:left="140" w:right="337"/>
        <w:jc w:val="both"/>
      </w:pPr>
      <w:r>
        <w:rPr/>
        <w:t>Benton County’s unemployment rate is currently 7.0%, which is higher than the state average of 5.3%, but lower than in adjacent Franklin County (Employee Security Department/LMPA, March 2016). Richland has consistently fared better than the cities of Kennewick and Pasco as well as Benton County and Franklin County.</w:t>
      </w:r>
    </w:p>
    <w:p>
      <w:pPr>
        <w:spacing w:before="120"/>
        <w:ind w:left="140" w:right="0" w:firstLine="0"/>
        <w:jc w:val="left"/>
        <w:rPr>
          <w:rFonts w:ascii="Arial"/>
          <w:b/>
          <w:sz w:val="20"/>
        </w:rPr>
      </w:pPr>
      <w:bookmarkStart w:name="_bookmark21" w:id="44"/>
      <w:bookmarkEnd w:id="44"/>
      <w:r>
        <w:rPr/>
      </w:r>
      <w:r>
        <w:rPr>
          <w:rFonts w:ascii="Arial"/>
          <w:b/>
          <w:sz w:val="20"/>
        </w:rPr>
        <w:t>Figure ED-11: Unemployment Rate, 1990 - 2016</w:t>
      </w:r>
    </w:p>
    <w:p>
      <w:pPr>
        <w:spacing w:after="0"/>
        <w:jc w:val="left"/>
        <w:rPr>
          <w:rFonts w:ascii="Arial"/>
          <w:sz w:val="20"/>
        </w:rPr>
        <w:sectPr>
          <w:pgSz w:w="12240" w:h="15840"/>
          <w:pgMar w:header="0" w:footer="1132" w:top="1360" w:bottom="1320" w:left="1300" w:right="1100"/>
        </w:sectPr>
      </w:pPr>
    </w:p>
    <w:p>
      <w:pPr>
        <w:pStyle w:val="BodyText"/>
        <w:ind w:left="154"/>
        <w:rPr>
          <w:rFonts w:ascii="Arial"/>
          <w:sz w:val="20"/>
        </w:rPr>
      </w:pPr>
      <w:r>
        <w:rPr>
          <w:rFonts w:ascii="Arial"/>
          <w:sz w:val="20"/>
        </w:rPr>
        <w:pict>
          <v:group style="width:327.150pt;height:206.15pt;mso-position-horizontal-relative:char;mso-position-vertical-relative:line" coordorigin="0,0" coordsize="6543,4123">
            <v:shape style="position:absolute;left:94;top:260;width:6239;height:3733" type="#_x0000_t75" stroked="false">
              <v:imagedata r:id="rId39" o:title=""/>
            </v:shape>
            <v:rect style="position:absolute;left:7;top:7;width:6528;height:4108" filled="false" stroked="true" strokeweight=".75pt" strokecolor="#000000">
              <v:stroke dashstyle="solid"/>
            </v:rect>
          </v:group>
        </w:pict>
      </w:r>
      <w:r>
        <w:rPr>
          <w:rFonts w:ascii="Arial"/>
          <w:sz w:val="20"/>
        </w:rPr>
      </w:r>
    </w:p>
    <w:p>
      <w:pPr>
        <w:spacing w:before="34"/>
        <w:ind w:left="140" w:right="0" w:firstLine="0"/>
        <w:jc w:val="both"/>
        <w:rPr>
          <w:i/>
          <w:sz w:val="20"/>
        </w:rPr>
      </w:pPr>
      <w:r>
        <w:rPr>
          <w:i/>
          <w:sz w:val="20"/>
        </w:rPr>
        <w:t>Source: Bureau of Labor Statistics, Local Area Unemployment Statistics.</w:t>
      </w:r>
    </w:p>
    <w:p>
      <w:pPr>
        <w:pStyle w:val="BodyText"/>
        <w:spacing w:before="121"/>
        <w:ind w:left="140" w:right="335" w:hanging="1"/>
        <w:jc w:val="both"/>
      </w:pPr>
      <w:r>
        <w:rPr/>
        <w:t>Federal funding for Hanford has been a significant economic catalyst for the Tri-Cities Region, generally with Richland at the forefront. Even with significant downsizing at Hanford in the 1990s, household incomes in Franklin and Benton Counties continued to grow steadily.</w:t>
      </w:r>
    </w:p>
    <w:p>
      <w:pPr>
        <w:pStyle w:val="BodyText"/>
        <w:spacing w:before="119"/>
        <w:ind w:left="140" w:right="334"/>
        <w:jc w:val="both"/>
      </w:pPr>
      <w:r>
        <w:rPr/>
        <w:t>Today, household incomes for Richland residents are nearly ten percent higher than the County average and more than twenty percent higher when compared to those of Kennewick residents. Richland enjoys economic prosperity not just compared to its Tri-Cities neighbors, but compared to state</w:t>
      </w:r>
      <w:r>
        <w:rPr>
          <w:spacing w:val="-10"/>
        </w:rPr>
        <w:t> </w:t>
      </w:r>
      <w:r>
        <w:rPr/>
        <w:t>averages</w:t>
      </w:r>
      <w:r>
        <w:rPr>
          <w:spacing w:val="-6"/>
        </w:rPr>
        <w:t> </w:t>
      </w:r>
      <w:r>
        <w:rPr/>
        <w:t>as</w:t>
      </w:r>
      <w:r>
        <w:rPr>
          <w:spacing w:val="-6"/>
        </w:rPr>
        <w:t> </w:t>
      </w:r>
      <w:r>
        <w:rPr/>
        <w:t>well</w:t>
      </w:r>
      <w:r>
        <w:rPr>
          <w:spacing w:val="-10"/>
        </w:rPr>
        <w:t> </w:t>
      </w:r>
      <w:r>
        <w:rPr/>
        <w:t>as</w:t>
      </w:r>
      <w:r>
        <w:rPr>
          <w:spacing w:val="-6"/>
        </w:rPr>
        <w:t> </w:t>
      </w:r>
      <w:r>
        <w:rPr/>
        <w:t>illustrated</w:t>
      </w:r>
      <w:r>
        <w:rPr>
          <w:spacing w:val="-9"/>
        </w:rPr>
        <w:t> </w:t>
      </w:r>
      <w:r>
        <w:rPr/>
        <w:t>in</w:t>
      </w:r>
      <w:r>
        <w:rPr>
          <w:spacing w:val="-8"/>
        </w:rPr>
        <w:t> </w:t>
      </w:r>
      <w:r>
        <w:rPr/>
        <w:t>Figure</w:t>
      </w:r>
      <w:r>
        <w:rPr>
          <w:spacing w:val="-10"/>
        </w:rPr>
        <w:t> </w:t>
      </w:r>
      <w:r>
        <w:rPr/>
        <w:t>ED-12</w:t>
      </w:r>
      <w:r>
        <w:rPr>
          <w:spacing w:val="-11"/>
        </w:rPr>
        <w:t> </w:t>
      </w:r>
      <w:r>
        <w:rPr/>
        <w:t>below.</w:t>
      </w:r>
      <w:r>
        <w:rPr>
          <w:spacing w:val="-7"/>
        </w:rPr>
        <w:t> </w:t>
      </w:r>
      <w:r>
        <w:rPr/>
        <w:t>Higher</w:t>
      </w:r>
      <w:r>
        <w:rPr>
          <w:spacing w:val="-9"/>
        </w:rPr>
        <w:t> </w:t>
      </w:r>
      <w:r>
        <w:rPr/>
        <w:t>incomes</w:t>
      </w:r>
      <w:r>
        <w:rPr>
          <w:spacing w:val="-8"/>
        </w:rPr>
        <w:t> </w:t>
      </w:r>
      <w:r>
        <w:rPr/>
        <w:t>are</w:t>
      </w:r>
      <w:r>
        <w:rPr>
          <w:spacing w:val="-7"/>
        </w:rPr>
        <w:t> </w:t>
      </w:r>
      <w:r>
        <w:rPr/>
        <w:t>the</w:t>
      </w:r>
      <w:r>
        <w:rPr>
          <w:spacing w:val="-9"/>
        </w:rPr>
        <w:t> </w:t>
      </w:r>
      <w:r>
        <w:rPr/>
        <w:t>result</w:t>
      </w:r>
      <w:r>
        <w:rPr>
          <w:spacing w:val="-9"/>
        </w:rPr>
        <w:t> </w:t>
      </w:r>
      <w:r>
        <w:rPr/>
        <w:t>of</w:t>
      </w:r>
      <w:r>
        <w:rPr>
          <w:spacing w:val="-7"/>
        </w:rPr>
        <w:t> </w:t>
      </w:r>
      <w:r>
        <w:rPr/>
        <w:t>technical and professional positions that require higher levels of education, as illustrated below in Table ED- 3- Educational Attainment, 2011 -</w:t>
      </w:r>
      <w:r>
        <w:rPr>
          <w:spacing w:val="-4"/>
        </w:rPr>
        <w:t> </w:t>
      </w:r>
      <w:r>
        <w:rPr/>
        <w:t>2015.</w:t>
      </w:r>
    </w:p>
    <w:p>
      <w:pPr>
        <w:spacing w:before="121"/>
        <w:ind w:left="140" w:right="0" w:firstLine="0"/>
        <w:jc w:val="both"/>
        <w:rPr>
          <w:rFonts w:ascii="Arial"/>
          <w:b/>
          <w:sz w:val="20"/>
        </w:rPr>
      </w:pPr>
      <w:r>
        <w:rPr/>
        <w:pict>
          <v:group style="position:absolute;margin-left:72.75pt;margin-top:24.306879pt;width:281.95pt;height:170.7pt;mso-position-horizontal-relative:page;mso-position-vertical-relative:paragraph;z-index:-251635712;mso-wrap-distance-left:0;mso-wrap-distance-right:0" coordorigin="1455,486" coordsize="5639,3414">
            <v:shape style="position:absolute;left:1498;top:906;width:5494;height:2871" type="#_x0000_t75" stroked="false">
              <v:imagedata r:id="rId40" o:title=""/>
            </v:shape>
            <v:rect style="position:absolute;left:1462;top:493;width:5624;height:3399" filled="false" stroked="true" strokeweight=".75pt" strokecolor="#000000">
              <v:stroke dashstyle="solid"/>
            </v:rect>
            <w10:wrap type="topAndBottom"/>
          </v:group>
        </w:pict>
      </w:r>
      <w:bookmarkStart w:name="_bookmark22" w:id="45"/>
      <w:bookmarkEnd w:id="45"/>
      <w:r>
        <w:rPr/>
      </w:r>
      <w:r>
        <w:rPr>
          <w:rFonts w:ascii="Arial"/>
          <w:b/>
          <w:sz w:val="20"/>
        </w:rPr>
        <w:t>Figure ED-12: Median Household Income</w:t>
      </w:r>
    </w:p>
    <w:p>
      <w:pPr>
        <w:spacing w:before="50"/>
        <w:ind w:left="140" w:right="0" w:firstLine="0"/>
        <w:jc w:val="both"/>
        <w:rPr>
          <w:i/>
          <w:sz w:val="20"/>
        </w:rPr>
      </w:pPr>
      <w:r>
        <w:rPr>
          <w:i/>
          <w:sz w:val="20"/>
        </w:rPr>
        <w:t>Source: US Census Bureau, American Community Survey, 2015 5-year, Table B19013A</w:t>
      </w:r>
    </w:p>
    <w:p>
      <w:pPr>
        <w:pStyle w:val="BodyText"/>
        <w:spacing w:before="121"/>
        <w:ind w:left="140" w:right="335"/>
        <w:jc w:val="both"/>
      </w:pPr>
      <w:r>
        <w:rPr/>
        <w:t>Similarly, Richland has fewer households living in poverty when compared to Benton County on the whole, Franklin County, and the statewide average. This indicates a strong economy and access to</w:t>
      </w:r>
      <w:bookmarkStart w:name="_bookmark23" w:id="46"/>
      <w:bookmarkEnd w:id="46"/>
      <w:r>
        <w:rPr/>
      </w:r>
      <w:r>
        <w:rPr/>
        <w:t> opportunity.</w:t>
      </w:r>
    </w:p>
    <w:p>
      <w:pPr>
        <w:spacing w:before="119"/>
        <w:ind w:left="140" w:right="0" w:firstLine="0"/>
        <w:jc w:val="both"/>
        <w:rPr>
          <w:rFonts w:ascii="Arial"/>
          <w:b/>
          <w:sz w:val="20"/>
        </w:rPr>
      </w:pPr>
      <w:r>
        <w:rPr>
          <w:rFonts w:ascii="Arial"/>
          <w:b/>
          <w:sz w:val="20"/>
        </w:rPr>
        <w:t>Figure ED-13: Share of Population Living in Poverty, 2011 - 2015</w:t>
      </w:r>
    </w:p>
    <w:p>
      <w:pPr>
        <w:spacing w:after="0"/>
        <w:jc w:val="both"/>
        <w:rPr>
          <w:rFonts w:ascii="Arial"/>
          <w:sz w:val="20"/>
        </w:rPr>
        <w:sectPr>
          <w:pgSz w:w="12240" w:h="15840"/>
          <w:pgMar w:header="0" w:footer="1132" w:top="1460" w:bottom="1320" w:left="1300" w:right="1100"/>
        </w:sectPr>
      </w:pPr>
    </w:p>
    <w:p>
      <w:pPr>
        <w:pStyle w:val="BodyText"/>
        <w:ind w:left="154"/>
        <w:rPr>
          <w:rFonts w:ascii="Arial"/>
          <w:sz w:val="20"/>
        </w:rPr>
      </w:pPr>
      <w:r>
        <w:rPr>
          <w:rFonts w:ascii="Arial"/>
          <w:sz w:val="20"/>
        </w:rPr>
        <w:pict>
          <v:group style="width:384.9pt;height:139.4pt;mso-position-horizontal-relative:char;mso-position-vertical-relative:line" coordorigin="0,0" coordsize="7698,2788">
            <v:shape style="position:absolute;left:534;top:339;width:6974;height:2376" type="#_x0000_t75" stroked="false">
              <v:imagedata r:id="rId41" o:title=""/>
            </v:shape>
            <v:rect style="position:absolute;left:7;top:7;width:7683;height:2773" filled="false" stroked="true" strokeweight=".75pt" strokecolor="#000000">
              <v:stroke dashstyle="solid"/>
            </v:rect>
          </v:group>
        </w:pict>
      </w:r>
      <w:r>
        <w:rPr>
          <w:rFonts w:ascii="Arial"/>
          <w:sz w:val="20"/>
        </w:rPr>
      </w:r>
    </w:p>
    <w:p>
      <w:pPr>
        <w:spacing w:before="109"/>
        <w:ind w:left="140" w:right="0" w:firstLine="0"/>
        <w:jc w:val="both"/>
        <w:rPr>
          <w:i/>
          <w:sz w:val="20"/>
        </w:rPr>
      </w:pPr>
      <w:r>
        <w:rPr>
          <w:i/>
          <w:sz w:val="20"/>
        </w:rPr>
        <w:t>Source: US Census Bureau, American Community Survey, 2015 5-year, Table S1701.</w:t>
      </w:r>
    </w:p>
    <w:p>
      <w:pPr>
        <w:pStyle w:val="BodyText"/>
        <w:spacing w:before="121"/>
        <w:ind w:left="139" w:right="334"/>
        <w:jc w:val="both"/>
      </w:pPr>
      <w:r>
        <w:rPr/>
        <w:t>The population living in Richland is not drastically different from the region with respect to age, but upon further examination of job force impacts there are some important differences. For employment</w:t>
      </w:r>
      <w:r>
        <w:rPr>
          <w:spacing w:val="-8"/>
        </w:rPr>
        <w:t> </w:t>
      </w:r>
      <w:r>
        <w:rPr/>
        <w:t>purposes,</w:t>
      </w:r>
      <w:r>
        <w:rPr>
          <w:spacing w:val="-7"/>
        </w:rPr>
        <w:t> </w:t>
      </w:r>
      <w:r>
        <w:rPr/>
        <w:t>prime</w:t>
      </w:r>
      <w:r>
        <w:rPr>
          <w:spacing w:val="-6"/>
        </w:rPr>
        <w:t> </w:t>
      </w:r>
      <w:r>
        <w:rPr/>
        <w:t>working</w:t>
      </w:r>
      <w:r>
        <w:rPr>
          <w:spacing w:val="-6"/>
        </w:rPr>
        <w:t> </w:t>
      </w:r>
      <w:r>
        <w:rPr/>
        <w:t>age</w:t>
      </w:r>
      <w:r>
        <w:rPr>
          <w:spacing w:val="-9"/>
        </w:rPr>
        <w:t> </w:t>
      </w:r>
      <w:r>
        <w:rPr/>
        <w:t>is</w:t>
      </w:r>
      <w:r>
        <w:rPr>
          <w:spacing w:val="-8"/>
        </w:rPr>
        <w:t> </w:t>
      </w:r>
      <w:r>
        <w:rPr/>
        <w:t>defined</w:t>
      </w:r>
      <w:r>
        <w:rPr>
          <w:spacing w:val="-7"/>
        </w:rPr>
        <w:t> </w:t>
      </w:r>
      <w:r>
        <w:rPr/>
        <w:t>as</w:t>
      </w:r>
      <w:r>
        <w:rPr>
          <w:spacing w:val="-7"/>
        </w:rPr>
        <w:t> </w:t>
      </w:r>
      <w:r>
        <w:rPr/>
        <w:t>25</w:t>
      </w:r>
      <w:r>
        <w:rPr>
          <w:spacing w:val="-7"/>
        </w:rPr>
        <w:t> </w:t>
      </w:r>
      <w:r>
        <w:rPr/>
        <w:t>to</w:t>
      </w:r>
      <w:r>
        <w:rPr>
          <w:spacing w:val="-6"/>
        </w:rPr>
        <w:t> </w:t>
      </w:r>
      <w:r>
        <w:rPr/>
        <w:t>54</w:t>
      </w:r>
      <w:r>
        <w:rPr>
          <w:spacing w:val="-7"/>
        </w:rPr>
        <w:t> </w:t>
      </w:r>
      <w:r>
        <w:rPr/>
        <w:t>years</w:t>
      </w:r>
      <w:r>
        <w:rPr>
          <w:spacing w:val="-9"/>
        </w:rPr>
        <w:t> </w:t>
      </w:r>
      <w:r>
        <w:rPr/>
        <w:t>old.</w:t>
      </w:r>
      <w:r>
        <w:rPr>
          <w:spacing w:val="-9"/>
        </w:rPr>
        <w:t> </w:t>
      </w:r>
      <w:r>
        <w:rPr/>
        <w:t>The</w:t>
      </w:r>
      <w:r>
        <w:rPr>
          <w:spacing w:val="-6"/>
        </w:rPr>
        <w:t> </w:t>
      </w:r>
      <w:r>
        <w:rPr/>
        <w:t>statewide</w:t>
      </w:r>
      <w:r>
        <w:rPr>
          <w:spacing w:val="-9"/>
        </w:rPr>
        <w:t> </w:t>
      </w:r>
      <w:r>
        <w:rPr/>
        <w:t>average</w:t>
      </w:r>
      <w:r>
        <w:rPr>
          <w:spacing w:val="-7"/>
        </w:rPr>
        <w:t> </w:t>
      </w:r>
      <w:r>
        <w:rPr/>
        <w:t>for population</w:t>
      </w:r>
      <w:r>
        <w:rPr>
          <w:spacing w:val="-4"/>
        </w:rPr>
        <w:t> </w:t>
      </w:r>
      <w:r>
        <w:rPr/>
        <w:t>that</w:t>
      </w:r>
      <w:r>
        <w:rPr>
          <w:spacing w:val="-2"/>
        </w:rPr>
        <w:t> </w:t>
      </w:r>
      <w:r>
        <w:rPr/>
        <w:t>falls</w:t>
      </w:r>
      <w:r>
        <w:rPr>
          <w:spacing w:val="-3"/>
        </w:rPr>
        <w:t> </w:t>
      </w:r>
      <w:r>
        <w:rPr/>
        <w:t>into</w:t>
      </w:r>
      <w:r>
        <w:rPr>
          <w:spacing w:val="-4"/>
        </w:rPr>
        <w:t> </w:t>
      </w:r>
      <w:r>
        <w:rPr/>
        <w:t>prime</w:t>
      </w:r>
      <w:r>
        <w:rPr>
          <w:spacing w:val="-2"/>
        </w:rPr>
        <w:t> </w:t>
      </w:r>
      <w:r>
        <w:rPr/>
        <w:t>working</w:t>
      </w:r>
      <w:r>
        <w:rPr>
          <w:spacing w:val="-3"/>
        </w:rPr>
        <w:t> </w:t>
      </w:r>
      <w:r>
        <w:rPr/>
        <w:t>age</w:t>
      </w:r>
      <w:r>
        <w:rPr>
          <w:spacing w:val="-4"/>
        </w:rPr>
        <w:t> </w:t>
      </w:r>
      <w:r>
        <w:rPr/>
        <w:t>is</w:t>
      </w:r>
      <w:r>
        <w:rPr>
          <w:spacing w:val="-3"/>
        </w:rPr>
        <w:t> </w:t>
      </w:r>
      <w:r>
        <w:rPr/>
        <w:t>41%.</w:t>
      </w:r>
      <w:r>
        <w:rPr>
          <w:spacing w:val="-2"/>
        </w:rPr>
        <w:t> </w:t>
      </w:r>
      <w:r>
        <w:rPr/>
        <w:t>Richland’s</w:t>
      </w:r>
      <w:r>
        <w:rPr>
          <w:spacing w:val="-3"/>
        </w:rPr>
        <w:t> </w:t>
      </w:r>
      <w:r>
        <w:rPr/>
        <w:t>is</w:t>
      </w:r>
      <w:r>
        <w:rPr>
          <w:spacing w:val="-1"/>
        </w:rPr>
        <w:t> </w:t>
      </w:r>
      <w:r>
        <w:rPr/>
        <w:t>39%,</w:t>
      </w:r>
      <w:r>
        <w:rPr>
          <w:spacing w:val="-2"/>
        </w:rPr>
        <w:t> </w:t>
      </w:r>
      <w:r>
        <w:rPr/>
        <w:t>the</w:t>
      </w:r>
      <w:r>
        <w:rPr>
          <w:spacing w:val="-4"/>
        </w:rPr>
        <w:t> </w:t>
      </w:r>
      <w:r>
        <w:rPr/>
        <w:t>same</w:t>
      </w:r>
      <w:r>
        <w:rPr>
          <w:spacing w:val="-2"/>
        </w:rPr>
        <w:t> </w:t>
      </w:r>
      <w:r>
        <w:rPr/>
        <w:t>for</w:t>
      </w:r>
      <w:r>
        <w:rPr>
          <w:spacing w:val="-2"/>
        </w:rPr>
        <w:t> </w:t>
      </w:r>
      <w:r>
        <w:rPr/>
        <w:t>Kennewick,</w:t>
      </w:r>
      <w:r>
        <w:rPr>
          <w:spacing w:val="-2"/>
        </w:rPr>
        <w:t> </w:t>
      </w:r>
      <w:r>
        <w:rPr>
          <w:spacing w:val="-3"/>
        </w:rPr>
        <w:t>and </w:t>
      </w:r>
      <w:r>
        <w:rPr/>
        <w:t>slightly</w:t>
      </w:r>
      <w:r>
        <w:rPr>
          <w:spacing w:val="-12"/>
        </w:rPr>
        <w:t> </w:t>
      </w:r>
      <w:r>
        <w:rPr/>
        <w:t>lower</w:t>
      </w:r>
      <w:r>
        <w:rPr>
          <w:spacing w:val="-11"/>
        </w:rPr>
        <w:t> </w:t>
      </w:r>
      <w:r>
        <w:rPr/>
        <w:t>than</w:t>
      </w:r>
      <w:r>
        <w:rPr>
          <w:spacing w:val="-11"/>
        </w:rPr>
        <w:t> </w:t>
      </w:r>
      <w:r>
        <w:rPr/>
        <w:t>Pasco’s</w:t>
      </w:r>
      <w:r>
        <w:rPr>
          <w:spacing w:val="-9"/>
        </w:rPr>
        <w:t> </w:t>
      </w:r>
      <w:r>
        <w:rPr/>
        <w:t>40%.</w:t>
      </w:r>
      <w:r>
        <w:rPr>
          <w:spacing w:val="-10"/>
        </w:rPr>
        <w:t> </w:t>
      </w:r>
      <w:r>
        <w:rPr/>
        <w:t>However,</w:t>
      </w:r>
      <w:r>
        <w:rPr>
          <w:spacing w:val="-10"/>
        </w:rPr>
        <w:t> </w:t>
      </w:r>
      <w:r>
        <w:rPr/>
        <w:t>Richland</w:t>
      </w:r>
      <w:r>
        <w:rPr>
          <w:spacing w:val="-13"/>
        </w:rPr>
        <w:t> </w:t>
      </w:r>
      <w:r>
        <w:rPr/>
        <w:t>has</w:t>
      </w:r>
      <w:r>
        <w:rPr>
          <w:spacing w:val="-10"/>
        </w:rPr>
        <w:t> </w:t>
      </w:r>
      <w:r>
        <w:rPr/>
        <w:t>a</w:t>
      </w:r>
      <w:r>
        <w:rPr>
          <w:spacing w:val="-10"/>
        </w:rPr>
        <w:t> </w:t>
      </w:r>
      <w:r>
        <w:rPr/>
        <w:t>relatively</w:t>
      </w:r>
      <w:r>
        <w:rPr>
          <w:spacing w:val="-11"/>
        </w:rPr>
        <w:t> </w:t>
      </w:r>
      <w:r>
        <w:rPr/>
        <w:t>high</w:t>
      </w:r>
      <w:r>
        <w:rPr>
          <w:spacing w:val="-10"/>
        </w:rPr>
        <w:t> </w:t>
      </w:r>
      <w:r>
        <w:rPr/>
        <w:t>population</w:t>
      </w:r>
      <w:r>
        <w:rPr>
          <w:spacing w:val="-11"/>
        </w:rPr>
        <w:t> </w:t>
      </w:r>
      <w:r>
        <w:rPr/>
        <w:t>of</w:t>
      </w:r>
      <w:r>
        <w:rPr>
          <w:spacing w:val="-10"/>
        </w:rPr>
        <w:t> </w:t>
      </w:r>
      <w:r>
        <w:rPr/>
        <w:t>residents</w:t>
      </w:r>
      <w:r>
        <w:rPr>
          <w:spacing w:val="-9"/>
        </w:rPr>
        <w:t> </w:t>
      </w:r>
      <w:r>
        <w:rPr/>
        <w:t>over age 55 (28%) as compared to Kennewick (23%) and Pasco (15%). Given this, the share of children, those under 18 years of age, in Richland is low (25%) as compared to Kennewick (28%) and Pasco (34%).</w:t>
      </w:r>
    </w:p>
    <w:p>
      <w:pPr>
        <w:spacing w:before="118"/>
        <w:ind w:left="140" w:right="0" w:firstLine="0"/>
        <w:jc w:val="both"/>
        <w:rPr>
          <w:rFonts w:ascii="Arial" w:hAnsi="Arial"/>
          <w:b/>
          <w:sz w:val="20"/>
        </w:rPr>
      </w:pPr>
      <w:r>
        <w:rPr/>
        <w:pict>
          <v:group style="position:absolute;margin-left:71.625pt;margin-top:23.095871pt;width:389.25pt;height:237.6pt;mso-position-horizontal-relative:page;mso-position-vertical-relative:paragraph;z-index:-251627520;mso-wrap-distance-left:0;mso-wrap-distance-right:0" coordorigin="1433,462" coordsize="7785,4752">
            <v:line style="position:absolute" from="8580,3925" to="8990,3925" stroked="true" strokeweight=".75pt" strokecolor="#d9d9d9">
              <v:stroke dashstyle="solid"/>
            </v:line>
            <v:line style="position:absolute" from="7210,3925" to="8030,3925" stroked="true" strokeweight=".75pt" strokecolor="#d9d9d9">
              <v:stroke dashstyle="solid"/>
            </v:line>
            <v:line style="position:absolute" from="8580,3565" to="8990,3565" stroked="true" strokeweight=".75pt" strokecolor="#d9d9d9">
              <v:stroke dashstyle="solid"/>
            </v:line>
            <v:line style="position:absolute" from="7210,3565" to="8030,3565" stroked="true" strokeweight=".75pt" strokecolor="#d9d9d9">
              <v:stroke dashstyle="solid"/>
            </v:line>
            <v:line style="position:absolute" from="8580,3207" to="8990,3207" stroked="true" strokeweight=".75pt" strokecolor="#d9d9d9">
              <v:stroke dashstyle="solid"/>
            </v:line>
            <v:line style="position:absolute" from="7210,3207" to="8030,3207" stroked="true" strokeweight=".75pt" strokecolor="#d9d9d9">
              <v:stroke dashstyle="solid"/>
            </v:line>
            <v:rect style="position:absolute;left:8030;top:3080;width:550;height:1205" filled="true" fillcolor="#c0504d" stroked="false">
              <v:fill type="solid"/>
            </v:rect>
            <v:line style="position:absolute" from="5839,3925" to="6660,3925" stroked="true" strokeweight=".75pt" strokecolor="#d9d9d9">
              <v:stroke dashstyle="solid"/>
            </v:line>
            <v:line style="position:absolute" from="4469,3925" to="5290,3925" stroked="true" strokeweight=".75pt" strokecolor="#d9d9d9">
              <v:stroke dashstyle="solid"/>
            </v:line>
            <v:line style="position:absolute" from="5839,3565" to="6660,3565" stroked="true" strokeweight=".75pt" strokecolor="#d9d9d9">
              <v:stroke dashstyle="solid"/>
            </v:line>
            <v:line style="position:absolute" from="4469,3565" to="5290,3565" stroked="true" strokeweight=".75pt" strokecolor="#d9d9d9">
              <v:stroke dashstyle="solid"/>
            </v:line>
            <v:line style="position:absolute" from="5839,3207" to="6660,3207" stroked="true" strokeweight=".75pt" strokecolor="#d9d9d9">
              <v:stroke dashstyle="solid"/>
            </v:line>
            <v:line style="position:absolute" from="4469,3207" to="5290,3207" stroked="true" strokeweight=".75pt" strokecolor="#d9d9d9">
              <v:stroke dashstyle="solid"/>
            </v:line>
            <v:rect style="position:absolute;left:5289;top:3056;width:550;height:1229" filled="true" fillcolor="#c0504d" stroked="false">
              <v:fill type="solid"/>
            </v:rect>
            <v:line style="position:absolute" from="3098,3925" to="3922,3925" stroked="true" strokeweight=".75pt" strokecolor="#d9d9d9">
              <v:stroke dashstyle="solid"/>
            </v:line>
            <v:line style="position:absolute" from="3098,3565" to="3922,3565" stroked="true" strokeweight=".75pt" strokecolor="#d9d9d9">
              <v:stroke dashstyle="solid"/>
            </v:line>
            <v:line style="position:absolute" from="3098,3207" to="3922,3207" stroked="true" strokeweight=".75pt" strokecolor="#d9d9d9">
              <v:stroke dashstyle="solid"/>
            </v:line>
            <v:rect style="position:absolute;left:3921;top:3284;width:548;height:1001" filled="true" fillcolor="#c0504d" stroked="false">
              <v:fill type="solid"/>
            </v:rect>
            <v:rect style="position:absolute;left:6660;top:3320;width:550;height:965" filled="true" fillcolor="#c0504d" stroked="false">
              <v:fill type="solid"/>
            </v:rect>
            <v:line style="position:absolute" from="2139,3925" to="2551,3925" stroked="true" strokeweight=".75pt" strokecolor="#d9d9d9">
              <v:stroke dashstyle="solid"/>
            </v:line>
            <v:line style="position:absolute" from="2139,3565" to="2551,3565" stroked="true" strokeweight=".75pt" strokecolor="#d9d9d9">
              <v:stroke dashstyle="solid"/>
            </v:line>
            <v:rect style="position:absolute;left:2551;top:3380;width:548;height:905" filled="true" fillcolor="#c0504d" stroked="false">
              <v:fill type="solid"/>
            </v:rect>
            <v:line style="position:absolute" from="2139,3207" to="2551,3207" stroked="true" strokeweight=".75pt" strokecolor="#d9d9d9">
              <v:stroke dashstyle="solid"/>
            </v:line>
            <v:rect style="position:absolute;left:2551;top:3075;width:548;height:305" filled="true" fillcolor="#9bba58" stroked="false">
              <v:fill type="solid"/>
            </v:rect>
            <v:line style="position:absolute" from="4469,2847" to="5290,2847" stroked="true" strokeweight=".75pt" strokecolor="#d9d9d9">
              <v:stroke dashstyle="solid"/>
            </v:line>
            <v:line style="position:absolute" from="3098,2847" to="3922,2847" stroked="true" strokeweight=".75pt" strokecolor="#d9d9d9">
              <v:stroke dashstyle="solid"/>
            </v:line>
            <v:rect style="position:absolute;left:3921;top:2909;width:548;height:375" filled="true" fillcolor="#9bba58" stroked="false">
              <v:fill type="solid"/>
            </v:rect>
            <v:line style="position:absolute" from="5839,2847" to="6660,2847" stroked="true" strokeweight=".75pt" strokecolor="#d9d9d9">
              <v:stroke dashstyle="solid"/>
            </v:line>
            <v:rect style="position:absolute;left:5289;top:2688;width:550;height:368" filled="true" fillcolor="#9bba58" stroked="false">
              <v:fill type="solid"/>
            </v:rect>
            <v:rect style="position:absolute;left:6660;top:2991;width:550;height:329" filled="true" fillcolor="#9bba58" stroked="false">
              <v:fill type="solid"/>
            </v:rect>
            <v:line style="position:absolute" from="8580,2847" to="8990,2847" stroked="true" strokeweight=".75pt" strokecolor="#d9d9d9">
              <v:stroke dashstyle="solid"/>
            </v:line>
            <v:line style="position:absolute" from="7210,2847" to="8030,2847" stroked="true" strokeweight=".75pt" strokecolor="#d9d9d9">
              <v:stroke dashstyle="solid"/>
            </v:line>
            <v:rect style="position:absolute;left:8030;top:2727;width:550;height:353" filled="true" fillcolor="#9bba58" stroked="false">
              <v:fill type="solid"/>
            </v:rect>
            <v:line style="position:absolute" from="2139,2847" to="2551,2847" stroked="true" strokeweight=".75pt" strokecolor="#d9d9d9">
              <v:stroke dashstyle="solid"/>
            </v:line>
            <v:line style="position:absolute" from="3098,2487" to="3922,2487" stroked="true" strokeweight=".75pt" strokecolor="#d9d9d9">
              <v:stroke dashstyle="solid"/>
            </v:line>
            <v:line style="position:absolute" from="2139,2487" to="2551,2487" stroked="true" strokeweight=".75pt" strokecolor="#d9d9d9">
              <v:stroke dashstyle="solid"/>
            </v:line>
            <v:line style="position:absolute" from="3098,2127" to="3922,2127" stroked="true" strokeweight=".75pt" strokecolor="#d9d9d9">
              <v:stroke dashstyle="solid"/>
            </v:line>
            <v:line style="position:absolute" from="2139,2127" to="2551,2127" stroked="true" strokeweight=".75pt" strokecolor="#d9d9d9">
              <v:stroke dashstyle="solid"/>
            </v:line>
            <v:line style="position:absolute" from="3098,1767" to="3922,1767" stroked="true" strokeweight=".75pt" strokecolor="#d9d9d9">
              <v:stroke dashstyle="solid"/>
            </v:line>
            <v:line style="position:absolute" from="2139,1767" to="2551,1767" stroked="true" strokeweight=".75pt" strokecolor="#d9d9d9">
              <v:stroke dashstyle="solid"/>
            </v:line>
            <v:rect style="position:absolute;left:2551;top:1680;width:548;height:1395" filled="true" fillcolor="#8063a1" stroked="false">
              <v:fill type="solid"/>
            </v:rect>
            <v:line style="position:absolute" from="4469,2487" to="5290,2487" stroked="true" strokeweight=".75pt" strokecolor="#d9d9d9">
              <v:stroke dashstyle="solid"/>
            </v:line>
            <v:line style="position:absolute" from="4469,2127" to="5290,2127" stroked="true" strokeweight=".75pt" strokecolor="#d9d9d9">
              <v:stroke dashstyle="solid"/>
            </v:line>
            <v:line style="position:absolute" from="4469,1767" to="5290,1767" stroked="true" strokeweight=".75pt" strokecolor="#d9d9d9">
              <v:stroke dashstyle="solid"/>
            </v:line>
            <v:rect style="position:absolute;left:3921;top:1508;width:548;height:1402" filled="true" fillcolor="#8063a1" stroked="false">
              <v:fill type="solid"/>
            </v:rect>
            <v:line style="position:absolute" from="5839,2487" to="6660,2487" stroked="true" strokeweight=".75pt" strokecolor="#d9d9d9">
              <v:stroke dashstyle="solid"/>
            </v:line>
            <v:line style="position:absolute" from="5839,2127" to="6660,2127" stroked="true" strokeweight=".75pt" strokecolor="#d9d9d9">
              <v:stroke dashstyle="solid"/>
            </v:line>
            <v:line style="position:absolute" from="5839,1767" to="6660,1767" stroked="true" strokeweight=".75pt" strokecolor="#d9d9d9">
              <v:stroke dashstyle="solid"/>
            </v:line>
            <v:line style="position:absolute" from="5839,1410" to="6660,1410" stroked="true" strokeweight=".75pt" strokecolor="#d9d9d9">
              <v:stroke dashstyle="solid"/>
            </v:line>
            <v:line style="position:absolute" from="4469,1410" to="5290,1410" stroked="true" strokeweight=".75pt" strokecolor="#d9d9d9">
              <v:stroke dashstyle="solid"/>
            </v:line>
            <v:rect style="position:absolute;left:5289;top:1241;width:550;height:1448" filled="true" fillcolor="#8063a1" stroked="false">
              <v:fill type="solid"/>
            </v:rect>
            <v:line style="position:absolute" from="7210,2487" to="8030,2487" stroked="true" strokeweight=".75pt" strokecolor="#d9d9d9">
              <v:stroke dashstyle="solid"/>
            </v:line>
            <v:line style="position:absolute" from="7210,2127" to="8030,2127" stroked="true" strokeweight=".75pt" strokecolor="#d9d9d9">
              <v:stroke dashstyle="solid"/>
            </v:line>
            <v:line style="position:absolute" from="7210,1767" to="8030,1767" stroked="true" strokeweight=".75pt" strokecolor="#d9d9d9">
              <v:stroke dashstyle="solid"/>
            </v:line>
            <v:rect style="position:absolute;left:6660;top:1604;width:550;height:1388" filled="true" fillcolor="#8063a1" stroked="false">
              <v:fill type="solid"/>
            </v:rect>
            <v:line style="position:absolute" from="8580,2487" to="8990,2487" stroked="true" strokeweight=".75pt" strokecolor="#d9d9d9">
              <v:stroke dashstyle="solid"/>
            </v:line>
            <v:line style="position:absolute" from="8580,2127" to="8990,2127" stroked="true" strokeweight=".75pt" strokecolor="#d9d9d9">
              <v:stroke dashstyle="solid"/>
            </v:line>
            <v:line style="position:absolute" from="8580,1767" to="8990,1767" stroked="true" strokeweight=".75pt" strokecolor="#d9d9d9">
              <v:stroke dashstyle="solid"/>
            </v:line>
            <v:line style="position:absolute" from="8580,1410" to="8990,1410" stroked="true" strokeweight=".75pt" strokecolor="#d9d9d9">
              <v:stroke dashstyle="solid"/>
            </v:line>
            <v:line style="position:absolute" from="7210,1410" to="8030,1410" stroked="true" strokeweight=".75pt" strokecolor="#d9d9d9">
              <v:stroke dashstyle="solid"/>
            </v:line>
            <v:rect style="position:absolute;left:8030;top:1284;width:550;height:1443" filled="true" fillcolor="#8063a1" stroked="false">
              <v:fill type="solid"/>
            </v:rect>
            <v:line style="position:absolute" from="8580,1050" to="8990,1050" stroked="true" strokeweight=".75pt" strokecolor="#d9d9d9">
              <v:stroke dashstyle="solid"/>
            </v:line>
            <v:line style="position:absolute" from="7210,1050" to="8030,1050" stroked="true" strokeweight=".75pt" strokecolor="#d9d9d9">
              <v:stroke dashstyle="solid"/>
            </v:line>
            <v:line style="position:absolute" from="2139,689" to="8990,689" stroked="true" strokeweight=".75pt" strokecolor="#d9d9d9">
              <v:stroke dashstyle="solid"/>
            </v:line>
            <v:rect style="position:absolute;left:8030;top:689;width:550;height:596" filled="true" fillcolor="#4aacc5" stroked="false">
              <v:fill type="solid"/>
            </v:rect>
            <v:line style="position:absolute" from="5839,1050" to="6660,1050" stroked="true" strokeweight=".75pt" strokecolor="#d9d9d9">
              <v:stroke dashstyle="solid"/>
            </v:line>
            <v:rect style="position:absolute;left:6660;top:689;width:550;height:915" filled="true" fillcolor="#4aacc5" stroked="false">
              <v:fill type="solid"/>
            </v:rect>
            <v:line style="position:absolute" from="4469,1050" to="5290,1050" stroked="true" strokeweight=".75pt" strokecolor="#d9d9d9">
              <v:stroke dashstyle="solid"/>
            </v:line>
            <v:rect style="position:absolute;left:5289;top:689;width:550;height:553" filled="true" fillcolor="#4aacc5" stroked="false">
              <v:fill type="solid"/>
            </v:rect>
            <v:line style="position:absolute" from="3098,1410" to="3922,1410" stroked="true" strokeweight=".75pt" strokecolor="#d9d9d9">
              <v:stroke dashstyle="solid"/>
            </v:line>
            <v:line style="position:absolute" from="3098,1050" to="3922,1050" stroked="true" strokeweight=".75pt" strokecolor="#d9d9d9">
              <v:stroke dashstyle="solid"/>
            </v:line>
            <v:rect style="position:absolute;left:3921;top:689;width:548;height:819" filled="true" fillcolor="#4aacc5" stroked="false">
              <v:fill type="solid"/>
            </v:rect>
            <v:line style="position:absolute" from="2139,1410" to="2551,1410" stroked="true" strokeweight=".75pt" strokecolor="#d9d9d9">
              <v:stroke dashstyle="solid"/>
            </v:line>
            <v:line style="position:absolute" from="2139,1050" to="2551,1050" stroked="true" strokeweight=".75pt" strokecolor="#d9d9d9">
              <v:stroke dashstyle="solid"/>
            </v:line>
            <v:rect style="position:absolute;left:2551;top:689;width:548;height:992" filled="true" fillcolor="#4aacc5" stroked="false">
              <v:fill type="solid"/>
            </v:rect>
            <v:line style="position:absolute" from="2139,4285" to="8990,4285" stroked="true" strokeweight=".75pt" strokecolor="#d9d9d9">
              <v:stroke dashstyle="solid"/>
            </v:line>
            <v:rect style="position:absolute;left:3739;top:4868;width:99;height:99" filled="true" fillcolor="#c0504d" stroked="false">
              <v:fill type="solid"/>
            </v:rect>
            <v:rect style="position:absolute;left:4735;top:4868;width:99;height:99" filled="true" fillcolor="#9bba58" stroked="false">
              <v:fill type="solid"/>
            </v:rect>
            <v:rect style="position:absolute;left:5652;top:4868;width:99;height:99" filled="true" fillcolor="#8063a1" stroked="false">
              <v:fill type="solid"/>
            </v:rect>
            <v:rect style="position:absolute;left:6569;top:4868;width:99;height:99" filled="true" fillcolor="#4aacc5" stroked="false">
              <v:fill type="solid"/>
            </v:rect>
            <v:rect style="position:absolute;left:1440;top:469;width:7770;height:4737" filled="false" stroked="true" strokeweight=".75pt" strokecolor="#000000">
              <v:stroke dashstyle="solid"/>
            </v:rect>
            <v:shape style="position:absolute;left:3880;top:4833;width:3122;height:180" type="#_x0000_t202" filled="false" stroked="false">
              <v:textbox inset="0,0,0,0">
                <w:txbxContent>
                  <w:p>
                    <w:pPr>
                      <w:tabs>
                        <w:tab w:pos="995" w:val="left" w:leader="none"/>
                        <w:tab w:pos="1912" w:val="left" w:leader="none"/>
                        <w:tab w:pos="2829" w:val="left" w:leader="none"/>
                      </w:tabs>
                      <w:spacing w:line="180" w:lineRule="exact" w:before="0"/>
                      <w:ind w:left="0" w:right="0" w:firstLine="0"/>
                      <w:jc w:val="left"/>
                      <w:rPr>
                        <w:rFonts w:ascii="Calibri"/>
                        <w:sz w:val="18"/>
                      </w:rPr>
                    </w:pPr>
                    <w:r>
                      <w:rPr>
                        <w:rFonts w:ascii="Calibri"/>
                        <w:color w:val="585858"/>
                        <w:sz w:val="18"/>
                      </w:rPr>
                      <w:t>Under</w:t>
                    </w:r>
                    <w:r>
                      <w:rPr>
                        <w:rFonts w:ascii="Calibri"/>
                        <w:color w:val="585858"/>
                        <w:spacing w:val="-2"/>
                        <w:sz w:val="18"/>
                      </w:rPr>
                      <w:t> </w:t>
                    </w:r>
                    <w:r>
                      <w:rPr>
                        <w:rFonts w:ascii="Calibri"/>
                        <w:color w:val="585858"/>
                        <w:sz w:val="18"/>
                      </w:rPr>
                      <w:t>18</w:t>
                      <w:tab/>
                      <w:t>18 to 24</w:t>
                      <w:tab/>
                      <w:t>25 to</w:t>
                    </w:r>
                    <w:r>
                      <w:rPr>
                        <w:rFonts w:ascii="Calibri"/>
                        <w:color w:val="585858"/>
                        <w:spacing w:val="1"/>
                        <w:sz w:val="18"/>
                      </w:rPr>
                      <w:t> </w:t>
                    </w:r>
                    <w:r>
                      <w:rPr>
                        <w:rFonts w:ascii="Calibri"/>
                        <w:color w:val="585858"/>
                        <w:sz w:val="18"/>
                      </w:rPr>
                      <w:t>54</w:t>
                      <w:tab/>
                      <w:t>55+</w:t>
                    </w:r>
                  </w:p>
                </w:txbxContent>
              </v:textbox>
              <w10:wrap type="none"/>
            </v:shape>
            <v:shape style="position:absolute;left:6387;top:4433;width:2511;height:180" type="#_x0000_t202" filled="false" stroked="false">
              <v:textbox inset="0,0,0,0">
                <w:txbxContent>
                  <w:p>
                    <w:pPr>
                      <w:tabs>
                        <w:tab w:pos="1343" w:val="left" w:leader="none"/>
                      </w:tabs>
                      <w:spacing w:line="180" w:lineRule="exact" w:before="0"/>
                      <w:ind w:left="0" w:right="0" w:firstLine="0"/>
                      <w:jc w:val="left"/>
                      <w:rPr>
                        <w:rFonts w:ascii="Calibri"/>
                        <w:sz w:val="18"/>
                      </w:rPr>
                    </w:pPr>
                    <w:r>
                      <w:rPr>
                        <w:rFonts w:ascii="Calibri"/>
                        <w:color w:val="585858"/>
                        <w:sz w:val="18"/>
                      </w:rPr>
                      <w:t>Benton</w:t>
                    </w:r>
                    <w:r>
                      <w:rPr>
                        <w:rFonts w:ascii="Calibri"/>
                        <w:color w:val="585858"/>
                        <w:spacing w:val="-1"/>
                        <w:sz w:val="18"/>
                      </w:rPr>
                      <w:t> </w:t>
                    </w:r>
                    <w:r>
                      <w:rPr>
                        <w:rFonts w:ascii="Calibri"/>
                        <w:color w:val="585858"/>
                        <w:sz w:val="18"/>
                      </w:rPr>
                      <w:t>County</w:t>
                      <w:tab/>
                      <w:t>Franklin</w:t>
                    </w:r>
                    <w:r>
                      <w:rPr>
                        <w:rFonts w:ascii="Calibri"/>
                        <w:color w:val="585858"/>
                        <w:spacing w:val="-3"/>
                        <w:sz w:val="18"/>
                      </w:rPr>
                      <w:t> </w:t>
                    </w:r>
                    <w:r>
                      <w:rPr>
                        <w:rFonts w:ascii="Calibri"/>
                        <w:color w:val="585858"/>
                        <w:sz w:val="18"/>
                      </w:rPr>
                      <w:t>County</w:t>
                    </w:r>
                  </w:p>
                </w:txbxContent>
              </v:textbox>
              <w10:wrap type="none"/>
            </v:shape>
            <v:shape style="position:absolute;left:5354;top:4433;width:442;height:180" type="#_x0000_t202" filled="false" stroked="false">
              <v:textbox inset="0,0,0,0">
                <w:txbxContent>
                  <w:p>
                    <w:pPr>
                      <w:spacing w:line="180" w:lineRule="exact" w:before="0"/>
                      <w:ind w:left="0" w:right="0" w:firstLine="0"/>
                      <w:jc w:val="left"/>
                      <w:rPr>
                        <w:rFonts w:ascii="Calibri"/>
                        <w:sz w:val="18"/>
                      </w:rPr>
                    </w:pPr>
                    <w:r>
                      <w:rPr>
                        <w:rFonts w:ascii="Calibri"/>
                        <w:color w:val="585858"/>
                        <w:sz w:val="18"/>
                      </w:rPr>
                      <w:t>Pasco</w:t>
                    </w:r>
                  </w:p>
                </w:txbxContent>
              </v:textbox>
              <w10:wrap type="none"/>
            </v:shape>
            <v:shape style="position:absolute;left:3799;top:4433;width:810;height:180" type="#_x0000_t202" filled="false" stroked="false">
              <v:textbox inset="0,0,0,0">
                <w:txbxContent>
                  <w:p>
                    <w:pPr>
                      <w:spacing w:line="180" w:lineRule="exact" w:before="0"/>
                      <w:ind w:left="0" w:right="0" w:firstLine="0"/>
                      <w:jc w:val="left"/>
                      <w:rPr>
                        <w:rFonts w:ascii="Calibri"/>
                        <w:sz w:val="18"/>
                      </w:rPr>
                    </w:pPr>
                    <w:r>
                      <w:rPr>
                        <w:rFonts w:ascii="Calibri"/>
                        <w:color w:val="585858"/>
                        <w:sz w:val="18"/>
                      </w:rPr>
                      <w:t>Kennewick</w:t>
                    </w:r>
                  </w:p>
                </w:txbxContent>
              </v:textbox>
              <w10:wrap type="none"/>
            </v:shape>
            <v:shape style="position:absolute;left:2511;top:4433;width:648;height:180" type="#_x0000_t202" filled="false" stroked="false">
              <v:textbox inset="0,0,0,0">
                <w:txbxContent>
                  <w:p>
                    <w:pPr>
                      <w:spacing w:line="180" w:lineRule="exact" w:before="0"/>
                      <w:ind w:left="0" w:right="0" w:firstLine="0"/>
                      <w:jc w:val="left"/>
                      <w:rPr>
                        <w:rFonts w:ascii="Calibri"/>
                        <w:sz w:val="18"/>
                      </w:rPr>
                    </w:pPr>
                    <w:r>
                      <w:rPr>
                        <w:rFonts w:ascii="Calibri"/>
                        <w:color w:val="585858"/>
                        <w:sz w:val="18"/>
                      </w:rPr>
                      <w:t>Richland</w:t>
                    </w:r>
                  </w:p>
                </w:txbxContent>
              </v:textbox>
              <w10:wrap type="none"/>
            </v:shape>
            <v:shape style="position:absolute;left:1569;top:604;width:423;height:3777" type="#_x0000_t202" filled="false" stroked="false">
              <v:textbox inset="0,0,0,0">
                <w:txbxContent>
                  <w:p>
                    <w:pPr>
                      <w:spacing w:line="183" w:lineRule="exact" w:before="0"/>
                      <w:ind w:left="0" w:right="18" w:firstLine="0"/>
                      <w:jc w:val="right"/>
                      <w:rPr>
                        <w:rFonts w:ascii="Calibri"/>
                        <w:sz w:val="18"/>
                      </w:rPr>
                    </w:pPr>
                    <w:r>
                      <w:rPr>
                        <w:rFonts w:ascii="Calibri"/>
                        <w:color w:val="585858"/>
                        <w:sz w:val="18"/>
                      </w:rPr>
                      <w:t>100%</w:t>
                    </w:r>
                  </w:p>
                  <w:p>
                    <w:pPr>
                      <w:spacing w:before="140"/>
                      <w:ind w:left="91" w:right="0" w:firstLine="0"/>
                      <w:jc w:val="left"/>
                      <w:rPr>
                        <w:rFonts w:ascii="Calibri"/>
                        <w:sz w:val="18"/>
                      </w:rPr>
                    </w:pPr>
                    <w:r>
                      <w:rPr>
                        <w:rFonts w:ascii="Calibri"/>
                        <w:color w:val="585858"/>
                        <w:sz w:val="18"/>
                      </w:rPr>
                      <w:t>90%</w:t>
                    </w:r>
                  </w:p>
                  <w:p>
                    <w:pPr>
                      <w:spacing w:before="140"/>
                      <w:ind w:left="91" w:right="0" w:firstLine="0"/>
                      <w:jc w:val="left"/>
                      <w:rPr>
                        <w:rFonts w:ascii="Calibri"/>
                        <w:sz w:val="18"/>
                      </w:rPr>
                    </w:pPr>
                    <w:r>
                      <w:rPr>
                        <w:rFonts w:ascii="Calibri"/>
                        <w:color w:val="585858"/>
                        <w:sz w:val="18"/>
                      </w:rPr>
                      <w:t>80%</w:t>
                    </w:r>
                  </w:p>
                  <w:p>
                    <w:pPr>
                      <w:spacing w:before="139"/>
                      <w:ind w:left="91" w:right="0" w:firstLine="0"/>
                      <w:jc w:val="left"/>
                      <w:rPr>
                        <w:rFonts w:ascii="Calibri"/>
                        <w:sz w:val="18"/>
                      </w:rPr>
                    </w:pPr>
                    <w:r>
                      <w:rPr>
                        <w:rFonts w:ascii="Calibri"/>
                        <w:color w:val="585858"/>
                        <w:sz w:val="18"/>
                      </w:rPr>
                      <w:t>70%</w:t>
                    </w:r>
                  </w:p>
                  <w:p>
                    <w:pPr>
                      <w:spacing w:before="140"/>
                      <w:ind w:left="91" w:right="0" w:firstLine="0"/>
                      <w:jc w:val="left"/>
                      <w:rPr>
                        <w:rFonts w:ascii="Calibri"/>
                        <w:sz w:val="18"/>
                      </w:rPr>
                    </w:pPr>
                    <w:r>
                      <w:rPr>
                        <w:rFonts w:ascii="Calibri"/>
                        <w:color w:val="585858"/>
                        <w:sz w:val="18"/>
                      </w:rPr>
                      <w:t>60%</w:t>
                    </w:r>
                  </w:p>
                  <w:p>
                    <w:pPr>
                      <w:spacing w:before="140"/>
                      <w:ind w:left="91" w:right="0" w:firstLine="0"/>
                      <w:jc w:val="left"/>
                      <w:rPr>
                        <w:rFonts w:ascii="Calibri"/>
                        <w:sz w:val="18"/>
                      </w:rPr>
                    </w:pPr>
                    <w:r>
                      <w:rPr>
                        <w:rFonts w:ascii="Calibri"/>
                        <w:color w:val="585858"/>
                        <w:sz w:val="18"/>
                      </w:rPr>
                      <w:t>50%</w:t>
                    </w:r>
                  </w:p>
                  <w:p>
                    <w:pPr>
                      <w:spacing w:before="140"/>
                      <w:ind w:left="91" w:right="0" w:firstLine="0"/>
                      <w:jc w:val="left"/>
                      <w:rPr>
                        <w:rFonts w:ascii="Calibri"/>
                        <w:sz w:val="18"/>
                      </w:rPr>
                    </w:pPr>
                    <w:r>
                      <w:rPr>
                        <w:rFonts w:ascii="Calibri"/>
                        <w:color w:val="585858"/>
                        <w:sz w:val="18"/>
                      </w:rPr>
                      <w:t>40%</w:t>
                    </w:r>
                  </w:p>
                  <w:p>
                    <w:pPr>
                      <w:spacing w:before="140"/>
                      <w:ind w:left="91" w:right="0" w:firstLine="0"/>
                      <w:jc w:val="left"/>
                      <w:rPr>
                        <w:rFonts w:ascii="Calibri"/>
                        <w:sz w:val="18"/>
                      </w:rPr>
                    </w:pPr>
                    <w:r>
                      <w:rPr>
                        <w:rFonts w:ascii="Calibri"/>
                        <w:color w:val="585858"/>
                        <w:sz w:val="18"/>
                      </w:rPr>
                      <w:t>30%</w:t>
                    </w:r>
                  </w:p>
                  <w:p>
                    <w:pPr>
                      <w:spacing w:before="140"/>
                      <w:ind w:left="91" w:right="0" w:firstLine="0"/>
                      <w:jc w:val="left"/>
                      <w:rPr>
                        <w:rFonts w:ascii="Calibri"/>
                        <w:sz w:val="18"/>
                      </w:rPr>
                    </w:pPr>
                    <w:r>
                      <w:rPr>
                        <w:rFonts w:ascii="Calibri"/>
                        <w:color w:val="585858"/>
                        <w:sz w:val="18"/>
                      </w:rPr>
                      <w:t>20%</w:t>
                    </w:r>
                  </w:p>
                  <w:p>
                    <w:pPr>
                      <w:spacing w:before="140"/>
                      <w:ind w:left="91" w:right="0" w:firstLine="0"/>
                      <w:jc w:val="left"/>
                      <w:rPr>
                        <w:rFonts w:ascii="Calibri"/>
                        <w:sz w:val="18"/>
                      </w:rPr>
                    </w:pPr>
                    <w:r>
                      <w:rPr>
                        <w:rFonts w:ascii="Calibri"/>
                        <w:color w:val="585858"/>
                        <w:sz w:val="18"/>
                      </w:rPr>
                      <w:t>10%</w:t>
                    </w:r>
                  </w:p>
                  <w:p>
                    <w:pPr>
                      <w:spacing w:line="216" w:lineRule="exact" w:before="140"/>
                      <w:ind w:left="0" w:right="18" w:firstLine="0"/>
                      <w:jc w:val="right"/>
                      <w:rPr>
                        <w:rFonts w:ascii="Calibri"/>
                        <w:sz w:val="18"/>
                      </w:rPr>
                    </w:pPr>
                    <w:r>
                      <w:rPr>
                        <w:rFonts w:ascii="Calibri"/>
                        <w:color w:val="585858"/>
                        <w:sz w:val="18"/>
                      </w:rPr>
                      <w:t>0%</w:t>
                    </w:r>
                  </w:p>
                </w:txbxContent>
              </v:textbox>
              <w10:wrap type="none"/>
            </v:shape>
            <w10:wrap type="topAndBottom"/>
          </v:group>
        </w:pict>
      </w:r>
      <w:bookmarkStart w:name="_bookmark24" w:id="47"/>
      <w:bookmarkEnd w:id="47"/>
      <w:r>
        <w:rPr/>
      </w:r>
      <w:r>
        <w:rPr>
          <w:rFonts w:ascii="Arial" w:hAnsi="Arial"/>
          <w:b/>
          <w:sz w:val="20"/>
        </w:rPr>
        <w:t>Figure ED-14: Age Distribution, Average from 2011 – 2015</w:t>
      </w:r>
    </w:p>
    <w:p>
      <w:pPr>
        <w:spacing w:before="53"/>
        <w:ind w:left="140" w:right="0" w:firstLine="0"/>
        <w:jc w:val="both"/>
        <w:rPr>
          <w:i/>
          <w:sz w:val="20"/>
        </w:rPr>
      </w:pPr>
      <w:r>
        <w:rPr>
          <w:i/>
          <w:sz w:val="20"/>
        </w:rPr>
        <w:t>Source: US Census Bureau, American Community Survey, 2015 5-year, Table B01001.</w:t>
      </w:r>
    </w:p>
    <w:p>
      <w:pPr>
        <w:pStyle w:val="BodyText"/>
        <w:spacing w:before="121"/>
        <w:ind w:left="140" w:right="334"/>
        <w:jc w:val="both"/>
      </w:pPr>
      <w:r>
        <w:rPr/>
        <w:t>Relative to Kennewick and Pasco, Richland is home to a highly educated workforce. The demand for educated engineers and scientists generated by Hanford , PNNL and their subsidiary research and development activities has been a central employment and demographic characteristic for the Tri- Cities Region, in particular for Richland.</w:t>
      </w:r>
    </w:p>
    <w:p>
      <w:pPr>
        <w:spacing w:before="121"/>
        <w:ind w:left="140" w:right="0" w:firstLine="0"/>
        <w:jc w:val="both"/>
        <w:rPr>
          <w:rFonts w:ascii="Arial"/>
          <w:b/>
          <w:sz w:val="20"/>
        </w:rPr>
      </w:pPr>
      <w:r>
        <w:rPr>
          <w:rFonts w:ascii="Arial"/>
          <w:b/>
          <w:sz w:val="20"/>
        </w:rPr>
        <w:t>Table ED-3: Educational Attainment, 2011 - 2015</w:t>
      </w:r>
    </w:p>
    <w:p>
      <w:pPr>
        <w:spacing w:after="0"/>
        <w:jc w:val="both"/>
        <w:rPr>
          <w:rFonts w:ascii="Arial"/>
          <w:sz w:val="20"/>
        </w:rPr>
        <w:sectPr>
          <w:pgSz w:w="12240" w:h="15840"/>
          <w:pgMar w:header="0" w:footer="1132" w:top="1460" w:bottom="1320" w:left="1300" w:right="1100"/>
        </w:sect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86"/>
        <w:gridCol w:w="1584"/>
        <w:gridCol w:w="1932"/>
        <w:gridCol w:w="1601"/>
        <w:gridCol w:w="1522"/>
        <w:gridCol w:w="1157"/>
      </w:tblGrid>
      <w:tr>
        <w:trPr>
          <w:trHeight w:val="971" w:hRule="atLeast"/>
        </w:trPr>
        <w:tc>
          <w:tcPr>
            <w:tcW w:w="1586" w:type="dxa"/>
            <w:shd w:val="clear" w:color="auto" w:fill="B8CCE3"/>
          </w:tcPr>
          <w:p>
            <w:pPr>
              <w:pStyle w:val="TableParagraph"/>
              <w:spacing w:before="0"/>
              <w:ind w:left="0"/>
              <w:rPr>
                <w:rFonts w:ascii="Times New Roman"/>
                <w:sz w:val="20"/>
              </w:rPr>
            </w:pPr>
          </w:p>
        </w:tc>
        <w:tc>
          <w:tcPr>
            <w:tcW w:w="1584" w:type="dxa"/>
            <w:shd w:val="clear" w:color="auto" w:fill="B8CCE3"/>
          </w:tcPr>
          <w:p>
            <w:pPr>
              <w:pStyle w:val="TableParagraph"/>
              <w:spacing w:line="264" w:lineRule="auto" w:before="119"/>
              <w:ind w:left="108" w:right="136"/>
              <w:rPr>
                <w:b/>
                <w:sz w:val="22"/>
              </w:rPr>
            </w:pPr>
            <w:r>
              <w:rPr>
                <w:b/>
                <w:sz w:val="22"/>
              </w:rPr>
              <w:t>Population 25 Years and</w:t>
            </w:r>
          </w:p>
          <w:p>
            <w:pPr>
              <w:pStyle w:val="TableParagraph"/>
              <w:spacing w:before="2"/>
              <w:ind w:left="108"/>
              <w:rPr>
                <w:b/>
                <w:sz w:val="22"/>
              </w:rPr>
            </w:pPr>
            <w:r>
              <w:rPr>
                <w:b/>
                <w:sz w:val="22"/>
              </w:rPr>
              <w:t>Over</w:t>
            </w:r>
          </w:p>
        </w:tc>
        <w:tc>
          <w:tcPr>
            <w:tcW w:w="1932" w:type="dxa"/>
            <w:shd w:val="clear" w:color="auto" w:fill="B8CCE3"/>
          </w:tcPr>
          <w:p>
            <w:pPr>
              <w:pStyle w:val="TableParagraph"/>
              <w:spacing w:before="8"/>
              <w:ind w:left="0"/>
              <w:rPr>
                <w:rFonts w:ascii="Arial"/>
                <w:b/>
                <w:sz w:val="22"/>
              </w:rPr>
            </w:pPr>
          </w:p>
          <w:p>
            <w:pPr>
              <w:pStyle w:val="TableParagraph"/>
              <w:spacing w:line="264" w:lineRule="auto" w:before="0"/>
              <w:ind w:left="108" w:right="396"/>
              <w:rPr>
                <w:b/>
                <w:sz w:val="22"/>
              </w:rPr>
            </w:pPr>
            <w:r>
              <w:rPr>
                <w:b/>
                <w:sz w:val="22"/>
              </w:rPr>
              <w:t>High School Diploma/GED</w:t>
            </w:r>
          </w:p>
        </w:tc>
        <w:tc>
          <w:tcPr>
            <w:tcW w:w="1601" w:type="dxa"/>
            <w:shd w:val="clear" w:color="auto" w:fill="B8CCE3"/>
          </w:tcPr>
          <w:p>
            <w:pPr>
              <w:pStyle w:val="TableParagraph"/>
              <w:spacing w:before="8"/>
              <w:ind w:left="0"/>
              <w:rPr>
                <w:rFonts w:ascii="Arial"/>
                <w:b/>
                <w:sz w:val="22"/>
              </w:rPr>
            </w:pPr>
          </w:p>
          <w:p>
            <w:pPr>
              <w:pStyle w:val="TableParagraph"/>
              <w:spacing w:line="264" w:lineRule="auto" w:before="0"/>
              <w:ind w:left="108" w:right="348"/>
              <w:rPr>
                <w:b/>
                <w:sz w:val="22"/>
              </w:rPr>
            </w:pPr>
            <w:r>
              <w:rPr>
                <w:b/>
                <w:sz w:val="22"/>
              </w:rPr>
              <w:t>Associate's Degree</w:t>
            </w:r>
          </w:p>
        </w:tc>
        <w:tc>
          <w:tcPr>
            <w:tcW w:w="1522" w:type="dxa"/>
            <w:shd w:val="clear" w:color="auto" w:fill="B8CCE3"/>
          </w:tcPr>
          <w:p>
            <w:pPr>
              <w:pStyle w:val="TableParagraph"/>
              <w:spacing w:before="8"/>
              <w:ind w:left="0"/>
              <w:rPr>
                <w:rFonts w:ascii="Arial"/>
                <w:b/>
                <w:sz w:val="22"/>
              </w:rPr>
            </w:pPr>
          </w:p>
          <w:p>
            <w:pPr>
              <w:pStyle w:val="TableParagraph"/>
              <w:spacing w:line="264" w:lineRule="auto" w:before="0"/>
              <w:ind w:right="321"/>
              <w:rPr>
                <w:b/>
                <w:sz w:val="22"/>
              </w:rPr>
            </w:pPr>
            <w:r>
              <w:rPr>
                <w:b/>
                <w:sz w:val="22"/>
              </w:rPr>
              <w:t>Bachelor's Degree</w:t>
            </w:r>
          </w:p>
        </w:tc>
        <w:tc>
          <w:tcPr>
            <w:tcW w:w="1157" w:type="dxa"/>
            <w:shd w:val="clear" w:color="auto" w:fill="B8CCE3"/>
          </w:tcPr>
          <w:p>
            <w:pPr>
              <w:pStyle w:val="TableParagraph"/>
              <w:spacing w:before="8"/>
              <w:ind w:left="0"/>
              <w:rPr>
                <w:rFonts w:ascii="Arial"/>
                <w:b/>
                <w:sz w:val="22"/>
              </w:rPr>
            </w:pPr>
          </w:p>
          <w:p>
            <w:pPr>
              <w:pStyle w:val="TableParagraph"/>
              <w:spacing w:line="264" w:lineRule="auto" w:before="0"/>
              <w:ind w:right="80"/>
              <w:rPr>
                <w:b/>
                <w:sz w:val="22"/>
              </w:rPr>
            </w:pPr>
            <w:r>
              <w:rPr>
                <w:b/>
                <w:sz w:val="22"/>
              </w:rPr>
              <w:t>Graduate Degree</w:t>
            </w:r>
          </w:p>
        </w:tc>
      </w:tr>
      <w:tr>
        <w:trPr>
          <w:trHeight w:val="316" w:hRule="atLeast"/>
        </w:trPr>
        <w:tc>
          <w:tcPr>
            <w:tcW w:w="1586" w:type="dxa"/>
          </w:tcPr>
          <w:p>
            <w:pPr>
              <w:pStyle w:val="TableParagraph"/>
              <w:spacing w:line="237" w:lineRule="exact"/>
              <w:rPr>
                <w:sz w:val="22"/>
              </w:rPr>
            </w:pPr>
            <w:r>
              <w:rPr>
                <w:sz w:val="22"/>
              </w:rPr>
              <w:t>Richland</w:t>
            </w:r>
          </w:p>
        </w:tc>
        <w:tc>
          <w:tcPr>
            <w:tcW w:w="1584" w:type="dxa"/>
          </w:tcPr>
          <w:p>
            <w:pPr>
              <w:pStyle w:val="TableParagraph"/>
              <w:spacing w:line="237" w:lineRule="exact"/>
              <w:ind w:left="108"/>
              <w:rPr>
                <w:sz w:val="22"/>
              </w:rPr>
            </w:pPr>
            <w:r>
              <w:rPr>
                <w:sz w:val="22"/>
              </w:rPr>
              <w:t>34,712</w:t>
            </w:r>
          </w:p>
        </w:tc>
        <w:tc>
          <w:tcPr>
            <w:tcW w:w="1932" w:type="dxa"/>
          </w:tcPr>
          <w:p>
            <w:pPr>
              <w:pStyle w:val="TableParagraph"/>
              <w:spacing w:line="237" w:lineRule="exact"/>
              <w:ind w:left="108"/>
              <w:rPr>
                <w:sz w:val="22"/>
              </w:rPr>
            </w:pPr>
            <w:r>
              <w:rPr>
                <w:sz w:val="22"/>
              </w:rPr>
              <w:t>95%</w:t>
            </w:r>
          </w:p>
        </w:tc>
        <w:tc>
          <w:tcPr>
            <w:tcW w:w="1601" w:type="dxa"/>
          </w:tcPr>
          <w:p>
            <w:pPr>
              <w:pStyle w:val="TableParagraph"/>
              <w:spacing w:line="237" w:lineRule="exact"/>
              <w:ind w:left="108"/>
              <w:rPr>
                <w:sz w:val="22"/>
              </w:rPr>
            </w:pPr>
            <w:r>
              <w:rPr>
                <w:sz w:val="22"/>
              </w:rPr>
              <w:t>56%</w:t>
            </w:r>
          </w:p>
        </w:tc>
        <w:tc>
          <w:tcPr>
            <w:tcW w:w="1522" w:type="dxa"/>
          </w:tcPr>
          <w:p>
            <w:pPr>
              <w:pStyle w:val="TableParagraph"/>
              <w:spacing w:line="237" w:lineRule="exact"/>
              <w:rPr>
                <w:sz w:val="22"/>
              </w:rPr>
            </w:pPr>
            <w:r>
              <w:rPr>
                <w:sz w:val="22"/>
              </w:rPr>
              <w:t>45%</w:t>
            </w:r>
          </w:p>
        </w:tc>
        <w:tc>
          <w:tcPr>
            <w:tcW w:w="1157" w:type="dxa"/>
          </w:tcPr>
          <w:p>
            <w:pPr>
              <w:pStyle w:val="TableParagraph"/>
              <w:spacing w:line="237" w:lineRule="exact"/>
              <w:rPr>
                <w:sz w:val="22"/>
              </w:rPr>
            </w:pPr>
            <w:r>
              <w:rPr>
                <w:sz w:val="22"/>
              </w:rPr>
              <w:t>19%</w:t>
            </w:r>
          </w:p>
        </w:tc>
      </w:tr>
      <w:tr>
        <w:trPr>
          <w:trHeight w:val="318" w:hRule="atLeast"/>
        </w:trPr>
        <w:tc>
          <w:tcPr>
            <w:tcW w:w="1586" w:type="dxa"/>
          </w:tcPr>
          <w:p>
            <w:pPr>
              <w:pStyle w:val="TableParagraph"/>
              <w:spacing w:line="237" w:lineRule="exact" w:before="62"/>
              <w:rPr>
                <w:sz w:val="22"/>
              </w:rPr>
            </w:pPr>
            <w:r>
              <w:rPr>
                <w:sz w:val="22"/>
              </w:rPr>
              <w:t>Kennewick</w:t>
            </w:r>
          </w:p>
        </w:tc>
        <w:tc>
          <w:tcPr>
            <w:tcW w:w="1584" w:type="dxa"/>
          </w:tcPr>
          <w:p>
            <w:pPr>
              <w:pStyle w:val="TableParagraph"/>
              <w:spacing w:line="237" w:lineRule="exact" w:before="62"/>
              <w:ind w:left="108"/>
              <w:rPr>
                <w:sz w:val="22"/>
              </w:rPr>
            </w:pPr>
            <w:r>
              <w:rPr>
                <w:sz w:val="22"/>
              </w:rPr>
              <w:t>47,478</w:t>
            </w:r>
          </w:p>
        </w:tc>
        <w:tc>
          <w:tcPr>
            <w:tcW w:w="1932" w:type="dxa"/>
          </w:tcPr>
          <w:p>
            <w:pPr>
              <w:pStyle w:val="TableParagraph"/>
              <w:spacing w:line="237" w:lineRule="exact" w:before="62"/>
              <w:ind w:left="108"/>
              <w:rPr>
                <w:sz w:val="22"/>
              </w:rPr>
            </w:pPr>
            <w:r>
              <w:rPr>
                <w:sz w:val="22"/>
              </w:rPr>
              <w:t>86%</w:t>
            </w:r>
          </w:p>
        </w:tc>
        <w:tc>
          <w:tcPr>
            <w:tcW w:w="1601" w:type="dxa"/>
          </w:tcPr>
          <w:p>
            <w:pPr>
              <w:pStyle w:val="TableParagraph"/>
              <w:spacing w:line="237" w:lineRule="exact" w:before="62"/>
              <w:ind w:left="108"/>
              <w:rPr>
                <w:sz w:val="22"/>
              </w:rPr>
            </w:pPr>
            <w:r>
              <w:rPr>
                <w:sz w:val="22"/>
              </w:rPr>
              <w:t>33%</w:t>
            </w:r>
          </w:p>
        </w:tc>
        <w:tc>
          <w:tcPr>
            <w:tcW w:w="1522" w:type="dxa"/>
          </w:tcPr>
          <w:p>
            <w:pPr>
              <w:pStyle w:val="TableParagraph"/>
              <w:spacing w:line="237" w:lineRule="exact" w:before="62"/>
              <w:rPr>
                <w:sz w:val="22"/>
              </w:rPr>
            </w:pPr>
            <w:r>
              <w:rPr>
                <w:sz w:val="22"/>
              </w:rPr>
              <w:t>22%</w:t>
            </w:r>
          </w:p>
        </w:tc>
        <w:tc>
          <w:tcPr>
            <w:tcW w:w="1157" w:type="dxa"/>
          </w:tcPr>
          <w:p>
            <w:pPr>
              <w:pStyle w:val="TableParagraph"/>
              <w:spacing w:line="237" w:lineRule="exact" w:before="62"/>
              <w:rPr>
                <w:sz w:val="22"/>
              </w:rPr>
            </w:pPr>
            <w:r>
              <w:rPr>
                <w:sz w:val="22"/>
              </w:rPr>
              <w:t>7%</w:t>
            </w:r>
          </w:p>
        </w:tc>
      </w:tr>
      <w:tr>
        <w:trPr>
          <w:trHeight w:val="318" w:hRule="atLeast"/>
        </w:trPr>
        <w:tc>
          <w:tcPr>
            <w:tcW w:w="1586" w:type="dxa"/>
          </w:tcPr>
          <w:p>
            <w:pPr>
              <w:pStyle w:val="TableParagraph"/>
              <w:spacing w:line="239" w:lineRule="exact"/>
              <w:rPr>
                <w:sz w:val="22"/>
              </w:rPr>
            </w:pPr>
            <w:r>
              <w:rPr>
                <w:sz w:val="22"/>
              </w:rPr>
              <w:t>Pasco</w:t>
            </w:r>
          </w:p>
        </w:tc>
        <w:tc>
          <w:tcPr>
            <w:tcW w:w="1584" w:type="dxa"/>
          </w:tcPr>
          <w:p>
            <w:pPr>
              <w:pStyle w:val="TableParagraph"/>
              <w:spacing w:line="239" w:lineRule="exact"/>
              <w:ind w:left="108"/>
              <w:rPr>
                <w:sz w:val="22"/>
              </w:rPr>
            </w:pPr>
            <w:r>
              <w:rPr>
                <w:sz w:val="22"/>
              </w:rPr>
              <w:t>37,479</w:t>
            </w:r>
          </w:p>
        </w:tc>
        <w:tc>
          <w:tcPr>
            <w:tcW w:w="1932" w:type="dxa"/>
          </w:tcPr>
          <w:p>
            <w:pPr>
              <w:pStyle w:val="TableParagraph"/>
              <w:spacing w:line="239" w:lineRule="exact"/>
              <w:ind w:left="108"/>
              <w:rPr>
                <w:sz w:val="22"/>
              </w:rPr>
            </w:pPr>
            <w:r>
              <w:rPr>
                <w:sz w:val="22"/>
              </w:rPr>
              <w:t>72%</w:t>
            </w:r>
          </w:p>
        </w:tc>
        <w:tc>
          <w:tcPr>
            <w:tcW w:w="1601" w:type="dxa"/>
          </w:tcPr>
          <w:p>
            <w:pPr>
              <w:pStyle w:val="TableParagraph"/>
              <w:spacing w:line="239" w:lineRule="exact"/>
              <w:ind w:left="108"/>
              <w:rPr>
                <w:sz w:val="22"/>
              </w:rPr>
            </w:pPr>
            <w:r>
              <w:rPr>
                <w:sz w:val="22"/>
              </w:rPr>
              <w:t>25%</w:t>
            </w:r>
          </w:p>
        </w:tc>
        <w:tc>
          <w:tcPr>
            <w:tcW w:w="1522" w:type="dxa"/>
          </w:tcPr>
          <w:p>
            <w:pPr>
              <w:pStyle w:val="TableParagraph"/>
              <w:spacing w:line="239" w:lineRule="exact"/>
              <w:rPr>
                <w:sz w:val="22"/>
              </w:rPr>
            </w:pPr>
            <w:r>
              <w:rPr>
                <w:sz w:val="22"/>
              </w:rPr>
              <w:t>16%</w:t>
            </w:r>
          </w:p>
        </w:tc>
        <w:tc>
          <w:tcPr>
            <w:tcW w:w="1157" w:type="dxa"/>
          </w:tcPr>
          <w:p>
            <w:pPr>
              <w:pStyle w:val="TableParagraph"/>
              <w:spacing w:line="239" w:lineRule="exact"/>
              <w:rPr>
                <w:sz w:val="22"/>
              </w:rPr>
            </w:pPr>
            <w:r>
              <w:rPr>
                <w:sz w:val="22"/>
              </w:rPr>
              <w:t>5%</w:t>
            </w:r>
          </w:p>
        </w:tc>
      </w:tr>
      <w:tr>
        <w:trPr>
          <w:trHeight w:val="575" w:hRule="atLeast"/>
        </w:trPr>
        <w:tc>
          <w:tcPr>
            <w:tcW w:w="1586" w:type="dxa"/>
          </w:tcPr>
          <w:p>
            <w:pPr>
              <w:pStyle w:val="TableParagraph"/>
              <w:spacing w:line="256" w:lineRule="exact" w:before="64"/>
              <w:ind w:right="770"/>
              <w:rPr>
                <w:sz w:val="22"/>
              </w:rPr>
            </w:pPr>
            <w:r>
              <w:rPr>
                <w:sz w:val="22"/>
              </w:rPr>
              <w:t>Benton County</w:t>
            </w:r>
          </w:p>
        </w:tc>
        <w:tc>
          <w:tcPr>
            <w:tcW w:w="1584" w:type="dxa"/>
          </w:tcPr>
          <w:p>
            <w:pPr>
              <w:pStyle w:val="TableParagraph"/>
              <w:spacing w:before="5"/>
              <w:ind w:left="0"/>
              <w:rPr>
                <w:rFonts w:ascii="Arial"/>
                <w:b/>
                <w:sz w:val="27"/>
              </w:rPr>
            </w:pPr>
          </w:p>
          <w:p>
            <w:pPr>
              <w:pStyle w:val="TableParagraph"/>
              <w:spacing w:line="239" w:lineRule="exact" w:before="1"/>
              <w:ind w:left="108"/>
              <w:rPr>
                <w:sz w:val="22"/>
              </w:rPr>
            </w:pPr>
            <w:r>
              <w:rPr>
                <w:sz w:val="22"/>
              </w:rPr>
              <w:t>118,423</w:t>
            </w:r>
          </w:p>
        </w:tc>
        <w:tc>
          <w:tcPr>
            <w:tcW w:w="1932" w:type="dxa"/>
          </w:tcPr>
          <w:p>
            <w:pPr>
              <w:pStyle w:val="TableParagraph"/>
              <w:spacing w:before="189"/>
              <w:ind w:left="108"/>
              <w:rPr>
                <w:sz w:val="22"/>
              </w:rPr>
            </w:pPr>
            <w:r>
              <w:rPr>
                <w:sz w:val="22"/>
              </w:rPr>
              <w:t>89%</w:t>
            </w:r>
          </w:p>
        </w:tc>
        <w:tc>
          <w:tcPr>
            <w:tcW w:w="1601" w:type="dxa"/>
          </w:tcPr>
          <w:p>
            <w:pPr>
              <w:pStyle w:val="TableParagraph"/>
              <w:spacing w:before="189"/>
              <w:ind w:left="108"/>
              <w:rPr>
                <w:sz w:val="22"/>
              </w:rPr>
            </w:pPr>
            <w:r>
              <w:rPr>
                <w:sz w:val="22"/>
              </w:rPr>
              <w:t>40%</w:t>
            </w:r>
          </w:p>
        </w:tc>
        <w:tc>
          <w:tcPr>
            <w:tcW w:w="1522" w:type="dxa"/>
          </w:tcPr>
          <w:p>
            <w:pPr>
              <w:pStyle w:val="TableParagraph"/>
              <w:spacing w:before="189"/>
              <w:rPr>
                <w:sz w:val="22"/>
              </w:rPr>
            </w:pPr>
            <w:r>
              <w:rPr>
                <w:sz w:val="22"/>
              </w:rPr>
              <w:t>29%</w:t>
            </w:r>
          </w:p>
        </w:tc>
        <w:tc>
          <w:tcPr>
            <w:tcW w:w="1157" w:type="dxa"/>
          </w:tcPr>
          <w:p>
            <w:pPr>
              <w:pStyle w:val="TableParagraph"/>
              <w:spacing w:before="189"/>
              <w:rPr>
                <w:sz w:val="22"/>
              </w:rPr>
            </w:pPr>
            <w:r>
              <w:rPr>
                <w:sz w:val="22"/>
              </w:rPr>
              <w:t>11%</w:t>
            </w:r>
          </w:p>
        </w:tc>
      </w:tr>
      <w:tr>
        <w:trPr>
          <w:trHeight w:val="575" w:hRule="atLeast"/>
        </w:trPr>
        <w:tc>
          <w:tcPr>
            <w:tcW w:w="1586" w:type="dxa"/>
          </w:tcPr>
          <w:p>
            <w:pPr>
              <w:pStyle w:val="TableParagraph"/>
              <w:spacing w:line="256" w:lineRule="exact" w:before="63"/>
              <w:ind w:right="650"/>
              <w:rPr>
                <w:sz w:val="22"/>
              </w:rPr>
            </w:pPr>
            <w:r>
              <w:rPr>
                <w:sz w:val="22"/>
              </w:rPr>
              <w:t>Franklin County</w:t>
            </w:r>
          </w:p>
        </w:tc>
        <w:tc>
          <w:tcPr>
            <w:tcW w:w="1584" w:type="dxa"/>
          </w:tcPr>
          <w:p>
            <w:pPr>
              <w:pStyle w:val="TableParagraph"/>
              <w:spacing w:before="5"/>
              <w:ind w:left="0"/>
              <w:rPr>
                <w:rFonts w:ascii="Arial"/>
                <w:b/>
                <w:sz w:val="27"/>
              </w:rPr>
            </w:pPr>
          </w:p>
          <w:p>
            <w:pPr>
              <w:pStyle w:val="TableParagraph"/>
              <w:spacing w:line="239" w:lineRule="exact" w:before="0"/>
              <w:ind w:left="108"/>
              <w:rPr>
                <w:sz w:val="22"/>
              </w:rPr>
            </w:pPr>
            <w:r>
              <w:rPr>
                <w:sz w:val="22"/>
              </w:rPr>
              <w:t>49,013</w:t>
            </w:r>
          </w:p>
        </w:tc>
        <w:tc>
          <w:tcPr>
            <w:tcW w:w="1932" w:type="dxa"/>
          </w:tcPr>
          <w:p>
            <w:pPr>
              <w:pStyle w:val="TableParagraph"/>
              <w:spacing w:before="188"/>
              <w:ind w:left="108"/>
              <w:rPr>
                <w:sz w:val="22"/>
              </w:rPr>
            </w:pPr>
            <w:r>
              <w:rPr>
                <w:sz w:val="22"/>
              </w:rPr>
              <w:t>74%</w:t>
            </w:r>
          </w:p>
        </w:tc>
        <w:tc>
          <w:tcPr>
            <w:tcW w:w="1601" w:type="dxa"/>
          </w:tcPr>
          <w:p>
            <w:pPr>
              <w:pStyle w:val="TableParagraph"/>
              <w:spacing w:before="188"/>
              <w:ind w:left="108"/>
              <w:rPr>
                <w:sz w:val="22"/>
              </w:rPr>
            </w:pPr>
            <w:r>
              <w:rPr>
                <w:sz w:val="22"/>
              </w:rPr>
              <w:t>25%</w:t>
            </w:r>
          </w:p>
        </w:tc>
        <w:tc>
          <w:tcPr>
            <w:tcW w:w="1522" w:type="dxa"/>
          </w:tcPr>
          <w:p>
            <w:pPr>
              <w:pStyle w:val="TableParagraph"/>
              <w:spacing w:before="188"/>
              <w:rPr>
                <w:sz w:val="22"/>
              </w:rPr>
            </w:pPr>
            <w:r>
              <w:rPr>
                <w:sz w:val="22"/>
              </w:rPr>
              <w:t>16%</w:t>
            </w:r>
          </w:p>
        </w:tc>
        <w:tc>
          <w:tcPr>
            <w:tcW w:w="1157" w:type="dxa"/>
          </w:tcPr>
          <w:p>
            <w:pPr>
              <w:pStyle w:val="TableParagraph"/>
              <w:spacing w:before="188"/>
              <w:rPr>
                <w:sz w:val="22"/>
              </w:rPr>
            </w:pPr>
            <w:r>
              <w:rPr>
                <w:sz w:val="22"/>
              </w:rPr>
              <w:t>5%</w:t>
            </w:r>
          </w:p>
        </w:tc>
      </w:tr>
      <w:tr>
        <w:trPr>
          <w:trHeight w:val="318" w:hRule="atLeast"/>
        </w:trPr>
        <w:tc>
          <w:tcPr>
            <w:tcW w:w="1586" w:type="dxa"/>
          </w:tcPr>
          <w:p>
            <w:pPr>
              <w:pStyle w:val="TableParagraph"/>
              <w:spacing w:line="239" w:lineRule="exact"/>
              <w:rPr>
                <w:sz w:val="22"/>
              </w:rPr>
            </w:pPr>
            <w:r>
              <w:rPr>
                <w:sz w:val="22"/>
              </w:rPr>
              <w:t>Statewide</w:t>
            </w:r>
          </w:p>
        </w:tc>
        <w:tc>
          <w:tcPr>
            <w:tcW w:w="1584" w:type="dxa"/>
          </w:tcPr>
          <w:p>
            <w:pPr>
              <w:pStyle w:val="TableParagraph"/>
              <w:spacing w:line="239" w:lineRule="exact"/>
              <w:ind w:left="108"/>
              <w:rPr>
                <w:sz w:val="22"/>
              </w:rPr>
            </w:pPr>
            <w:r>
              <w:rPr>
                <w:sz w:val="22"/>
              </w:rPr>
              <w:t>4,721,438</w:t>
            </w:r>
          </w:p>
        </w:tc>
        <w:tc>
          <w:tcPr>
            <w:tcW w:w="1932" w:type="dxa"/>
          </w:tcPr>
          <w:p>
            <w:pPr>
              <w:pStyle w:val="TableParagraph"/>
              <w:spacing w:line="239" w:lineRule="exact"/>
              <w:ind w:left="108"/>
              <w:rPr>
                <w:sz w:val="22"/>
              </w:rPr>
            </w:pPr>
            <w:r>
              <w:rPr>
                <w:sz w:val="22"/>
              </w:rPr>
              <w:t>90%</w:t>
            </w:r>
          </w:p>
        </w:tc>
        <w:tc>
          <w:tcPr>
            <w:tcW w:w="1601" w:type="dxa"/>
          </w:tcPr>
          <w:p>
            <w:pPr>
              <w:pStyle w:val="TableParagraph"/>
              <w:spacing w:line="239" w:lineRule="exact"/>
              <w:ind w:left="108"/>
              <w:rPr>
                <w:sz w:val="22"/>
              </w:rPr>
            </w:pPr>
            <w:r>
              <w:rPr>
                <w:sz w:val="22"/>
              </w:rPr>
              <w:t>43%</w:t>
            </w:r>
          </w:p>
        </w:tc>
        <w:tc>
          <w:tcPr>
            <w:tcW w:w="1522" w:type="dxa"/>
          </w:tcPr>
          <w:p>
            <w:pPr>
              <w:pStyle w:val="TableParagraph"/>
              <w:spacing w:line="239" w:lineRule="exact"/>
              <w:rPr>
                <w:sz w:val="22"/>
              </w:rPr>
            </w:pPr>
            <w:r>
              <w:rPr>
                <w:sz w:val="22"/>
              </w:rPr>
              <w:t>33%</w:t>
            </w:r>
          </w:p>
        </w:tc>
        <w:tc>
          <w:tcPr>
            <w:tcW w:w="1157" w:type="dxa"/>
          </w:tcPr>
          <w:p>
            <w:pPr>
              <w:pStyle w:val="TableParagraph"/>
              <w:spacing w:line="239" w:lineRule="exact"/>
              <w:rPr>
                <w:sz w:val="22"/>
              </w:rPr>
            </w:pPr>
            <w:r>
              <w:rPr>
                <w:sz w:val="22"/>
              </w:rPr>
              <w:t>12%</w:t>
            </w:r>
          </w:p>
        </w:tc>
      </w:tr>
    </w:tbl>
    <w:p>
      <w:pPr>
        <w:spacing w:before="57"/>
        <w:ind w:left="140" w:right="0" w:firstLine="0"/>
        <w:jc w:val="both"/>
        <w:rPr>
          <w:i/>
          <w:sz w:val="20"/>
        </w:rPr>
      </w:pPr>
      <w:bookmarkStart w:name="Housing Stock" w:id="48"/>
      <w:bookmarkEnd w:id="48"/>
      <w:r>
        <w:rPr/>
      </w:r>
      <w:r>
        <w:rPr>
          <w:i/>
          <w:sz w:val="20"/>
        </w:rPr>
        <w:t>Source: US Census Bureau, American Community Survey, 2015 5-year, Table B15003.</w:t>
      </w:r>
    </w:p>
    <w:p>
      <w:pPr>
        <w:pStyle w:val="BodyText"/>
        <w:spacing w:before="3"/>
        <w:rPr>
          <w:i/>
          <w:sz w:val="17"/>
        </w:rPr>
      </w:pPr>
    </w:p>
    <w:p>
      <w:pPr>
        <w:spacing w:before="0"/>
        <w:ind w:left="140" w:right="0" w:firstLine="0"/>
        <w:jc w:val="both"/>
        <w:rPr>
          <w:b/>
          <w:sz w:val="22"/>
        </w:rPr>
      </w:pPr>
      <w:r>
        <w:rPr>
          <w:b/>
          <w:color w:val="C0504D"/>
          <w:sz w:val="22"/>
        </w:rPr>
        <w:t>Housing Stock</w:t>
      </w:r>
    </w:p>
    <w:p>
      <w:pPr>
        <w:pStyle w:val="BodyText"/>
        <w:spacing w:before="119"/>
        <w:ind w:left="140" w:right="334"/>
        <w:jc w:val="both"/>
      </w:pPr>
      <w:r>
        <w:rPr/>
        <w:t>Housing in Richland is generally characterized as single-family (62%) and mostly owner-occupied (65%) with moderate vacancy rates similar to those seen in Kennewick and double that of Pasco; roughly 6%. Most homeowners spend less than 20% of their income on housing (57%) – a larger share</w:t>
      </w:r>
      <w:r>
        <w:rPr>
          <w:spacing w:val="-6"/>
        </w:rPr>
        <w:t> </w:t>
      </w:r>
      <w:r>
        <w:rPr/>
        <w:t>than</w:t>
      </w:r>
      <w:r>
        <w:rPr>
          <w:spacing w:val="-7"/>
        </w:rPr>
        <w:t> </w:t>
      </w:r>
      <w:r>
        <w:rPr/>
        <w:t>in</w:t>
      </w:r>
      <w:r>
        <w:rPr>
          <w:spacing w:val="-8"/>
        </w:rPr>
        <w:t> </w:t>
      </w:r>
      <w:r>
        <w:rPr/>
        <w:t>Kennewick</w:t>
      </w:r>
      <w:r>
        <w:rPr>
          <w:spacing w:val="-6"/>
        </w:rPr>
        <w:t> </w:t>
      </w:r>
      <w:r>
        <w:rPr/>
        <w:t>(50%)</w:t>
      </w:r>
      <w:r>
        <w:rPr>
          <w:spacing w:val="-7"/>
        </w:rPr>
        <w:t> </w:t>
      </w:r>
      <w:r>
        <w:rPr/>
        <w:t>or</w:t>
      </w:r>
      <w:r>
        <w:rPr>
          <w:spacing w:val="-6"/>
        </w:rPr>
        <w:t> </w:t>
      </w:r>
      <w:r>
        <w:rPr/>
        <w:t>Pasco</w:t>
      </w:r>
      <w:r>
        <w:rPr>
          <w:spacing w:val="-6"/>
        </w:rPr>
        <w:t> </w:t>
      </w:r>
      <w:r>
        <w:rPr/>
        <w:t>(41%).</w:t>
      </w:r>
      <w:r>
        <w:rPr>
          <w:spacing w:val="-6"/>
        </w:rPr>
        <w:t> </w:t>
      </w:r>
      <w:r>
        <w:rPr/>
        <w:t>However,</w:t>
      </w:r>
      <w:r>
        <w:rPr>
          <w:spacing w:val="-6"/>
        </w:rPr>
        <w:t> </w:t>
      </w:r>
      <w:r>
        <w:rPr/>
        <w:t>18%</w:t>
      </w:r>
      <w:r>
        <w:rPr>
          <w:spacing w:val="-5"/>
        </w:rPr>
        <w:t> </w:t>
      </w:r>
      <w:r>
        <w:rPr/>
        <w:t>of</w:t>
      </w:r>
      <w:r>
        <w:rPr>
          <w:spacing w:val="-6"/>
        </w:rPr>
        <w:t> </w:t>
      </w:r>
      <w:r>
        <w:rPr/>
        <w:t>homeowners</w:t>
      </w:r>
      <w:r>
        <w:rPr>
          <w:spacing w:val="-5"/>
        </w:rPr>
        <w:t> </w:t>
      </w:r>
      <w:r>
        <w:rPr/>
        <w:t>are</w:t>
      </w:r>
      <w:r>
        <w:rPr>
          <w:spacing w:val="-6"/>
        </w:rPr>
        <w:t> </w:t>
      </w:r>
      <w:r>
        <w:rPr/>
        <w:t>considered</w:t>
      </w:r>
      <w:r>
        <w:rPr>
          <w:spacing w:val="-6"/>
        </w:rPr>
        <w:t> </w:t>
      </w:r>
      <w:r>
        <w:rPr/>
        <w:t>cost- burdened</w:t>
      </w:r>
      <w:r>
        <w:rPr>
          <w:spacing w:val="-9"/>
        </w:rPr>
        <w:t> </w:t>
      </w:r>
      <w:r>
        <w:rPr/>
        <w:t>defined</w:t>
      </w:r>
      <w:r>
        <w:rPr>
          <w:spacing w:val="-9"/>
        </w:rPr>
        <w:t> </w:t>
      </w:r>
      <w:r>
        <w:rPr/>
        <w:t>as</w:t>
      </w:r>
      <w:r>
        <w:rPr>
          <w:spacing w:val="-8"/>
        </w:rPr>
        <w:t> </w:t>
      </w:r>
      <w:r>
        <w:rPr/>
        <w:t>spending</w:t>
      </w:r>
      <w:r>
        <w:rPr>
          <w:spacing w:val="-9"/>
        </w:rPr>
        <w:t> </w:t>
      </w:r>
      <w:r>
        <w:rPr/>
        <w:t>more</w:t>
      </w:r>
      <w:r>
        <w:rPr>
          <w:spacing w:val="-9"/>
        </w:rPr>
        <w:t> </w:t>
      </w:r>
      <w:r>
        <w:rPr/>
        <w:t>than</w:t>
      </w:r>
      <w:r>
        <w:rPr>
          <w:spacing w:val="-10"/>
        </w:rPr>
        <w:t> </w:t>
      </w:r>
      <w:r>
        <w:rPr/>
        <w:t>35%</w:t>
      </w:r>
      <w:r>
        <w:rPr>
          <w:spacing w:val="-11"/>
        </w:rPr>
        <w:t> </w:t>
      </w:r>
      <w:r>
        <w:rPr/>
        <w:t>of</w:t>
      </w:r>
      <w:r>
        <w:rPr>
          <w:spacing w:val="-8"/>
        </w:rPr>
        <w:t> </w:t>
      </w:r>
      <w:r>
        <w:rPr/>
        <w:t>their</w:t>
      </w:r>
      <w:r>
        <w:rPr>
          <w:spacing w:val="-9"/>
        </w:rPr>
        <w:t> </w:t>
      </w:r>
      <w:r>
        <w:rPr/>
        <w:t>income</w:t>
      </w:r>
      <w:r>
        <w:rPr>
          <w:spacing w:val="-9"/>
        </w:rPr>
        <w:t> </w:t>
      </w:r>
      <w:r>
        <w:rPr/>
        <w:t>on</w:t>
      </w:r>
      <w:r>
        <w:rPr>
          <w:spacing w:val="-9"/>
        </w:rPr>
        <w:t> </w:t>
      </w:r>
      <w:r>
        <w:rPr/>
        <w:t>housing.</w:t>
      </w:r>
      <w:r>
        <w:rPr>
          <w:spacing w:val="-9"/>
        </w:rPr>
        <w:t> </w:t>
      </w:r>
      <w:r>
        <w:rPr/>
        <w:t>This</w:t>
      </w:r>
      <w:r>
        <w:rPr>
          <w:spacing w:val="-8"/>
        </w:rPr>
        <w:t> </w:t>
      </w:r>
      <w:r>
        <w:rPr/>
        <w:t>is</w:t>
      </w:r>
      <w:r>
        <w:rPr>
          <w:spacing w:val="-8"/>
        </w:rPr>
        <w:t> </w:t>
      </w:r>
      <w:r>
        <w:rPr/>
        <w:t>slightly</w:t>
      </w:r>
      <w:r>
        <w:rPr>
          <w:spacing w:val="-9"/>
        </w:rPr>
        <w:t> </w:t>
      </w:r>
      <w:r>
        <w:rPr/>
        <w:t>higher</w:t>
      </w:r>
      <w:r>
        <w:rPr>
          <w:spacing w:val="-9"/>
        </w:rPr>
        <w:t> </w:t>
      </w:r>
      <w:r>
        <w:rPr/>
        <w:t>than the 17% seen in Kennewick and Pasco. For more on housing conditions, see the Housing</w:t>
      </w:r>
      <w:r>
        <w:rPr>
          <w:spacing w:val="-25"/>
        </w:rPr>
        <w:t> </w:t>
      </w:r>
      <w:r>
        <w:rPr/>
        <w:t>Element.</w:t>
      </w:r>
    </w:p>
    <w:p>
      <w:pPr>
        <w:spacing w:before="202"/>
        <w:ind w:left="140" w:right="0" w:firstLine="0"/>
        <w:jc w:val="both"/>
        <w:rPr>
          <w:b/>
          <w:sz w:val="22"/>
        </w:rPr>
      </w:pPr>
      <w:bookmarkStart w:name="Retail Performance" w:id="49"/>
      <w:bookmarkEnd w:id="49"/>
      <w:r>
        <w:rPr/>
      </w:r>
      <w:r>
        <w:rPr>
          <w:b/>
          <w:color w:val="C0504D"/>
          <w:sz w:val="22"/>
        </w:rPr>
        <w:t>Retail Performance</w:t>
      </w:r>
    </w:p>
    <w:p>
      <w:pPr>
        <w:pStyle w:val="BodyText"/>
        <w:spacing w:before="119"/>
        <w:ind w:left="139" w:right="332"/>
        <w:jc w:val="both"/>
      </w:pPr>
      <w:r>
        <w:rPr/>
        <w:t>The</w:t>
      </w:r>
      <w:r>
        <w:rPr>
          <w:spacing w:val="-4"/>
        </w:rPr>
        <w:t> </w:t>
      </w:r>
      <w:r>
        <w:rPr/>
        <w:t>location</w:t>
      </w:r>
      <w:r>
        <w:rPr>
          <w:spacing w:val="-5"/>
        </w:rPr>
        <w:t> </w:t>
      </w:r>
      <w:r>
        <w:rPr/>
        <w:t>of</w:t>
      </w:r>
      <w:r>
        <w:rPr>
          <w:spacing w:val="-4"/>
        </w:rPr>
        <w:t> </w:t>
      </w:r>
      <w:r>
        <w:rPr/>
        <w:t>retail</w:t>
      </w:r>
      <w:r>
        <w:rPr>
          <w:spacing w:val="-4"/>
        </w:rPr>
        <w:t> </w:t>
      </w:r>
      <w:r>
        <w:rPr/>
        <w:t>stores</w:t>
      </w:r>
      <w:r>
        <w:rPr>
          <w:spacing w:val="-3"/>
        </w:rPr>
        <w:t> </w:t>
      </w:r>
      <w:r>
        <w:rPr/>
        <w:t>and</w:t>
      </w:r>
      <w:r>
        <w:rPr>
          <w:spacing w:val="-4"/>
        </w:rPr>
        <w:t> </w:t>
      </w:r>
      <w:r>
        <w:rPr/>
        <w:t>their</w:t>
      </w:r>
      <w:r>
        <w:rPr>
          <w:spacing w:val="-4"/>
        </w:rPr>
        <w:t> </w:t>
      </w:r>
      <w:r>
        <w:rPr/>
        <w:t>economic</w:t>
      </w:r>
      <w:r>
        <w:rPr>
          <w:spacing w:val="-3"/>
        </w:rPr>
        <w:t> </w:t>
      </w:r>
      <w:r>
        <w:rPr/>
        <w:t>performance</w:t>
      </w:r>
      <w:r>
        <w:rPr>
          <w:spacing w:val="-4"/>
        </w:rPr>
        <w:t> </w:t>
      </w:r>
      <w:r>
        <w:rPr/>
        <w:t>are</w:t>
      </w:r>
      <w:r>
        <w:rPr>
          <w:spacing w:val="-5"/>
        </w:rPr>
        <w:t> </w:t>
      </w:r>
      <w:r>
        <w:rPr/>
        <w:t>important</w:t>
      </w:r>
      <w:r>
        <w:rPr>
          <w:spacing w:val="-5"/>
        </w:rPr>
        <w:t> </w:t>
      </w:r>
      <w:r>
        <w:rPr/>
        <w:t>to</w:t>
      </w:r>
      <w:r>
        <w:rPr>
          <w:spacing w:val="-4"/>
        </w:rPr>
        <w:t> </w:t>
      </w:r>
      <w:r>
        <w:rPr/>
        <w:t>cities</w:t>
      </w:r>
      <w:r>
        <w:rPr>
          <w:spacing w:val="-3"/>
        </w:rPr>
        <w:t> </w:t>
      </w:r>
      <w:r>
        <w:rPr/>
        <w:t>for</w:t>
      </w:r>
      <w:r>
        <w:rPr>
          <w:spacing w:val="-4"/>
        </w:rPr>
        <w:t> </w:t>
      </w:r>
      <w:r>
        <w:rPr/>
        <w:t>two</w:t>
      </w:r>
      <w:r>
        <w:rPr>
          <w:spacing w:val="-4"/>
        </w:rPr>
        <w:t> </w:t>
      </w:r>
      <w:r>
        <w:rPr/>
        <w:t>reasons. First, the proximity and mix of retail services is an essential service and amenity for area residents. Second, the importance of sales taxes in funding essential services means jurisdictions have a built- in</w:t>
      </w:r>
      <w:r>
        <w:rPr>
          <w:spacing w:val="-5"/>
        </w:rPr>
        <w:t> </w:t>
      </w:r>
      <w:r>
        <w:rPr/>
        <w:t>preference</w:t>
      </w:r>
      <w:r>
        <w:rPr>
          <w:spacing w:val="-3"/>
        </w:rPr>
        <w:t> </w:t>
      </w:r>
      <w:r>
        <w:rPr/>
        <w:t>for</w:t>
      </w:r>
      <w:r>
        <w:rPr>
          <w:spacing w:val="-5"/>
        </w:rPr>
        <w:t> </w:t>
      </w:r>
      <w:r>
        <w:rPr/>
        <w:t>maximizing</w:t>
      </w:r>
      <w:r>
        <w:rPr>
          <w:spacing w:val="-2"/>
        </w:rPr>
        <w:t> </w:t>
      </w:r>
      <w:r>
        <w:rPr/>
        <w:t>the</w:t>
      </w:r>
      <w:r>
        <w:rPr>
          <w:spacing w:val="-4"/>
        </w:rPr>
        <w:t> </w:t>
      </w:r>
      <w:r>
        <w:rPr/>
        <w:t>scale,</w:t>
      </w:r>
      <w:r>
        <w:rPr>
          <w:spacing w:val="-3"/>
        </w:rPr>
        <w:t> </w:t>
      </w:r>
      <w:r>
        <w:rPr/>
        <w:t>scope,</w:t>
      </w:r>
      <w:r>
        <w:rPr>
          <w:spacing w:val="-4"/>
        </w:rPr>
        <w:t> </w:t>
      </w:r>
      <w:r>
        <w:rPr/>
        <w:t>and</w:t>
      </w:r>
      <w:r>
        <w:rPr>
          <w:spacing w:val="-4"/>
        </w:rPr>
        <w:t> </w:t>
      </w:r>
      <w:r>
        <w:rPr/>
        <w:t>productivity</w:t>
      </w:r>
      <w:r>
        <w:rPr>
          <w:spacing w:val="-5"/>
        </w:rPr>
        <w:t> </w:t>
      </w:r>
      <w:r>
        <w:rPr/>
        <w:t>of</w:t>
      </w:r>
      <w:r>
        <w:rPr>
          <w:spacing w:val="-3"/>
        </w:rPr>
        <w:t> </w:t>
      </w:r>
      <w:r>
        <w:rPr/>
        <w:t>the</w:t>
      </w:r>
      <w:r>
        <w:rPr>
          <w:spacing w:val="-4"/>
        </w:rPr>
        <w:t> </w:t>
      </w:r>
      <w:r>
        <w:rPr/>
        <w:t>retail</w:t>
      </w:r>
      <w:r>
        <w:rPr>
          <w:spacing w:val="-3"/>
        </w:rPr>
        <w:t> </w:t>
      </w:r>
      <w:r>
        <w:rPr/>
        <w:t>sales</w:t>
      </w:r>
      <w:r>
        <w:rPr>
          <w:spacing w:val="-3"/>
        </w:rPr>
        <w:t> </w:t>
      </w:r>
      <w:r>
        <w:rPr/>
        <w:t>base.</w:t>
      </w:r>
      <w:r>
        <w:rPr>
          <w:spacing w:val="-3"/>
        </w:rPr>
        <w:t> </w:t>
      </w:r>
      <w:r>
        <w:rPr/>
        <w:t>The</w:t>
      </w:r>
      <w:r>
        <w:rPr>
          <w:spacing w:val="-4"/>
        </w:rPr>
        <w:t> </w:t>
      </w:r>
      <w:r>
        <w:rPr/>
        <w:t>following set of charts examines the productivity data of taxable retail sales in</w:t>
      </w:r>
      <w:r>
        <w:rPr>
          <w:spacing w:val="-22"/>
        </w:rPr>
        <w:t> </w:t>
      </w:r>
      <w:r>
        <w:rPr/>
        <w:t>Richland.</w:t>
      </w:r>
    </w:p>
    <w:p>
      <w:pPr>
        <w:pStyle w:val="BodyText"/>
        <w:spacing w:before="119"/>
        <w:ind w:left="140" w:right="336"/>
        <w:jc w:val="both"/>
      </w:pPr>
      <w:r>
        <w:rPr/>
        <w:t>As</w:t>
      </w:r>
      <w:r>
        <w:rPr>
          <w:spacing w:val="-3"/>
        </w:rPr>
        <w:t> </w:t>
      </w:r>
      <w:r>
        <w:rPr/>
        <w:t>shown</w:t>
      </w:r>
      <w:r>
        <w:rPr>
          <w:spacing w:val="-4"/>
        </w:rPr>
        <w:t> </w:t>
      </w:r>
      <w:r>
        <w:rPr/>
        <w:t>below,</w:t>
      </w:r>
      <w:r>
        <w:rPr>
          <w:spacing w:val="-4"/>
        </w:rPr>
        <w:t> </w:t>
      </w:r>
      <w:r>
        <w:rPr/>
        <w:t>the</w:t>
      </w:r>
      <w:r>
        <w:rPr>
          <w:spacing w:val="-3"/>
        </w:rPr>
        <w:t> </w:t>
      </w:r>
      <w:r>
        <w:rPr/>
        <w:t>data</w:t>
      </w:r>
      <w:r>
        <w:rPr>
          <w:spacing w:val="-6"/>
        </w:rPr>
        <w:t> </w:t>
      </w:r>
      <w:r>
        <w:rPr/>
        <w:t>for</w:t>
      </w:r>
      <w:r>
        <w:rPr>
          <w:spacing w:val="-5"/>
        </w:rPr>
        <w:t> </w:t>
      </w:r>
      <w:r>
        <w:rPr/>
        <w:t>Richland</w:t>
      </w:r>
      <w:r>
        <w:rPr>
          <w:spacing w:val="-6"/>
        </w:rPr>
        <w:t> </w:t>
      </w:r>
      <w:r>
        <w:rPr/>
        <w:t>show</w:t>
      </w:r>
      <w:r>
        <w:rPr>
          <w:spacing w:val="-4"/>
        </w:rPr>
        <w:t> </w:t>
      </w:r>
      <w:r>
        <w:rPr/>
        <w:t>steady</w:t>
      </w:r>
      <w:r>
        <w:rPr>
          <w:spacing w:val="-5"/>
        </w:rPr>
        <w:t> </w:t>
      </w:r>
      <w:r>
        <w:rPr/>
        <w:t>growth</w:t>
      </w:r>
      <w:r>
        <w:rPr>
          <w:spacing w:val="-3"/>
        </w:rPr>
        <w:t> </w:t>
      </w:r>
      <w:r>
        <w:rPr/>
        <w:t>in</w:t>
      </w:r>
      <w:r>
        <w:rPr>
          <w:spacing w:val="-5"/>
        </w:rPr>
        <w:t> </w:t>
      </w:r>
      <w:r>
        <w:rPr/>
        <w:t>retail</w:t>
      </w:r>
      <w:r>
        <w:rPr>
          <w:spacing w:val="-3"/>
        </w:rPr>
        <w:t> </w:t>
      </w:r>
      <w:r>
        <w:rPr/>
        <w:t>sales</w:t>
      </w:r>
      <w:r>
        <w:rPr>
          <w:spacing w:val="-5"/>
        </w:rPr>
        <w:t> </w:t>
      </w:r>
      <w:r>
        <w:rPr/>
        <w:t>over</w:t>
      </w:r>
      <w:r>
        <w:rPr>
          <w:spacing w:val="-7"/>
        </w:rPr>
        <w:t> </w:t>
      </w:r>
      <w:r>
        <w:rPr/>
        <w:t>the</w:t>
      </w:r>
      <w:r>
        <w:rPr>
          <w:spacing w:val="-3"/>
        </w:rPr>
        <w:t> </w:t>
      </w:r>
      <w:r>
        <w:rPr/>
        <w:t>past</w:t>
      </w:r>
      <w:r>
        <w:rPr>
          <w:spacing w:val="-4"/>
        </w:rPr>
        <w:t> </w:t>
      </w:r>
      <w:r>
        <w:rPr/>
        <w:t>15</w:t>
      </w:r>
      <w:r>
        <w:rPr>
          <w:spacing w:val="-4"/>
        </w:rPr>
        <w:t> </w:t>
      </w:r>
      <w:r>
        <w:rPr/>
        <w:t>years.</w:t>
      </w:r>
      <w:r>
        <w:rPr>
          <w:spacing w:val="-3"/>
        </w:rPr>
        <w:t> </w:t>
      </w:r>
      <w:r>
        <w:rPr/>
        <w:t>The City has seen strong growth in the accommodation and food service sectors with more restaurants taking hold in recent years. Compared to its regional neighbors, Richland has comparable sales to Pasco but both are about half of Kennewick’s</w:t>
      </w:r>
      <w:r>
        <w:rPr>
          <w:spacing w:val="-13"/>
        </w:rPr>
        <w:t> </w:t>
      </w:r>
      <w:r>
        <w:rPr/>
        <w:t>totals.</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spacing w:before="178"/>
        <w:ind w:left="140" w:right="0" w:firstLine="0"/>
        <w:jc w:val="both"/>
        <w:rPr>
          <w:rFonts w:ascii="Arial"/>
          <w:b/>
          <w:sz w:val="20"/>
        </w:rPr>
      </w:pPr>
      <w:bookmarkStart w:name="_bookmark25" w:id="50"/>
      <w:bookmarkEnd w:id="50"/>
      <w:r>
        <w:rPr/>
      </w:r>
      <w:r>
        <w:rPr>
          <w:rFonts w:ascii="Arial"/>
          <w:b/>
          <w:sz w:val="20"/>
        </w:rPr>
        <w:t>Figure ED-15: Select Category Sales, Richland in 2016 Dollars (in Millions)</w:t>
      </w:r>
    </w:p>
    <w:p>
      <w:pPr>
        <w:spacing w:after="0"/>
        <w:jc w:val="both"/>
        <w:rPr>
          <w:rFonts w:ascii="Arial"/>
          <w:sz w:val="20"/>
        </w:rPr>
        <w:sectPr>
          <w:pgSz w:w="12240" w:h="15840"/>
          <w:pgMar w:header="0" w:footer="1132" w:top="1440" w:bottom="1320" w:left="1300" w:right="1100"/>
        </w:sectPr>
      </w:pPr>
    </w:p>
    <w:p>
      <w:pPr>
        <w:pStyle w:val="BodyText"/>
        <w:ind w:left="154"/>
        <w:rPr>
          <w:rFonts w:ascii="Arial"/>
          <w:sz w:val="20"/>
        </w:rPr>
      </w:pPr>
      <w:r>
        <w:rPr>
          <w:rFonts w:ascii="Arial"/>
          <w:sz w:val="20"/>
        </w:rPr>
        <w:pict>
          <v:group style="width:433.5pt;height:215.4pt;mso-position-horizontal-relative:char;mso-position-vertical-relative:line" coordorigin="0,0" coordsize="8670,4308">
            <v:shape style="position:absolute;left:58;top:108;width:8510;height:4119" type="#_x0000_t75" stroked="false">
              <v:imagedata r:id="rId42" o:title=""/>
            </v:shape>
            <v:rect style="position:absolute;left:7;top:7;width:8655;height:4293" filled="false" stroked="true" strokeweight=".75pt" strokecolor="#000000">
              <v:stroke dashstyle="solid"/>
            </v:rect>
          </v:group>
        </w:pict>
      </w:r>
      <w:r>
        <w:rPr>
          <w:rFonts w:ascii="Arial"/>
          <w:sz w:val="20"/>
        </w:rPr>
      </w:r>
    </w:p>
    <w:p>
      <w:pPr>
        <w:spacing w:before="48"/>
        <w:ind w:left="140" w:right="0" w:firstLine="0"/>
        <w:jc w:val="left"/>
        <w:rPr>
          <w:i/>
          <w:sz w:val="20"/>
        </w:rPr>
      </w:pPr>
      <w:r>
        <w:rPr>
          <w:i/>
          <w:sz w:val="20"/>
        </w:rPr>
        <w:t>Source: Washington State Department of Revenue, Taxable Retail Sales </w:t>
      </w:r>
      <w:hyperlink r:id="rId43">
        <w:r>
          <w:rPr>
            <w:i/>
            <w:color w:val="0000FF"/>
            <w:sz w:val="20"/>
            <w:u w:val="single" w:color="0000FF"/>
          </w:rPr>
          <w:t>Link</w:t>
        </w:r>
        <w:r>
          <w:rPr>
            <w:i/>
            <w:sz w:val="20"/>
          </w:rPr>
          <w:t>. </w:t>
        </w:r>
      </w:hyperlink>
      <w:r>
        <w:rPr>
          <w:i/>
          <w:sz w:val="20"/>
        </w:rPr>
        <w:t>Accessed October 24, 2016</w:t>
      </w:r>
    </w:p>
    <w:p>
      <w:pPr>
        <w:pStyle w:val="BodyText"/>
        <w:rPr>
          <w:i/>
          <w:sz w:val="20"/>
        </w:rPr>
      </w:pPr>
    </w:p>
    <w:p>
      <w:pPr>
        <w:pStyle w:val="BodyText"/>
        <w:spacing w:before="8"/>
        <w:rPr>
          <w:i/>
        </w:rPr>
      </w:pPr>
    </w:p>
    <w:p>
      <w:pPr>
        <w:pStyle w:val="BodyText"/>
        <w:ind w:left="139" w:right="334"/>
        <w:jc w:val="both"/>
      </w:pPr>
      <w:r>
        <w:rPr/>
        <w:t>Richland</w:t>
      </w:r>
      <w:r>
        <w:rPr>
          <w:spacing w:val="-6"/>
        </w:rPr>
        <w:t> </w:t>
      </w:r>
      <w:r>
        <w:rPr/>
        <w:t>has</w:t>
      </w:r>
      <w:r>
        <w:rPr>
          <w:spacing w:val="-3"/>
        </w:rPr>
        <w:t> </w:t>
      </w:r>
      <w:r>
        <w:rPr/>
        <w:t>seen</w:t>
      </w:r>
      <w:r>
        <w:rPr>
          <w:spacing w:val="-5"/>
        </w:rPr>
        <w:t> </w:t>
      </w:r>
      <w:r>
        <w:rPr/>
        <w:t>higher</w:t>
      </w:r>
      <w:r>
        <w:rPr>
          <w:spacing w:val="-7"/>
        </w:rPr>
        <w:t> </w:t>
      </w:r>
      <w:r>
        <w:rPr/>
        <w:t>increases</w:t>
      </w:r>
      <w:r>
        <w:rPr>
          <w:spacing w:val="-3"/>
        </w:rPr>
        <w:t> </w:t>
      </w:r>
      <w:r>
        <w:rPr/>
        <w:t>in</w:t>
      </w:r>
      <w:r>
        <w:rPr>
          <w:spacing w:val="-5"/>
        </w:rPr>
        <w:t> </w:t>
      </w:r>
      <w:r>
        <w:rPr/>
        <w:t>taxable</w:t>
      </w:r>
      <w:r>
        <w:rPr>
          <w:spacing w:val="-4"/>
        </w:rPr>
        <w:t> </w:t>
      </w:r>
      <w:r>
        <w:rPr/>
        <w:t>retail</w:t>
      </w:r>
      <w:r>
        <w:rPr>
          <w:spacing w:val="-7"/>
        </w:rPr>
        <w:t> </w:t>
      </w:r>
      <w:r>
        <w:rPr/>
        <w:t>sales</w:t>
      </w:r>
      <w:r>
        <w:rPr>
          <w:spacing w:val="-3"/>
        </w:rPr>
        <w:t> </w:t>
      </w:r>
      <w:r>
        <w:rPr/>
        <w:t>relative</w:t>
      </w:r>
      <w:r>
        <w:rPr>
          <w:spacing w:val="-4"/>
        </w:rPr>
        <w:t> </w:t>
      </w:r>
      <w:r>
        <w:rPr/>
        <w:t>to</w:t>
      </w:r>
      <w:r>
        <w:rPr>
          <w:spacing w:val="-4"/>
        </w:rPr>
        <w:t> </w:t>
      </w:r>
      <w:r>
        <w:rPr/>
        <w:t>both</w:t>
      </w:r>
      <w:r>
        <w:rPr>
          <w:spacing w:val="-4"/>
        </w:rPr>
        <w:t> </w:t>
      </w:r>
      <w:r>
        <w:rPr/>
        <w:t>Kennewick</w:t>
      </w:r>
      <w:r>
        <w:rPr>
          <w:spacing w:val="-5"/>
        </w:rPr>
        <w:t> </w:t>
      </w:r>
      <w:r>
        <w:rPr/>
        <w:t>and</w:t>
      </w:r>
      <w:r>
        <w:rPr>
          <w:spacing w:val="-5"/>
        </w:rPr>
        <w:t> </w:t>
      </w:r>
      <w:r>
        <w:rPr/>
        <w:t>Pasco</w:t>
      </w:r>
      <w:r>
        <w:rPr>
          <w:spacing w:val="-4"/>
        </w:rPr>
        <w:t> </w:t>
      </w:r>
      <w:r>
        <w:rPr/>
        <w:t>since 2000, as seen in Figure ED-16. This indicates the retail sector is growing and increasing its market share</w:t>
      </w:r>
      <w:r>
        <w:rPr>
          <w:spacing w:val="-11"/>
        </w:rPr>
        <w:t> </w:t>
      </w:r>
      <w:r>
        <w:rPr/>
        <w:t>while</w:t>
      </w:r>
      <w:r>
        <w:rPr>
          <w:spacing w:val="-14"/>
        </w:rPr>
        <w:t> </w:t>
      </w:r>
      <w:r>
        <w:rPr/>
        <w:t>retail</w:t>
      </w:r>
      <w:r>
        <w:rPr>
          <w:spacing w:val="-13"/>
        </w:rPr>
        <w:t> </w:t>
      </w:r>
      <w:r>
        <w:rPr/>
        <w:t>sales</w:t>
      </w:r>
      <w:r>
        <w:rPr>
          <w:spacing w:val="-13"/>
        </w:rPr>
        <w:t> </w:t>
      </w:r>
      <w:r>
        <w:rPr/>
        <w:t>in</w:t>
      </w:r>
      <w:r>
        <w:rPr>
          <w:spacing w:val="-14"/>
        </w:rPr>
        <w:t> </w:t>
      </w:r>
      <w:r>
        <w:rPr/>
        <w:t>Pasco</w:t>
      </w:r>
      <w:r>
        <w:rPr>
          <w:spacing w:val="-11"/>
        </w:rPr>
        <w:t> </w:t>
      </w:r>
      <w:r>
        <w:rPr/>
        <w:t>and</w:t>
      </w:r>
      <w:r>
        <w:rPr>
          <w:spacing w:val="-13"/>
        </w:rPr>
        <w:t> </w:t>
      </w:r>
      <w:r>
        <w:rPr/>
        <w:t>Kennewick</w:t>
      </w:r>
      <w:r>
        <w:rPr>
          <w:spacing w:val="-15"/>
        </w:rPr>
        <w:t> </w:t>
      </w:r>
      <w:r>
        <w:rPr/>
        <w:t>have</w:t>
      </w:r>
      <w:r>
        <w:rPr>
          <w:spacing w:val="-11"/>
        </w:rPr>
        <w:t> </w:t>
      </w:r>
      <w:r>
        <w:rPr/>
        <w:t>slowed</w:t>
      </w:r>
      <w:r>
        <w:rPr>
          <w:spacing w:val="-11"/>
        </w:rPr>
        <w:t> </w:t>
      </w:r>
      <w:r>
        <w:rPr/>
        <w:t>relatively.</w:t>
      </w:r>
      <w:r>
        <w:rPr>
          <w:spacing w:val="-11"/>
        </w:rPr>
        <w:t> </w:t>
      </w:r>
      <w:r>
        <w:rPr/>
        <w:t>While</w:t>
      </w:r>
      <w:r>
        <w:rPr>
          <w:spacing w:val="-13"/>
        </w:rPr>
        <w:t> </w:t>
      </w:r>
      <w:r>
        <w:rPr/>
        <w:t>West</w:t>
      </w:r>
      <w:r>
        <w:rPr>
          <w:spacing w:val="-14"/>
        </w:rPr>
        <w:t> </w:t>
      </w:r>
      <w:r>
        <w:rPr/>
        <w:t>Richland</w:t>
      </w:r>
      <w:r>
        <w:rPr>
          <w:spacing w:val="-11"/>
        </w:rPr>
        <w:t> </w:t>
      </w:r>
      <w:r>
        <w:rPr/>
        <w:t>has</w:t>
      </w:r>
      <w:r>
        <w:rPr>
          <w:spacing w:val="-13"/>
        </w:rPr>
        <w:t> </w:t>
      </w:r>
      <w:r>
        <w:rPr/>
        <w:t>seen significant increases (2009 saw three times their 2000 sales), it continues to provide only a very small share of the overall</w:t>
      </w:r>
      <w:r>
        <w:rPr>
          <w:spacing w:val="-8"/>
        </w:rPr>
        <w:t> </w:t>
      </w:r>
      <w:r>
        <w:rPr/>
        <w:t>market.</w:t>
      </w:r>
    </w:p>
    <w:p>
      <w:pPr>
        <w:spacing w:before="119"/>
        <w:ind w:left="140" w:right="0" w:firstLine="0"/>
        <w:jc w:val="both"/>
        <w:rPr>
          <w:rFonts w:ascii="Arial"/>
          <w:b/>
          <w:sz w:val="20"/>
        </w:rPr>
      </w:pPr>
      <w:r>
        <w:rPr/>
        <w:pict>
          <v:group style="position:absolute;margin-left:72.75pt;margin-top:24.218891pt;width:390.75pt;height:199.95pt;mso-position-horizontal-relative:page;mso-position-vertical-relative:paragraph;z-index:-251625472;mso-wrap-distance-left:0;mso-wrap-distance-right:0" coordorigin="1455,484" coordsize="7815,3999">
            <v:shape style="position:absolute;left:1621;top:672;width:7504;height:3680" type="#_x0000_t75" stroked="false">
              <v:imagedata r:id="rId44" o:title=""/>
            </v:shape>
            <v:rect style="position:absolute;left:1462;top:491;width:7800;height:3984" filled="false" stroked="true" strokeweight=".75pt" strokecolor="#000000">
              <v:stroke dashstyle="solid"/>
            </v:rect>
            <w10:wrap type="topAndBottom"/>
          </v:group>
        </w:pict>
      </w:r>
      <w:bookmarkStart w:name="_bookmark26" w:id="51"/>
      <w:bookmarkEnd w:id="51"/>
      <w:r>
        <w:rPr/>
      </w:r>
      <w:r>
        <w:rPr>
          <w:rFonts w:ascii="Arial"/>
          <w:b/>
          <w:sz w:val="20"/>
        </w:rPr>
        <w:t>Figure ED-16: Taxable Retail Sales in Millions Indexed to 2000</w:t>
      </w:r>
    </w:p>
    <w:p>
      <w:pPr>
        <w:spacing w:before="36"/>
        <w:ind w:left="140" w:right="0" w:firstLine="0"/>
        <w:jc w:val="both"/>
        <w:rPr>
          <w:i/>
          <w:sz w:val="20"/>
        </w:rPr>
      </w:pPr>
      <w:r>
        <w:rPr>
          <w:i/>
          <w:sz w:val="20"/>
        </w:rPr>
        <w:t>Source: Washington State Department of Revenue. Accessed October 24, 2016</w:t>
      </w:r>
    </w:p>
    <w:p>
      <w:pPr>
        <w:spacing w:after="0"/>
        <w:jc w:val="both"/>
        <w:rPr>
          <w:sz w:val="20"/>
        </w:rPr>
        <w:sectPr>
          <w:pgSz w:w="12240" w:h="15840"/>
          <w:pgMar w:header="0" w:footer="1132" w:top="1460" w:bottom="1320" w:left="1300" w:right="1100"/>
        </w:sectPr>
      </w:pPr>
    </w:p>
    <w:p>
      <w:pPr>
        <w:pStyle w:val="Heading6"/>
        <w:spacing w:before="78"/>
        <w:jc w:val="both"/>
      </w:pPr>
      <w:bookmarkStart w:name="Future Growth Forecasts" w:id="52"/>
      <w:bookmarkEnd w:id="52"/>
      <w:r>
        <w:rPr>
          <w:b w:val="0"/>
        </w:rPr>
      </w:r>
      <w:bookmarkStart w:name="_bookmark27" w:id="53"/>
      <w:bookmarkEnd w:id="53"/>
      <w:r>
        <w:rPr>
          <w:b w:val="0"/>
        </w:rPr>
      </w:r>
      <w:r>
        <w:rPr/>
        <w:t>FUTURE GROWTH FORECASTS</w:t>
      </w:r>
    </w:p>
    <w:p>
      <w:pPr>
        <w:spacing w:before="202"/>
        <w:ind w:left="140" w:right="0" w:firstLine="0"/>
        <w:jc w:val="both"/>
        <w:rPr>
          <w:b/>
          <w:sz w:val="22"/>
        </w:rPr>
      </w:pPr>
      <w:bookmarkStart w:name="Employment Forecasts" w:id="54"/>
      <w:bookmarkEnd w:id="54"/>
      <w:r>
        <w:rPr/>
      </w:r>
      <w:r>
        <w:rPr>
          <w:b/>
          <w:color w:val="C0504D"/>
          <w:sz w:val="22"/>
        </w:rPr>
        <w:t>Employment Forecasts</w:t>
      </w:r>
    </w:p>
    <w:p>
      <w:pPr>
        <w:pStyle w:val="BodyText"/>
        <w:spacing w:before="119"/>
        <w:ind w:left="140" w:right="332"/>
        <w:jc w:val="both"/>
      </w:pPr>
      <w:r>
        <w:rPr/>
        <w:t>Short-term industry forecasts for the region continue to expect positive growth in the region. Strongest growth is forecast in the service sector, specifically business and health services – </w:t>
      </w:r>
      <w:r>
        <w:rPr>
          <w:spacing w:val="-3"/>
        </w:rPr>
        <w:t>two </w:t>
      </w:r>
      <w:r>
        <w:rPr/>
        <w:t>sectors</w:t>
      </w:r>
      <w:r>
        <w:rPr>
          <w:spacing w:val="-6"/>
        </w:rPr>
        <w:t> </w:t>
      </w:r>
      <w:r>
        <w:rPr/>
        <w:t>where</w:t>
      </w:r>
      <w:r>
        <w:rPr>
          <w:spacing w:val="-5"/>
        </w:rPr>
        <w:t> </w:t>
      </w:r>
      <w:r>
        <w:rPr/>
        <w:t>Richland</w:t>
      </w:r>
      <w:r>
        <w:rPr>
          <w:spacing w:val="-7"/>
        </w:rPr>
        <w:t> </w:t>
      </w:r>
      <w:r>
        <w:rPr/>
        <w:t>is</w:t>
      </w:r>
      <w:r>
        <w:rPr>
          <w:spacing w:val="-4"/>
        </w:rPr>
        <w:t> </w:t>
      </w:r>
      <w:r>
        <w:rPr/>
        <w:t>driving</w:t>
      </w:r>
      <w:r>
        <w:rPr>
          <w:spacing w:val="-4"/>
        </w:rPr>
        <w:t> </w:t>
      </w:r>
      <w:r>
        <w:rPr/>
        <w:t>the</w:t>
      </w:r>
      <w:r>
        <w:rPr>
          <w:spacing w:val="-6"/>
        </w:rPr>
        <w:t> </w:t>
      </w:r>
      <w:r>
        <w:rPr/>
        <w:t>region’s</w:t>
      </w:r>
      <w:r>
        <w:rPr>
          <w:spacing w:val="-4"/>
        </w:rPr>
        <w:t> </w:t>
      </w:r>
      <w:r>
        <w:rPr/>
        <w:t>growth</w:t>
      </w:r>
      <w:r>
        <w:rPr>
          <w:spacing w:val="-5"/>
        </w:rPr>
        <w:t> </w:t>
      </w:r>
      <w:r>
        <w:rPr/>
        <w:t>and</w:t>
      </w:r>
      <w:r>
        <w:rPr>
          <w:spacing w:val="-8"/>
        </w:rPr>
        <w:t> </w:t>
      </w:r>
      <w:r>
        <w:rPr/>
        <w:t>that</w:t>
      </w:r>
      <w:r>
        <w:rPr>
          <w:spacing w:val="-6"/>
        </w:rPr>
        <w:t> </w:t>
      </w:r>
      <w:r>
        <w:rPr/>
        <w:t>are</w:t>
      </w:r>
      <w:r>
        <w:rPr>
          <w:spacing w:val="-5"/>
        </w:rPr>
        <w:t> </w:t>
      </w:r>
      <w:r>
        <w:rPr/>
        <w:t>well</w:t>
      </w:r>
      <w:r>
        <w:rPr>
          <w:spacing w:val="-7"/>
        </w:rPr>
        <w:t> </w:t>
      </w:r>
      <w:r>
        <w:rPr/>
        <w:t>positioned</w:t>
      </w:r>
      <w:r>
        <w:rPr>
          <w:spacing w:val="-6"/>
        </w:rPr>
        <w:t> </w:t>
      </w:r>
      <w:r>
        <w:rPr/>
        <w:t>for</w:t>
      </w:r>
      <w:r>
        <w:rPr>
          <w:spacing w:val="-6"/>
        </w:rPr>
        <w:t> </w:t>
      </w:r>
      <w:r>
        <w:rPr/>
        <w:t>future</w:t>
      </w:r>
      <w:r>
        <w:rPr>
          <w:spacing w:val="-6"/>
        </w:rPr>
        <w:t> </w:t>
      </w:r>
      <w:r>
        <w:rPr/>
        <w:t>growth.</w:t>
      </w:r>
    </w:p>
    <w:p>
      <w:pPr>
        <w:spacing w:before="121"/>
        <w:ind w:left="140" w:right="0" w:firstLine="0"/>
        <w:jc w:val="both"/>
        <w:rPr>
          <w:rFonts w:ascii="Arial"/>
          <w:b/>
          <w:sz w:val="20"/>
        </w:rPr>
      </w:pPr>
      <w:r>
        <w:rPr>
          <w:rFonts w:ascii="Arial"/>
          <w:b/>
          <w:sz w:val="20"/>
        </w:rPr>
        <w:t>Table ED-4: Employment Forecast by Industry for the MSA</w:t>
      </w:r>
    </w:p>
    <w:p>
      <w:pPr>
        <w:pStyle w:val="BodyText"/>
        <w:spacing w:before="4"/>
        <w:rPr>
          <w:rFonts w:ascii="Arial"/>
          <w:b/>
          <w:sz w:val="10"/>
        </w:rPr>
      </w:pPr>
    </w:p>
    <w:tbl>
      <w:tblPr>
        <w:tblW w:w="0" w:type="auto"/>
        <w:jc w:val="left"/>
        <w:tblInd w:w="2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40"/>
        <w:gridCol w:w="1062"/>
        <w:gridCol w:w="1248"/>
        <w:gridCol w:w="1210"/>
        <w:gridCol w:w="916"/>
        <w:gridCol w:w="944"/>
        <w:gridCol w:w="1459"/>
      </w:tblGrid>
      <w:tr>
        <w:trPr>
          <w:trHeight w:val="422" w:hRule="atLeast"/>
        </w:trPr>
        <w:tc>
          <w:tcPr>
            <w:tcW w:w="2240" w:type="dxa"/>
            <w:tcBorders>
              <w:top w:val="single" w:sz="4" w:space="0" w:color="000000"/>
              <w:left w:val="single" w:sz="4" w:space="0" w:color="000000"/>
            </w:tcBorders>
            <w:shd w:val="clear" w:color="auto" w:fill="B8CCE3"/>
          </w:tcPr>
          <w:p>
            <w:pPr>
              <w:pStyle w:val="TableParagraph"/>
              <w:spacing w:before="0"/>
              <w:ind w:left="0"/>
              <w:rPr>
                <w:rFonts w:ascii="Times New Roman"/>
                <w:sz w:val="20"/>
              </w:rPr>
            </w:pPr>
          </w:p>
        </w:tc>
        <w:tc>
          <w:tcPr>
            <w:tcW w:w="1062" w:type="dxa"/>
            <w:tcBorders>
              <w:top w:val="single" w:sz="4" w:space="0" w:color="000000"/>
            </w:tcBorders>
            <w:shd w:val="clear" w:color="auto" w:fill="B8CCE3"/>
          </w:tcPr>
          <w:p>
            <w:pPr>
              <w:pStyle w:val="TableParagraph"/>
              <w:spacing w:before="0"/>
              <w:ind w:left="0"/>
              <w:rPr>
                <w:rFonts w:ascii="Times New Roman"/>
                <w:sz w:val="20"/>
              </w:rPr>
            </w:pPr>
          </w:p>
        </w:tc>
        <w:tc>
          <w:tcPr>
            <w:tcW w:w="1248" w:type="dxa"/>
            <w:tcBorders>
              <w:top w:val="single" w:sz="4" w:space="0" w:color="000000"/>
            </w:tcBorders>
            <w:shd w:val="clear" w:color="auto" w:fill="B8CCE3"/>
          </w:tcPr>
          <w:p>
            <w:pPr>
              <w:pStyle w:val="TableParagraph"/>
              <w:spacing w:before="0"/>
              <w:ind w:left="0"/>
              <w:rPr>
                <w:rFonts w:ascii="Times New Roman"/>
                <w:sz w:val="20"/>
              </w:rPr>
            </w:pPr>
          </w:p>
        </w:tc>
        <w:tc>
          <w:tcPr>
            <w:tcW w:w="1210" w:type="dxa"/>
            <w:tcBorders>
              <w:top w:val="single" w:sz="4" w:space="0" w:color="000000"/>
              <w:right w:val="single" w:sz="4" w:space="0" w:color="000000"/>
            </w:tcBorders>
            <w:shd w:val="clear" w:color="auto" w:fill="B8CCE3"/>
          </w:tcPr>
          <w:p>
            <w:pPr>
              <w:pStyle w:val="TableParagraph"/>
              <w:spacing w:before="0"/>
              <w:ind w:left="0"/>
              <w:rPr>
                <w:rFonts w:ascii="Times New Roman"/>
                <w:sz w:val="20"/>
              </w:rPr>
            </w:pPr>
          </w:p>
        </w:tc>
        <w:tc>
          <w:tcPr>
            <w:tcW w:w="916" w:type="dxa"/>
            <w:tcBorders>
              <w:top w:val="single" w:sz="4" w:space="0" w:color="000000"/>
              <w:left w:val="single" w:sz="4" w:space="0" w:color="000000"/>
            </w:tcBorders>
            <w:shd w:val="clear" w:color="auto" w:fill="B8CCE3"/>
          </w:tcPr>
          <w:p>
            <w:pPr>
              <w:pStyle w:val="TableParagraph"/>
              <w:spacing w:before="122"/>
              <w:rPr>
                <w:b/>
                <w:sz w:val="22"/>
              </w:rPr>
            </w:pPr>
            <w:r>
              <w:rPr>
                <w:b/>
                <w:sz w:val="22"/>
              </w:rPr>
              <w:t>Change</w:t>
            </w:r>
          </w:p>
        </w:tc>
        <w:tc>
          <w:tcPr>
            <w:tcW w:w="944" w:type="dxa"/>
            <w:tcBorders>
              <w:top w:val="single" w:sz="4" w:space="0" w:color="000000"/>
            </w:tcBorders>
            <w:shd w:val="clear" w:color="auto" w:fill="B8CCE3"/>
          </w:tcPr>
          <w:p>
            <w:pPr>
              <w:pStyle w:val="TableParagraph"/>
              <w:spacing w:before="0"/>
              <w:ind w:left="0"/>
              <w:rPr>
                <w:rFonts w:ascii="Times New Roman"/>
                <w:sz w:val="20"/>
              </w:rPr>
            </w:pPr>
          </w:p>
        </w:tc>
        <w:tc>
          <w:tcPr>
            <w:tcW w:w="1459" w:type="dxa"/>
            <w:tcBorders>
              <w:top w:val="single" w:sz="4" w:space="0" w:color="000000"/>
              <w:right w:val="single" w:sz="4" w:space="0" w:color="000000"/>
            </w:tcBorders>
            <w:shd w:val="clear" w:color="auto" w:fill="B8CCE3"/>
          </w:tcPr>
          <w:p>
            <w:pPr>
              <w:pStyle w:val="TableParagraph"/>
              <w:spacing w:before="0"/>
              <w:ind w:left="0"/>
              <w:rPr>
                <w:rFonts w:ascii="Times New Roman"/>
                <w:sz w:val="20"/>
              </w:rPr>
            </w:pPr>
          </w:p>
        </w:tc>
      </w:tr>
      <w:tr>
        <w:trPr>
          <w:trHeight w:val="299" w:hRule="atLeast"/>
        </w:trPr>
        <w:tc>
          <w:tcPr>
            <w:tcW w:w="2240" w:type="dxa"/>
            <w:tcBorders>
              <w:left w:val="single" w:sz="4" w:space="0" w:color="000000"/>
              <w:bottom w:val="single" w:sz="4" w:space="0" w:color="000000"/>
            </w:tcBorders>
            <w:shd w:val="clear" w:color="auto" w:fill="B8CCE3"/>
          </w:tcPr>
          <w:p>
            <w:pPr>
              <w:pStyle w:val="TableParagraph"/>
              <w:spacing w:before="0"/>
              <w:ind w:left="0"/>
              <w:rPr>
                <w:rFonts w:ascii="Times New Roman"/>
                <w:sz w:val="20"/>
              </w:rPr>
            </w:pPr>
          </w:p>
        </w:tc>
        <w:tc>
          <w:tcPr>
            <w:tcW w:w="1062" w:type="dxa"/>
            <w:tcBorders>
              <w:bottom w:val="single" w:sz="4" w:space="0" w:color="000000"/>
            </w:tcBorders>
            <w:shd w:val="clear" w:color="auto" w:fill="B8CCE3"/>
          </w:tcPr>
          <w:p>
            <w:pPr>
              <w:pStyle w:val="TableParagraph"/>
              <w:spacing w:line="237" w:lineRule="exact" w:before="43"/>
              <w:ind w:left="114"/>
              <w:rPr>
                <w:sz w:val="22"/>
              </w:rPr>
            </w:pPr>
            <w:r>
              <w:rPr>
                <w:sz w:val="22"/>
              </w:rPr>
              <w:t>2014</w:t>
            </w:r>
          </w:p>
        </w:tc>
        <w:tc>
          <w:tcPr>
            <w:tcW w:w="1248" w:type="dxa"/>
            <w:tcBorders>
              <w:bottom w:val="single" w:sz="4" w:space="0" w:color="000000"/>
            </w:tcBorders>
            <w:shd w:val="clear" w:color="auto" w:fill="B8CCE3"/>
          </w:tcPr>
          <w:p>
            <w:pPr>
              <w:pStyle w:val="TableParagraph"/>
              <w:spacing w:line="237" w:lineRule="exact" w:before="43"/>
              <w:ind w:left="300"/>
              <w:rPr>
                <w:sz w:val="22"/>
              </w:rPr>
            </w:pPr>
            <w:r>
              <w:rPr>
                <w:sz w:val="22"/>
              </w:rPr>
              <w:t>2019</w:t>
            </w:r>
          </w:p>
        </w:tc>
        <w:tc>
          <w:tcPr>
            <w:tcW w:w="1210" w:type="dxa"/>
            <w:tcBorders>
              <w:bottom w:val="single" w:sz="4" w:space="0" w:color="000000"/>
              <w:right w:val="single" w:sz="4" w:space="0" w:color="000000"/>
            </w:tcBorders>
            <w:shd w:val="clear" w:color="auto" w:fill="B8CCE3"/>
          </w:tcPr>
          <w:p>
            <w:pPr>
              <w:pStyle w:val="TableParagraph"/>
              <w:spacing w:line="237" w:lineRule="exact" w:before="43"/>
              <w:ind w:left="300"/>
              <w:rPr>
                <w:sz w:val="22"/>
              </w:rPr>
            </w:pPr>
            <w:r>
              <w:rPr>
                <w:sz w:val="22"/>
              </w:rPr>
              <w:t>2024</w:t>
            </w:r>
          </w:p>
        </w:tc>
        <w:tc>
          <w:tcPr>
            <w:tcW w:w="916" w:type="dxa"/>
            <w:tcBorders>
              <w:left w:val="single" w:sz="4" w:space="0" w:color="000000"/>
              <w:bottom w:val="single" w:sz="4" w:space="0" w:color="000000"/>
            </w:tcBorders>
            <w:shd w:val="clear" w:color="auto" w:fill="B8CCE3"/>
          </w:tcPr>
          <w:p>
            <w:pPr>
              <w:pStyle w:val="TableParagraph"/>
              <w:spacing w:line="237" w:lineRule="exact" w:before="43"/>
              <w:rPr>
                <w:sz w:val="22"/>
              </w:rPr>
            </w:pPr>
            <w:r>
              <w:rPr>
                <w:w w:val="100"/>
                <w:sz w:val="22"/>
              </w:rPr>
              <w:t>#</w:t>
            </w:r>
          </w:p>
        </w:tc>
        <w:tc>
          <w:tcPr>
            <w:tcW w:w="944" w:type="dxa"/>
            <w:tcBorders>
              <w:bottom w:val="single" w:sz="4" w:space="0" w:color="000000"/>
            </w:tcBorders>
            <w:shd w:val="clear" w:color="auto" w:fill="B8CCE3"/>
          </w:tcPr>
          <w:p>
            <w:pPr>
              <w:pStyle w:val="TableParagraph"/>
              <w:spacing w:line="237" w:lineRule="exact" w:before="43"/>
              <w:ind w:left="276"/>
              <w:rPr>
                <w:sz w:val="22"/>
              </w:rPr>
            </w:pPr>
            <w:r>
              <w:rPr>
                <w:w w:val="100"/>
                <w:sz w:val="22"/>
              </w:rPr>
              <w:t>%</w:t>
            </w:r>
          </w:p>
        </w:tc>
        <w:tc>
          <w:tcPr>
            <w:tcW w:w="1459" w:type="dxa"/>
            <w:tcBorders>
              <w:bottom w:val="single" w:sz="4" w:space="0" w:color="000000"/>
              <w:right w:val="single" w:sz="4" w:space="0" w:color="000000"/>
            </w:tcBorders>
            <w:shd w:val="clear" w:color="auto" w:fill="B8CCE3"/>
          </w:tcPr>
          <w:p>
            <w:pPr>
              <w:pStyle w:val="TableParagraph"/>
              <w:spacing w:line="237" w:lineRule="exact" w:before="43"/>
              <w:ind w:left="232"/>
              <w:rPr>
                <w:sz w:val="14"/>
              </w:rPr>
            </w:pPr>
            <w:r>
              <w:rPr>
                <w:sz w:val="22"/>
              </w:rPr>
              <w:t>AAGR</w:t>
            </w:r>
            <w:r>
              <w:rPr>
                <w:position w:val="5"/>
                <w:sz w:val="14"/>
              </w:rPr>
              <w:t>1</w:t>
            </w:r>
          </w:p>
        </w:tc>
      </w:tr>
      <w:tr>
        <w:trPr>
          <w:trHeight w:val="347" w:hRule="atLeast"/>
        </w:trPr>
        <w:tc>
          <w:tcPr>
            <w:tcW w:w="2240" w:type="dxa"/>
            <w:tcBorders>
              <w:top w:val="single" w:sz="4" w:space="0" w:color="000000"/>
              <w:left w:val="single" w:sz="4" w:space="0" w:color="000000"/>
            </w:tcBorders>
          </w:tcPr>
          <w:p>
            <w:pPr>
              <w:pStyle w:val="TableParagraph"/>
              <w:rPr>
                <w:sz w:val="22"/>
              </w:rPr>
            </w:pPr>
            <w:r>
              <w:rPr>
                <w:sz w:val="22"/>
              </w:rPr>
              <w:t>Construction</w:t>
            </w:r>
          </w:p>
        </w:tc>
        <w:tc>
          <w:tcPr>
            <w:tcW w:w="1062" w:type="dxa"/>
            <w:tcBorders>
              <w:top w:val="single" w:sz="4" w:space="0" w:color="000000"/>
            </w:tcBorders>
          </w:tcPr>
          <w:p>
            <w:pPr>
              <w:pStyle w:val="TableParagraph"/>
              <w:ind w:left="114"/>
              <w:rPr>
                <w:sz w:val="22"/>
              </w:rPr>
            </w:pPr>
            <w:r>
              <w:rPr>
                <w:sz w:val="22"/>
              </w:rPr>
              <w:t>6,300</w:t>
            </w:r>
          </w:p>
        </w:tc>
        <w:tc>
          <w:tcPr>
            <w:tcW w:w="1248" w:type="dxa"/>
            <w:tcBorders>
              <w:top w:val="single" w:sz="4" w:space="0" w:color="000000"/>
            </w:tcBorders>
          </w:tcPr>
          <w:p>
            <w:pPr>
              <w:pStyle w:val="TableParagraph"/>
              <w:ind w:left="300"/>
              <w:rPr>
                <w:sz w:val="22"/>
              </w:rPr>
            </w:pPr>
            <w:r>
              <w:rPr>
                <w:sz w:val="22"/>
              </w:rPr>
              <w:t>7,300</w:t>
            </w:r>
          </w:p>
        </w:tc>
        <w:tc>
          <w:tcPr>
            <w:tcW w:w="1210" w:type="dxa"/>
            <w:tcBorders>
              <w:top w:val="single" w:sz="4" w:space="0" w:color="000000"/>
              <w:right w:val="single" w:sz="4" w:space="0" w:color="000000"/>
            </w:tcBorders>
          </w:tcPr>
          <w:p>
            <w:pPr>
              <w:pStyle w:val="TableParagraph"/>
              <w:ind w:left="300"/>
              <w:rPr>
                <w:sz w:val="22"/>
              </w:rPr>
            </w:pPr>
            <w:r>
              <w:rPr>
                <w:sz w:val="22"/>
              </w:rPr>
              <w:t>7,600</w:t>
            </w:r>
          </w:p>
        </w:tc>
        <w:tc>
          <w:tcPr>
            <w:tcW w:w="916" w:type="dxa"/>
            <w:tcBorders>
              <w:top w:val="single" w:sz="4" w:space="0" w:color="000000"/>
              <w:left w:val="single" w:sz="4" w:space="0" w:color="000000"/>
            </w:tcBorders>
          </w:tcPr>
          <w:p>
            <w:pPr>
              <w:pStyle w:val="TableParagraph"/>
              <w:rPr>
                <w:sz w:val="22"/>
              </w:rPr>
            </w:pPr>
            <w:r>
              <w:rPr>
                <w:sz w:val="22"/>
              </w:rPr>
              <w:t>1,300</w:t>
            </w:r>
          </w:p>
        </w:tc>
        <w:tc>
          <w:tcPr>
            <w:tcW w:w="944" w:type="dxa"/>
            <w:tcBorders>
              <w:top w:val="single" w:sz="4" w:space="0" w:color="000000"/>
            </w:tcBorders>
          </w:tcPr>
          <w:p>
            <w:pPr>
              <w:pStyle w:val="TableParagraph"/>
              <w:ind w:left="276"/>
              <w:rPr>
                <w:sz w:val="22"/>
              </w:rPr>
            </w:pPr>
            <w:r>
              <w:rPr>
                <w:sz w:val="22"/>
              </w:rPr>
              <w:t>21%</w:t>
            </w:r>
          </w:p>
        </w:tc>
        <w:tc>
          <w:tcPr>
            <w:tcW w:w="1459" w:type="dxa"/>
            <w:tcBorders>
              <w:top w:val="single" w:sz="4" w:space="0" w:color="000000"/>
              <w:right w:val="single" w:sz="4" w:space="0" w:color="000000"/>
            </w:tcBorders>
          </w:tcPr>
          <w:p>
            <w:pPr>
              <w:pStyle w:val="TableParagraph"/>
              <w:ind w:left="232"/>
              <w:rPr>
                <w:sz w:val="22"/>
              </w:rPr>
            </w:pPr>
            <w:r>
              <w:rPr>
                <w:sz w:val="22"/>
              </w:rPr>
              <w:t>1.9%</w:t>
            </w:r>
          </w:p>
        </w:tc>
      </w:tr>
      <w:tr>
        <w:trPr>
          <w:trHeight w:val="318" w:hRule="atLeast"/>
        </w:trPr>
        <w:tc>
          <w:tcPr>
            <w:tcW w:w="2240" w:type="dxa"/>
            <w:tcBorders>
              <w:left w:val="single" w:sz="4" w:space="0" w:color="000000"/>
            </w:tcBorders>
          </w:tcPr>
          <w:p>
            <w:pPr>
              <w:pStyle w:val="TableParagraph"/>
              <w:spacing w:before="31"/>
              <w:rPr>
                <w:sz w:val="22"/>
              </w:rPr>
            </w:pPr>
            <w:r>
              <w:rPr>
                <w:sz w:val="22"/>
              </w:rPr>
              <w:t>Manufacturing</w:t>
            </w:r>
          </w:p>
        </w:tc>
        <w:tc>
          <w:tcPr>
            <w:tcW w:w="1062" w:type="dxa"/>
          </w:tcPr>
          <w:p>
            <w:pPr>
              <w:pStyle w:val="TableParagraph"/>
              <w:spacing w:before="31"/>
              <w:ind w:left="114"/>
              <w:rPr>
                <w:sz w:val="22"/>
              </w:rPr>
            </w:pPr>
            <w:r>
              <w:rPr>
                <w:sz w:val="22"/>
              </w:rPr>
              <w:t>7,800</w:t>
            </w:r>
          </w:p>
        </w:tc>
        <w:tc>
          <w:tcPr>
            <w:tcW w:w="1248" w:type="dxa"/>
          </w:tcPr>
          <w:p>
            <w:pPr>
              <w:pStyle w:val="TableParagraph"/>
              <w:spacing w:before="31"/>
              <w:ind w:left="300"/>
              <w:rPr>
                <w:sz w:val="22"/>
              </w:rPr>
            </w:pPr>
            <w:r>
              <w:rPr>
                <w:sz w:val="22"/>
              </w:rPr>
              <w:t>8,200</w:t>
            </w:r>
          </w:p>
        </w:tc>
        <w:tc>
          <w:tcPr>
            <w:tcW w:w="1210" w:type="dxa"/>
            <w:tcBorders>
              <w:right w:val="single" w:sz="4" w:space="0" w:color="000000"/>
            </w:tcBorders>
          </w:tcPr>
          <w:p>
            <w:pPr>
              <w:pStyle w:val="TableParagraph"/>
              <w:spacing w:before="31"/>
              <w:ind w:left="300"/>
              <w:rPr>
                <w:sz w:val="22"/>
              </w:rPr>
            </w:pPr>
            <w:r>
              <w:rPr>
                <w:sz w:val="22"/>
              </w:rPr>
              <w:t>8,400</w:t>
            </w:r>
          </w:p>
        </w:tc>
        <w:tc>
          <w:tcPr>
            <w:tcW w:w="916" w:type="dxa"/>
            <w:tcBorders>
              <w:left w:val="single" w:sz="4" w:space="0" w:color="000000"/>
            </w:tcBorders>
          </w:tcPr>
          <w:p>
            <w:pPr>
              <w:pStyle w:val="TableParagraph"/>
              <w:spacing w:before="31"/>
              <w:rPr>
                <w:sz w:val="22"/>
              </w:rPr>
            </w:pPr>
            <w:r>
              <w:rPr>
                <w:sz w:val="22"/>
              </w:rPr>
              <w:t>600</w:t>
            </w:r>
          </w:p>
        </w:tc>
        <w:tc>
          <w:tcPr>
            <w:tcW w:w="944" w:type="dxa"/>
          </w:tcPr>
          <w:p>
            <w:pPr>
              <w:pStyle w:val="TableParagraph"/>
              <w:spacing w:before="31"/>
              <w:ind w:left="276"/>
              <w:rPr>
                <w:sz w:val="22"/>
              </w:rPr>
            </w:pPr>
            <w:r>
              <w:rPr>
                <w:sz w:val="22"/>
              </w:rPr>
              <w:t>8%</w:t>
            </w:r>
          </w:p>
        </w:tc>
        <w:tc>
          <w:tcPr>
            <w:tcW w:w="1459" w:type="dxa"/>
            <w:tcBorders>
              <w:right w:val="single" w:sz="4" w:space="0" w:color="000000"/>
            </w:tcBorders>
          </w:tcPr>
          <w:p>
            <w:pPr>
              <w:pStyle w:val="TableParagraph"/>
              <w:spacing w:before="31"/>
              <w:ind w:left="232"/>
              <w:rPr>
                <w:sz w:val="22"/>
              </w:rPr>
            </w:pPr>
            <w:r>
              <w:rPr>
                <w:sz w:val="22"/>
              </w:rPr>
              <w:t>0.7%</w:t>
            </w:r>
          </w:p>
        </w:tc>
      </w:tr>
      <w:tr>
        <w:trPr>
          <w:trHeight w:val="317" w:hRule="atLeast"/>
        </w:trPr>
        <w:tc>
          <w:tcPr>
            <w:tcW w:w="2240" w:type="dxa"/>
            <w:tcBorders>
              <w:left w:val="single" w:sz="4" w:space="0" w:color="000000"/>
            </w:tcBorders>
          </w:tcPr>
          <w:p>
            <w:pPr>
              <w:pStyle w:val="TableParagraph"/>
              <w:spacing w:before="29"/>
              <w:rPr>
                <w:sz w:val="22"/>
              </w:rPr>
            </w:pPr>
            <w:r>
              <w:rPr>
                <w:sz w:val="22"/>
              </w:rPr>
              <w:t>Wholesale Trade</w:t>
            </w:r>
          </w:p>
        </w:tc>
        <w:tc>
          <w:tcPr>
            <w:tcW w:w="1062" w:type="dxa"/>
          </w:tcPr>
          <w:p>
            <w:pPr>
              <w:pStyle w:val="TableParagraph"/>
              <w:spacing w:before="29"/>
              <w:ind w:left="114"/>
              <w:rPr>
                <w:sz w:val="22"/>
              </w:rPr>
            </w:pPr>
            <w:r>
              <w:rPr>
                <w:sz w:val="22"/>
              </w:rPr>
              <w:t>3,300</w:t>
            </w:r>
          </w:p>
        </w:tc>
        <w:tc>
          <w:tcPr>
            <w:tcW w:w="1248" w:type="dxa"/>
          </w:tcPr>
          <w:p>
            <w:pPr>
              <w:pStyle w:val="TableParagraph"/>
              <w:spacing w:before="29"/>
              <w:ind w:left="300"/>
              <w:rPr>
                <w:sz w:val="22"/>
              </w:rPr>
            </w:pPr>
            <w:r>
              <w:rPr>
                <w:sz w:val="22"/>
              </w:rPr>
              <w:t>3,700</w:t>
            </w:r>
          </w:p>
        </w:tc>
        <w:tc>
          <w:tcPr>
            <w:tcW w:w="1210" w:type="dxa"/>
            <w:tcBorders>
              <w:right w:val="single" w:sz="4" w:space="0" w:color="000000"/>
            </w:tcBorders>
          </w:tcPr>
          <w:p>
            <w:pPr>
              <w:pStyle w:val="TableParagraph"/>
              <w:spacing w:before="29"/>
              <w:ind w:left="300"/>
              <w:rPr>
                <w:sz w:val="22"/>
              </w:rPr>
            </w:pPr>
            <w:r>
              <w:rPr>
                <w:sz w:val="22"/>
              </w:rPr>
              <w:t>3,900</w:t>
            </w:r>
          </w:p>
        </w:tc>
        <w:tc>
          <w:tcPr>
            <w:tcW w:w="916" w:type="dxa"/>
            <w:tcBorders>
              <w:left w:val="single" w:sz="4" w:space="0" w:color="000000"/>
            </w:tcBorders>
          </w:tcPr>
          <w:p>
            <w:pPr>
              <w:pStyle w:val="TableParagraph"/>
              <w:spacing w:before="29"/>
              <w:rPr>
                <w:sz w:val="22"/>
              </w:rPr>
            </w:pPr>
            <w:r>
              <w:rPr>
                <w:sz w:val="22"/>
              </w:rPr>
              <w:t>600</w:t>
            </w:r>
          </w:p>
        </w:tc>
        <w:tc>
          <w:tcPr>
            <w:tcW w:w="944" w:type="dxa"/>
          </w:tcPr>
          <w:p>
            <w:pPr>
              <w:pStyle w:val="TableParagraph"/>
              <w:spacing w:before="29"/>
              <w:ind w:left="276"/>
              <w:rPr>
                <w:sz w:val="22"/>
              </w:rPr>
            </w:pPr>
            <w:r>
              <w:rPr>
                <w:sz w:val="22"/>
              </w:rPr>
              <w:t>18%</w:t>
            </w:r>
          </w:p>
        </w:tc>
        <w:tc>
          <w:tcPr>
            <w:tcW w:w="1459" w:type="dxa"/>
            <w:tcBorders>
              <w:right w:val="single" w:sz="4" w:space="0" w:color="000000"/>
            </w:tcBorders>
          </w:tcPr>
          <w:p>
            <w:pPr>
              <w:pStyle w:val="TableParagraph"/>
              <w:spacing w:before="29"/>
              <w:ind w:left="232"/>
              <w:rPr>
                <w:sz w:val="22"/>
              </w:rPr>
            </w:pPr>
            <w:r>
              <w:rPr>
                <w:sz w:val="22"/>
              </w:rPr>
              <w:t>1.7%</w:t>
            </w:r>
          </w:p>
        </w:tc>
      </w:tr>
      <w:tr>
        <w:trPr>
          <w:trHeight w:val="318" w:hRule="atLeast"/>
        </w:trPr>
        <w:tc>
          <w:tcPr>
            <w:tcW w:w="2240" w:type="dxa"/>
            <w:tcBorders>
              <w:left w:val="single" w:sz="4" w:space="0" w:color="000000"/>
            </w:tcBorders>
          </w:tcPr>
          <w:p>
            <w:pPr>
              <w:pStyle w:val="TableParagraph"/>
              <w:spacing w:before="31"/>
              <w:rPr>
                <w:sz w:val="22"/>
              </w:rPr>
            </w:pPr>
            <w:r>
              <w:rPr>
                <w:sz w:val="22"/>
              </w:rPr>
              <w:t>Retail Trade</w:t>
            </w:r>
          </w:p>
        </w:tc>
        <w:tc>
          <w:tcPr>
            <w:tcW w:w="1062" w:type="dxa"/>
          </w:tcPr>
          <w:p>
            <w:pPr>
              <w:pStyle w:val="TableParagraph"/>
              <w:spacing w:before="31"/>
              <w:ind w:left="114"/>
              <w:rPr>
                <w:sz w:val="22"/>
              </w:rPr>
            </w:pPr>
            <w:r>
              <w:rPr>
                <w:sz w:val="22"/>
              </w:rPr>
              <w:t>12,200</w:t>
            </w:r>
          </w:p>
        </w:tc>
        <w:tc>
          <w:tcPr>
            <w:tcW w:w="1248" w:type="dxa"/>
          </w:tcPr>
          <w:p>
            <w:pPr>
              <w:pStyle w:val="TableParagraph"/>
              <w:spacing w:before="31"/>
              <w:ind w:left="300"/>
              <w:rPr>
                <w:sz w:val="22"/>
              </w:rPr>
            </w:pPr>
            <w:r>
              <w:rPr>
                <w:sz w:val="22"/>
              </w:rPr>
              <w:t>13,400</w:t>
            </w:r>
          </w:p>
        </w:tc>
        <w:tc>
          <w:tcPr>
            <w:tcW w:w="1210" w:type="dxa"/>
            <w:tcBorders>
              <w:right w:val="single" w:sz="4" w:space="0" w:color="000000"/>
            </w:tcBorders>
          </w:tcPr>
          <w:p>
            <w:pPr>
              <w:pStyle w:val="TableParagraph"/>
              <w:spacing w:before="31"/>
              <w:ind w:left="300"/>
              <w:rPr>
                <w:sz w:val="22"/>
              </w:rPr>
            </w:pPr>
            <w:r>
              <w:rPr>
                <w:sz w:val="22"/>
              </w:rPr>
              <w:t>14,100</w:t>
            </w:r>
          </w:p>
        </w:tc>
        <w:tc>
          <w:tcPr>
            <w:tcW w:w="916" w:type="dxa"/>
            <w:tcBorders>
              <w:left w:val="single" w:sz="4" w:space="0" w:color="000000"/>
            </w:tcBorders>
          </w:tcPr>
          <w:p>
            <w:pPr>
              <w:pStyle w:val="TableParagraph"/>
              <w:spacing w:before="31"/>
              <w:rPr>
                <w:sz w:val="22"/>
              </w:rPr>
            </w:pPr>
            <w:r>
              <w:rPr>
                <w:sz w:val="22"/>
              </w:rPr>
              <w:t>1,900</w:t>
            </w:r>
          </w:p>
        </w:tc>
        <w:tc>
          <w:tcPr>
            <w:tcW w:w="944" w:type="dxa"/>
          </w:tcPr>
          <w:p>
            <w:pPr>
              <w:pStyle w:val="TableParagraph"/>
              <w:spacing w:before="31"/>
              <w:ind w:left="276"/>
              <w:rPr>
                <w:sz w:val="22"/>
              </w:rPr>
            </w:pPr>
            <w:r>
              <w:rPr>
                <w:sz w:val="22"/>
              </w:rPr>
              <w:t>16%</w:t>
            </w:r>
          </w:p>
        </w:tc>
        <w:tc>
          <w:tcPr>
            <w:tcW w:w="1459" w:type="dxa"/>
            <w:tcBorders>
              <w:right w:val="single" w:sz="4" w:space="0" w:color="000000"/>
            </w:tcBorders>
          </w:tcPr>
          <w:p>
            <w:pPr>
              <w:pStyle w:val="TableParagraph"/>
              <w:spacing w:before="31"/>
              <w:ind w:left="232"/>
              <w:rPr>
                <w:sz w:val="22"/>
              </w:rPr>
            </w:pPr>
            <w:r>
              <w:rPr>
                <w:sz w:val="22"/>
              </w:rPr>
              <w:t>1.5%</w:t>
            </w:r>
          </w:p>
        </w:tc>
      </w:tr>
      <w:tr>
        <w:trPr>
          <w:trHeight w:val="834" w:hRule="atLeast"/>
        </w:trPr>
        <w:tc>
          <w:tcPr>
            <w:tcW w:w="2240" w:type="dxa"/>
            <w:tcBorders>
              <w:left w:val="single" w:sz="4" w:space="0" w:color="000000"/>
            </w:tcBorders>
          </w:tcPr>
          <w:p>
            <w:pPr>
              <w:pStyle w:val="TableParagraph"/>
              <w:spacing w:before="29"/>
              <w:ind w:right="452"/>
              <w:rPr>
                <w:sz w:val="22"/>
              </w:rPr>
            </w:pPr>
            <w:r>
              <w:rPr>
                <w:sz w:val="22"/>
              </w:rPr>
              <w:t>Transportation, Warehousing and Utilities</w:t>
            </w:r>
          </w:p>
        </w:tc>
        <w:tc>
          <w:tcPr>
            <w:tcW w:w="1062" w:type="dxa"/>
          </w:tcPr>
          <w:p>
            <w:pPr>
              <w:pStyle w:val="TableParagraph"/>
              <w:spacing w:before="0"/>
              <w:ind w:left="0"/>
              <w:rPr>
                <w:rFonts w:ascii="Arial"/>
                <w:b/>
                <w:sz w:val="26"/>
              </w:rPr>
            </w:pPr>
          </w:p>
          <w:p>
            <w:pPr>
              <w:pStyle w:val="TableParagraph"/>
              <w:spacing w:before="5"/>
              <w:ind w:left="0"/>
              <w:rPr>
                <w:rFonts w:ascii="Arial"/>
                <w:b/>
                <w:sz w:val="21"/>
              </w:rPr>
            </w:pPr>
          </w:p>
          <w:p>
            <w:pPr>
              <w:pStyle w:val="TableParagraph"/>
              <w:spacing w:before="0"/>
              <w:ind w:left="114"/>
              <w:rPr>
                <w:sz w:val="22"/>
              </w:rPr>
            </w:pPr>
            <w:r>
              <w:rPr>
                <w:sz w:val="22"/>
              </w:rPr>
              <w:t>2,700</w:t>
            </w:r>
          </w:p>
        </w:tc>
        <w:tc>
          <w:tcPr>
            <w:tcW w:w="1248" w:type="dxa"/>
          </w:tcPr>
          <w:p>
            <w:pPr>
              <w:pStyle w:val="TableParagraph"/>
              <w:spacing w:before="0"/>
              <w:ind w:left="0"/>
              <w:rPr>
                <w:rFonts w:ascii="Arial"/>
                <w:b/>
                <w:sz w:val="26"/>
              </w:rPr>
            </w:pPr>
          </w:p>
          <w:p>
            <w:pPr>
              <w:pStyle w:val="TableParagraph"/>
              <w:spacing w:before="5"/>
              <w:ind w:left="0"/>
              <w:rPr>
                <w:rFonts w:ascii="Arial"/>
                <w:b/>
                <w:sz w:val="21"/>
              </w:rPr>
            </w:pPr>
          </w:p>
          <w:p>
            <w:pPr>
              <w:pStyle w:val="TableParagraph"/>
              <w:spacing w:before="0"/>
              <w:ind w:left="300"/>
              <w:rPr>
                <w:sz w:val="22"/>
              </w:rPr>
            </w:pPr>
            <w:r>
              <w:rPr>
                <w:sz w:val="22"/>
              </w:rPr>
              <w:t>3,000</w:t>
            </w:r>
          </w:p>
        </w:tc>
        <w:tc>
          <w:tcPr>
            <w:tcW w:w="1210" w:type="dxa"/>
            <w:tcBorders>
              <w:right w:val="single" w:sz="4" w:space="0" w:color="000000"/>
            </w:tcBorders>
          </w:tcPr>
          <w:p>
            <w:pPr>
              <w:pStyle w:val="TableParagraph"/>
              <w:spacing w:before="0"/>
              <w:ind w:left="0"/>
              <w:rPr>
                <w:rFonts w:ascii="Arial"/>
                <w:b/>
                <w:sz w:val="26"/>
              </w:rPr>
            </w:pPr>
          </w:p>
          <w:p>
            <w:pPr>
              <w:pStyle w:val="TableParagraph"/>
              <w:spacing w:before="5"/>
              <w:ind w:left="0"/>
              <w:rPr>
                <w:rFonts w:ascii="Arial"/>
                <w:b/>
                <w:sz w:val="21"/>
              </w:rPr>
            </w:pPr>
          </w:p>
          <w:p>
            <w:pPr>
              <w:pStyle w:val="TableParagraph"/>
              <w:spacing w:before="0"/>
              <w:ind w:left="300"/>
              <w:rPr>
                <w:sz w:val="22"/>
              </w:rPr>
            </w:pPr>
            <w:r>
              <w:rPr>
                <w:sz w:val="22"/>
              </w:rPr>
              <w:t>3,100</w:t>
            </w:r>
          </w:p>
        </w:tc>
        <w:tc>
          <w:tcPr>
            <w:tcW w:w="916" w:type="dxa"/>
            <w:tcBorders>
              <w:left w:val="single" w:sz="4" w:space="0" w:color="000000"/>
            </w:tcBorders>
          </w:tcPr>
          <w:p>
            <w:pPr>
              <w:pStyle w:val="TableParagraph"/>
              <w:spacing w:before="0"/>
              <w:ind w:left="0"/>
              <w:rPr>
                <w:rFonts w:ascii="Arial"/>
                <w:b/>
                <w:sz w:val="26"/>
              </w:rPr>
            </w:pPr>
          </w:p>
          <w:p>
            <w:pPr>
              <w:pStyle w:val="TableParagraph"/>
              <w:spacing w:before="5"/>
              <w:ind w:left="0"/>
              <w:rPr>
                <w:rFonts w:ascii="Arial"/>
                <w:b/>
                <w:sz w:val="21"/>
              </w:rPr>
            </w:pPr>
          </w:p>
          <w:p>
            <w:pPr>
              <w:pStyle w:val="TableParagraph"/>
              <w:spacing w:before="0"/>
              <w:rPr>
                <w:sz w:val="22"/>
              </w:rPr>
            </w:pPr>
            <w:r>
              <w:rPr>
                <w:sz w:val="22"/>
              </w:rPr>
              <w:t>400</w:t>
            </w:r>
          </w:p>
        </w:tc>
        <w:tc>
          <w:tcPr>
            <w:tcW w:w="944" w:type="dxa"/>
          </w:tcPr>
          <w:p>
            <w:pPr>
              <w:pStyle w:val="TableParagraph"/>
              <w:spacing w:before="0"/>
              <w:ind w:left="0"/>
              <w:rPr>
                <w:rFonts w:ascii="Arial"/>
                <w:b/>
                <w:sz w:val="26"/>
              </w:rPr>
            </w:pPr>
          </w:p>
          <w:p>
            <w:pPr>
              <w:pStyle w:val="TableParagraph"/>
              <w:spacing w:before="5"/>
              <w:ind w:left="0"/>
              <w:rPr>
                <w:rFonts w:ascii="Arial"/>
                <w:b/>
                <w:sz w:val="21"/>
              </w:rPr>
            </w:pPr>
          </w:p>
          <w:p>
            <w:pPr>
              <w:pStyle w:val="TableParagraph"/>
              <w:spacing w:before="0"/>
              <w:ind w:left="276"/>
              <w:rPr>
                <w:sz w:val="22"/>
              </w:rPr>
            </w:pPr>
            <w:r>
              <w:rPr>
                <w:sz w:val="22"/>
              </w:rPr>
              <w:t>15%</w:t>
            </w:r>
          </w:p>
        </w:tc>
        <w:tc>
          <w:tcPr>
            <w:tcW w:w="1459" w:type="dxa"/>
            <w:tcBorders>
              <w:right w:val="single" w:sz="4" w:space="0" w:color="000000"/>
            </w:tcBorders>
          </w:tcPr>
          <w:p>
            <w:pPr>
              <w:pStyle w:val="TableParagraph"/>
              <w:spacing w:before="0"/>
              <w:ind w:left="0"/>
              <w:rPr>
                <w:rFonts w:ascii="Arial"/>
                <w:b/>
                <w:sz w:val="26"/>
              </w:rPr>
            </w:pPr>
          </w:p>
          <w:p>
            <w:pPr>
              <w:pStyle w:val="TableParagraph"/>
              <w:spacing w:before="5"/>
              <w:ind w:left="0"/>
              <w:rPr>
                <w:rFonts w:ascii="Arial"/>
                <w:b/>
                <w:sz w:val="21"/>
              </w:rPr>
            </w:pPr>
          </w:p>
          <w:p>
            <w:pPr>
              <w:pStyle w:val="TableParagraph"/>
              <w:spacing w:before="0"/>
              <w:ind w:left="232"/>
              <w:rPr>
                <w:sz w:val="22"/>
              </w:rPr>
            </w:pPr>
            <w:r>
              <w:rPr>
                <w:sz w:val="22"/>
              </w:rPr>
              <w:t>1.4%</w:t>
            </w:r>
          </w:p>
        </w:tc>
      </w:tr>
      <w:tr>
        <w:trPr>
          <w:trHeight w:val="317" w:hRule="atLeast"/>
        </w:trPr>
        <w:tc>
          <w:tcPr>
            <w:tcW w:w="2240" w:type="dxa"/>
            <w:tcBorders>
              <w:left w:val="single" w:sz="4" w:space="0" w:color="000000"/>
            </w:tcBorders>
          </w:tcPr>
          <w:p>
            <w:pPr>
              <w:pStyle w:val="TableParagraph"/>
              <w:spacing w:before="31"/>
              <w:rPr>
                <w:sz w:val="22"/>
              </w:rPr>
            </w:pPr>
            <w:r>
              <w:rPr>
                <w:sz w:val="22"/>
              </w:rPr>
              <w:t>Information</w:t>
            </w:r>
          </w:p>
        </w:tc>
        <w:tc>
          <w:tcPr>
            <w:tcW w:w="1062" w:type="dxa"/>
          </w:tcPr>
          <w:p>
            <w:pPr>
              <w:pStyle w:val="TableParagraph"/>
              <w:spacing w:before="31"/>
              <w:ind w:left="114"/>
              <w:rPr>
                <w:sz w:val="22"/>
              </w:rPr>
            </w:pPr>
            <w:r>
              <w:rPr>
                <w:sz w:val="22"/>
              </w:rPr>
              <w:t>800</w:t>
            </w:r>
          </w:p>
        </w:tc>
        <w:tc>
          <w:tcPr>
            <w:tcW w:w="1248" w:type="dxa"/>
          </w:tcPr>
          <w:p>
            <w:pPr>
              <w:pStyle w:val="TableParagraph"/>
              <w:spacing w:before="31"/>
              <w:ind w:left="300"/>
              <w:rPr>
                <w:sz w:val="22"/>
              </w:rPr>
            </w:pPr>
            <w:r>
              <w:rPr>
                <w:sz w:val="22"/>
              </w:rPr>
              <w:t>800</w:t>
            </w:r>
          </w:p>
        </w:tc>
        <w:tc>
          <w:tcPr>
            <w:tcW w:w="1210" w:type="dxa"/>
            <w:tcBorders>
              <w:right w:val="single" w:sz="4" w:space="0" w:color="000000"/>
            </w:tcBorders>
          </w:tcPr>
          <w:p>
            <w:pPr>
              <w:pStyle w:val="TableParagraph"/>
              <w:spacing w:before="31"/>
              <w:ind w:left="300"/>
              <w:rPr>
                <w:sz w:val="22"/>
              </w:rPr>
            </w:pPr>
            <w:r>
              <w:rPr>
                <w:sz w:val="22"/>
              </w:rPr>
              <w:t>900</w:t>
            </w:r>
          </w:p>
        </w:tc>
        <w:tc>
          <w:tcPr>
            <w:tcW w:w="916" w:type="dxa"/>
            <w:tcBorders>
              <w:left w:val="single" w:sz="4" w:space="0" w:color="000000"/>
            </w:tcBorders>
          </w:tcPr>
          <w:p>
            <w:pPr>
              <w:pStyle w:val="TableParagraph"/>
              <w:spacing w:before="31"/>
              <w:rPr>
                <w:sz w:val="22"/>
              </w:rPr>
            </w:pPr>
            <w:r>
              <w:rPr>
                <w:sz w:val="22"/>
              </w:rPr>
              <w:t>100</w:t>
            </w:r>
          </w:p>
        </w:tc>
        <w:tc>
          <w:tcPr>
            <w:tcW w:w="944" w:type="dxa"/>
          </w:tcPr>
          <w:p>
            <w:pPr>
              <w:pStyle w:val="TableParagraph"/>
              <w:spacing w:before="31"/>
              <w:ind w:left="276"/>
              <w:rPr>
                <w:sz w:val="22"/>
              </w:rPr>
            </w:pPr>
            <w:r>
              <w:rPr>
                <w:sz w:val="22"/>
              </w:rPr>
              <w:t>13%</w:t>
            </w:r>
          </w:p>
        </w:tc>
        <w:tc>
          <w:tcPr>
            <w:tcW w:w="1459" w:type="dxa"/>
            <w:tcBorders>
              <w:right w:val="single" w:sz="4" w:space="0" w:color="000000"/>
            </w:tcBorders>
          </w:tcPr>
          <w:p>
            <w:pPr>
              <w:pStyle w:val="TableParagraph"/>
              <w:spacing w:before="31"/>
              <w:ind w:left="232"/>
              <w:rPr>
                <w:sz w:val="22"/>
              </w:rPr>
            </w:pPr>
            <w:r>
              <w:rPr>
                <w:sz w:val="22"/>
              </w:rPr>
              <w:t>1.2%</w:t>
            </w:r>
          </w:p>
        </w:tc>
      </w:tr>
      <w:tr>
        <w:trPr>
          <w:trHeight w:val="317" w:hRule="atLeast"/>
        </w:trPr>
        <w:tc>
          <w:tcPr>
            <w:tcW w:w="2240" w:type="dxa"/>
            <w:tcBorders>
              <w:left w:val="single" w:sz="4" w:space="0" w:color="000000"/>
            </w:tcBorders>
          </w:tcPr>
          <w:p>
            <w:pPr>
              <w:pStyle w:val="TableParagraph"/>
              <w:spacing w:before="29"/>
              <w:rPr>
                <w:sz w:val="22"/>
              </w:rPr>
            </w:pPr>
            <w:r>
              <w:rPr>
                <w:sz w:val="22"/>
              </w:rPr>
              <w:t>Financial Activities</w:t>
            </w:r>
          </w:p>
        </w:tc>
        <w:tc>
          <w:tcPr>
            <w:tcW w:w="1062" w:type="dxa"/>
          </w:tcPr>
          <w:p>
            <w:pPr>
              <w:pStyle w:val="TableParagraph"/>
              <w:spacing w:before="29"/>
              <w:ind w:left="114"/>
              <w:rPr>
                <w:sz w:val="22"/>
              </w:rPr>
            </w:pPr>
            <w:r>
              <w:rPr>
                <w:sz w:val="22"/>
              </w:rPr>
              <w:t>4,300</w:t>
            </w:r>
          </w:p>
        </w:tc>
        <w:tc>
          <w:tcPr>
            <w:tcW w:w="1248" w:type="dxa"/>
          </w:tcPr>
          <w:p>
            <w:pPr>
              <w:pStyle w:val="TableParagraph"/>
              <w:spacing w:before="29"/>
              <w:ind w:left="300"/>
              <w:rPr>
                <w:sz w:val="22"/>
              </w:rPr>
            </w:pPr>
            <w:r>
              <w:rPr>
                <w:sz w:val="22"/>
              </w:rPr>
              <w:t>4,400</w:t>
            </w:r>
          </w:p>
        </w:tc>
        <w:tc>
          <w:tcPr>
            <w:tcW w:w="1210" w:type="dxa"/>
            <w:tcBorders>
              <w:right w:val="single" w:sz="4" w:space="0" w:color="000000"/>
            </w:tcBorders>
          </w:tcPr>
          <w:p>
            <w:pPr>
              <w:pStyle w:val="TableParagraph"/>
              <w:spacing w:before="29"/>
              <w:ind w:left="300"/>
              <w:rPr>
                <w:sz w:val="22"/>
              </w:rPr>
            </w:pPr>
            <w:r>
              <w:rPr>
                <w:sz w:val="22"/>
              </w:rPr>
              <w:t>4,400</w:t>
            </w:r>
          </w:p>
        </w:tc>
        <w:tc>
          <w:tcPr>
            <w:tcW w:w="916" w:type="dxa"/>
            <w:tcBorders>
              <w:left w:val="single" w:sz="4" w:space="0" w:color="000000"/>
            </w:tcBorders>
          </w:tcPr>
          <w:p>
            <w:pPr>
              <w:pStyle w:val="TableParagraph"/>
              <w:spacing w:before="29"/>
              <w:rPr>
                <w:sz w:val="22"/>
              </w:rPr>
            </w:pPr>
            <w:r>
              <w:rPr>
                <w:sz w:val="22"/>
              </w:rPr>
              <w:t>100</w:t>
            </w:r>
          </w:p>
        </w:tc>
        <w:tc>
          <w:tcPr>
            <w:tcW w:w="944" w:type="dxa"/>
          </w:tcPr>
          <w:p>
            <w:pPr>
              <w:pStyle w:val="TableParagraph"/>
              <w:spacing w:before="29"/>
              <w:ind w:left="276"/>
              <w:rPr>
                <w:sz w:val="22"/>
              </w:rPr>
            </w:pPr>
            <w:r>
              <w:rPr>
                <w:sz w:val="22"/>
              </w:rPr>
              <w:t>2%</w:t>
            </w:r>
          </w:p>
        </w:tc>
        <w:tc>
          <w:tcPr>
            <w:tcW w:w="1459" w:type="dxa"/>
            <w:tcBorders>
              <w:right w:val="single" w:sz="4" w:space="0" w:color="000000"/>
            </w:tcBorders>
          </w:tcPr>
          <w:p>
            <w:pPr>
              <w:pStyle w:val="TableParagraph"/>
              <w:spacing w:before="29"/>
              <w:ind w:left="232"/>
              <w:rPr>
                <w:sz w:val="22"/>
              </w:rPr>
            </w:pPr>
            <w:r>
              <w:rPr>
                <w:sz w:val="22"/>
              </w:rPr>
              <w:t>0.2%</w:t>
            </w:r>
          </w:p>
        </w:tc>
      </w:tr>
      <w:tr>
        <w:trPr>
          <w:trHeight w:val="574" w:hRule="atLeast"/>
        </w:trPr>
        <w:tc>
          <w:tcPr>
            <w:tcW w:w="2240" w:type="dxa"/>
            <w:tcBorders>
              <w:left w:val="single" w:sz="4" w:space="0" w:color="000000"/>
            </w:tcBorders>
          </w:tcPr>
          <w:p>
            <w:pPr>
              <w:pStyle w:val="TableParagraph"/>
              <w:spacing w:before="31"/>
              <w:ind w:right="450"/>
              <w:rPr>
                <w:sz w:val="22"/>
              </w:rPr>
            </w:pPr>
            <w:r>
              <w:rPr>
                <w:sz w:val="22"/>
              </w:rPr>
              <w:t>Professional and Business Services</w:t>
            </w:r>
          </w:p>
        </w:tc>
        <w:tc>
          <w:tcPr>
            <w:tcW w:w="1062" w:type="dxa"/>
          </w:tcPr>
          <w:p>
            <w:pPr>
              <w:pStyle w:val="TableParagraph"/>
              <w:spacing w:before="0"/>
              <w:ind w:left="0"/>
              <w:rPr>
                <w:rFonts w:ascii="Arial"/>
                <w:b/>
                <w:sz w:val="25"/>
              </w:rPr>
            </w:pPr>
          </w:p>
          <w:p>
            <w:pPr>
              <w:pStyle w:val="TableParagraph"/>
              <w:spacing w:before="0"/>
              <w:ind w:left="114"/>
              <w:rPr>
                <w:sz w:val="22"/>
              </w:rPr>
            </w:pPr>
            <w:r>
              <w:rPr>
                <w:sz w:val="22"/>
              </w:rPr>
              <w:t>20,600</w:t>
            </w:r>
          </w:p>
        </w:tc>
        <w:tc>
          <w:tcPr>
            <w:tcW w:w="1248" w:type="dxa"/>
          </w:tcPr>
          <w:p>
            <w:pPr>
              <w:pStyle w:val="TableParagraph"/>
              <w:spacing w:before="0"/>
              <w:ind w:left="0"/>
              <w:rPr>
                <w:rFonts w:ascii="Arial"/>
                <w:b/>
                <w:sz w:val="25"/>
              </w:rPr>
            </w:pPr>
          </w:p>
          <w:p>
            <w:pPr>
              <w:pStyle w:val="TableParagraph"/>
              <w:spacing w:before="0"/>
              <w:ind w:left="300"/>
              <w:rPr>
                <w:sz w:val="22"/>
              </w:rPr>
            </w:pPr>
            <w:r>
              <w:rPr>
                <w:sz w:val="22"/>
              </w:rPr>
              <w:t>23,400</w:t>
            </w:r>
          </w:p>
        </w:tc>
        <w:tc>
          <w:tcPr>
            <w:tcW w:w="1210" w:type="dxa"/>
            <w:tcBorders>
              <w:right w:val="single" w:sz="4" w:space="0" w:color="000000"/>
            </w:tcBorders>
          </w:tcPr>
          <w:p>
            <w:pPr>
              <w:pStyle w:val="TableParagraph"/>
              <w:spacing w:before="0"/>
              <w:ind w:left="0"/>
              <w:rPr>
                <w:rFonts w:ascii="Arial"/>
                <w:b/>
                <w:sz w:val="25"/>
              </w:rPr>
            </w:pPr>
          </w:p>
          <w:p>
            <w:pPr>
              <w:pStyle w:val="TableParagraph"/>
              <w:spacing w:before="0"/>
              <w:ind w:left="300"/>
              <w:rPr>
                <w:sz w:val="22"/>
              </w:rPr>
            </w:pPr>
            <w:r>
              <w:rPr>
                <w:sz w:val="22"/>
              </w:rPr>
              <w:t>26,000</w:t>
            </w:r>
          </w:p>
        </w:tc>
        <w:tc>
          <w:tcPr>
            <w:tcW w:w="916" w:type="dxa"/>
            <w:tcBorders>
              <w:left w:val="single" w:sz="4" w:space="0" w:color="000000"/>
            </w:tcBorders>
          </w:tcPr>
          <w:p>
            <w:pPr>
              <w:pStyle w:val="TableParagraph"/>
              <w:spacing w:before="0"/>
              <w:ind w:left="0"/>
              <w:rPr>
                <w:rFonts w:ascii="Arial"/>
                <w:b/>
                <w:sz w:val="25"/>
              </w:rPr>
            </w:pPr>
          </w:p>
          <w:p>
            <w:pPr>
              <w:pStyle w:val="TableParagraph"/>
              <w:spacing w:before="0"/>
              <w:rPr>
                <w:sz w:val="22"/>
              </w:rPr>
            </w:pPr>
            <w:r>
              <w:rPr>
                <w:sz w:val="22"/>
              </w:rPr>
              <w:t>5,400</w:t>
            </w:r>
          </w:p>
        </w:tc>
        <w:tc>
          <w:tcPr>
            <w:tcW w:w="944" w:type="dxa"/>
          </w:tcPr>
          <w:p>
            <w:pPr>
              <w:pStyle w:val="TableParagraph"/>
              <w:spacing w:before="0"/>
              <w:ind w:left="0"/>
              <w:rPr>
                <w:rFonts w:ascii="Arial"/>
                <w:b/>
                <w:sz w:val="25"/>
              </w:rPr>
            </w:pPr>
          </w:p>
          <w:p>
            <w:pPr>
              <w:pStyle w:val="TableParagraph"/>
              <w:spacing w:before="0"/>
              <w:ind w:left="276"/>
              <w:rPr>
                <w:sz w:val="22"/>
              </w:rPr>
            </w:pPr>
            <w:r>
              <w:rPr>
                <w:sz w:val="22"/>
              </w:rPr>
              <w:t>26%</w:t>
            </w:r>
          </w:p>
        </w:tc>
        <w:tc>
          <w:tcPr>
            <w:tcW w:w="1459" w:type="dxa"/>
            <w:tcBorders>
              <w:right w:val="single" w:sz="4" w:space="0" w:color="000000"/>
            </w:tcBorders>
          </w:tcPr>
          <w:p>
            <w:pPr>
              <w:pStyle w:val="TableParagraph"/>
              <w:spacing w:before="0"/>
              <w:ind w:left="0"/>
              <w:rPr>
                <w:rFonts w:ascii="Arial"/>
                <w:b/>
                <w:sz w:val="25"/>
              </w:rPr>
            </w:pPr>
          </w:p>
          <w:p>
            <w:pPr>
              <w:pStyle w:val="TableParagraph"/>
              <w:spacing w:before="0"/>
              <w:ind w:left="232"/>
              <w:rPr>
                <w:sz w:val="22"/>
              </w:rPr>
            </w:pPr>
            <w:r>
              <w:rPr>
                <w:sz w:val="22"/>
              </w:rPr>
              <w:t>2.4%</w:t>
            </w:r>
          </w:p>
        </w:tc>
      </w:tr>
      <w:tr>
        <w:trPr>
          <w:trHeight w:val="575" w:hRule="atLeast"/>
        </w:trPr>
        <w:tc>
          <w:tcPr>
            <w:tcW w:w="2240" w:type="dxa"/>
            <w:tcBorders>
              <w:left w:val="single" w:sz="4" w:space="0" w:color="000000"/>
            </w:tcBorders>
          </w:tcPr>
          <w:p>
            <w:pPr>
              <w:pStyle w:val="TableParagraph"/>
              <w:spacing w:before="29"/>
              <w:ind w:right="87"/>
              <w:rPr>
                <w:sz w:val="22"/>
              </w:rPr>
            </w:pPr>
            <w:r>
              <w:rPr>
                <w:sz w:val="22"/>
              </w:rPr>
              <w:t>Education and Health Services</w:t>
            </w:r>
          </w:p>
        </w:tc>
        <w:tc>
          <w:tcPr>
            <w:tcW w:w="1062" w:type="dxa"/>
          </w:tcPr>
          <w:p>
            <w:pPr>
              <w:pStyle w:val="TableParagraph"/>
              <w:spacing w:before="1"/>
              <w:ind w:left="0"/>
              <w:rPr>
                <w:rFonts w:ascii="Arial"/>
                <w:b/>
                <w:sz w:val="25"/>
              </w:rPr>
            </w:pPr>
          </w:p>
          <w:p>
            <w:pPr>
              <w:pStyle w:val="TableParagraph"/>
              <w:spacing w:before="0"/>
              <w:ind w:left="114"/>
              <w:rPr>
                <w:sz w:val="22"/>
              </w:rPr>
            </w:pPr>
            <w:r>
              <w:rPr>
                <w:sz w:val="22"/>
              </w:rPr>
              <w:t>14,400</w:t>
            </w:r>
          </w:p>
        </w:tc>
        <w:tc>
          <w:tcPr>
            <w:tcW w:w="1248" w:type="dxa"/>
          </w:tcPr>
          <w:p>
            <w:pPr>
              <w:pStyle w:val="TableParagraph"/>
              <w:spacing w:before="1"/>
              <w:ind w:left="0"/>
              <w:rPr>
                <w:rFonts w:ascii="Arial"/>
                <w:b/>
                <w:sz w:val="25"/>
              </w:rPr>
            </w:pPr>
          </w:p>
          <w:p>
            <w:pPr>
              <w:pStyle w:val="TableParagraph"/>
              <w:spacing w:before="0"/>
              <w:ind w:left="300"/>
              <w:rPr>
                <w:sz w:val="22"/>
              </w:rPr>
            </w:pPr>
            <w:r>
              <w:rPr>
                <w:sz w:val="22"/>
              </w:rPr>
              <w:t>16,100</w:t>
            </w:r>
          </w:p>
        </w:tc>
        <w:tc>
          <w:tcPr>
            <w:tcW w:w="1210" w:type="dxa"/>
            <w:tcBorders>
              <w:right w:val="single" w:sz="4" w:space="0" w:color="000000"/>
            </w:tcBorders>
          </w:tcPr>
          <w:p>
            <w:pPr>
              <w:pStyle w:val="TableParagraph"/>
              <w:spacing w:before="1"/>
              <w:ind w:left="0"/>
              <w:rPr>
                <w:rFonts w:ascii="Arial"/>
                <w:b/>
                <w:sz w:val="25"/>
              </w:rPr>
            </w:pPr>
          </w:p>
          <w:p>
            <w:pPr>
              <w:pStyle w:val="TableParagraph"/>
              <w:spacing w:before="0"/>
              <w:ind w:left="300"/>
              <w:rPr>
                <w:sz w:val="22"/>
              </w:rPr>
            </w:pPr>
            <w:r>
              <w:rPr>
                <w:sz w:val="22"/>
              </w:rPr>
              <w:t>17,600</w:t>
            </w:r>
          </w:p>
        </w:tc>
        <w:tc>
          <w:tcPr>
            <w:tcW w:w="916" w:type="dxa"/>
            <w:tcBorders>
              <w:left w:val="single" w:sz="4" w:space="0" w:color="000000"/>
            </w:tcBorders>
          </w:tcPr>
          <w:p>
            <w:pPr>
              <w:pStyle w:val="TableParagraph"/>
              <w:spacing w:before="1"/>
              <w:ind w:left="0"/>
              <w:rPr>
                <w:rFonts w:ascii="Arial"/>
                <w:b/>
                <w:sz w:val="25"/>
              </w:rPr>
            </w:pPr>
          </w:p>
          <w:p>
            <w:pPr>
              <w:pStyle w:val="TableParagraph"/>
              <w:spacing w:before="0"/>
              <w:rPr>
                <w:sz w:val="22"/>
              </w:rPr>
            </w:pPr>
            <w:r>
              <w:rPr>
                <w:sz w:val="22"/>
              </w:rPr>
              <w:t>3,200</w:t>
            </w:r>
          </w:p>
        </w:tc>
        <w:tc>
          <w:tcPr>
            <w:tcW w:w="944" w:type="dxa"/>
          </w:tcPr>
          <w:p>
            <w:pPr>
              <w:pStyle w:val="TableParagraph"/>
              <w:spacing w:before="1"/>
              <w:ind w:left="0"/>
              <w:rPr>
                <w:rFonts w:ascii="Arial"/>
                <w:b/>
                <w:sz w:val="25"/>
              </w:rPr>
            </w:pPr>
          </w:p>
          <w:p>
            <w:pPr>
              <w:pStyle w:val="TableParagraph"/>
              <w:spacing w:before="0"/>
              <w:ind w:left="276"/>
              <w:rPr>
                <w:sz w:val="22"/>
              </w:rPr>
            </w:pPr>
            <w:r>
              <w:rPr>
                <w:sz w:val="22"/>
              </w:rPr>
              <w:t>22%</w:t>
            </w:r>
          </w:p>
        </w:tc>
        <w:tc>
          <w:tcPr>
            <w:tcW w:w="1459" w:type="dxa"/>
            <w:tcBorders>
              <w:right w:val="single" w:sz="4" w:space="0" w:color="000000"/>
            </w:tcBorders>
          </w:tcPr>
          <w:p>
            <w:pPr>
              <w:pStyle w:val="TableParagraph"/>
              <w:spacing w:before="1"/>
              <w:ind w:left="0"/>
              <w:rPr>
                <w:rFonts w:ascii="Arial"/>
                <w:b/>
                <w:sz w:val="25"/>
              </w:rPr>
            </w:pPr>
          </w:p>
          <w:p>
            <w:pPr>
              <w:pStyle w:val="TableParagraph"/>
              <w:spacing w:before="0"/>
              <w:ind w:left="232"/>
              <w:rPr>
                <w:sz w:val="22"/>
              </w:rPr>
            </w:pPr>
            <w:r>
              <w:rPr>
                <w:sz w:val="22"/>
              </w:rPr>
              <w:t>2.0%</w:t>
            </w:r>
          </w:p>
        </w:tc>
      </w:tr>
      <w:tr>
        <w:trPr>
          <w:trHeight w:val="576" w:hRule="atLeast"/>
        </w:trPr>
        <w:tc>
          <w:tcPr>
            <w:tcW w:w="2240" w:type="dxa"/>
            <w:tcBorders>
              <w:left w:val="single" w:sz="4" w:space="0" w:color="000000"/>
            </w:tcBorders>
          </w:tcPr>
          <w:p>
            <w:pPr>
              <w:pStyle w:val="TableParagraph"/>
              <w:spacing w:before="29"/>
              <w:ind w:right="1006"/>
              <w:rPr>
                <w:sz w:val="22"/>
              </w:rPr>
            </w:pPr>
            <w:r>
              <w:rPr>
                <w:sz w:val="22"/>
              </w:rPr>
              <w:t>Leisure and Hospitality</w:t>
            </w:r>
          </w:p>
        </w:tc>
        <w:tc>
          <w:tcPr>
            <w:tcW w:w="1062" w:type="dxa"/>
          </w:tcPr>
          <w:p>
            <w:pPr>
              <w:pStyle w:val="TableParagraph"/>
              <w:spacing w:before="1"/>
              <w:ind w:left="0"/>
              <w:rPr>
                <w:rFonts w:ascii="Arial"/>
                <w:b/>
                <w:sz w:val="25"/>
              </w:rPr>
            </w:pPr>
          </w:p>
          <w:p>
            <w:pPr>
              <w:pStyle w:val="TableParagraph"/>
              <w:spacing w:before="0"/>
              <w:ind w:left="114"/>
              <w:rPr>
                <w:sz w:val="22"/>
              </w:rPr>
            </w:pPr>
            <w:r>
              <w:rPr>
                <w:sz w:val="22"/>
              </w:rPr>
              <w:t>9,900</w:t>
            </w:r>
          </w:p>
        </w:tc>
        <w:tc>
          <w:tcPr>
            <w:tcW w:w="1248" w:type="dxa"/>
          </w:tcPr>
          <w:p>
            <w:pPr>
              <w:pStyle w:val="TableParagraph"/>
              <w:spacing w:before="1"/>
              <w:ind w:left="0"/>
              <w:rPr>
                <w:rFonts w:ascii="Arial"/>
                <w:b/>
                <w:sz w:val="25"/>
              </w:rPr>
            </w:pPr>
          </w:p>
          <w:p>
            <w:pPr>
              <w:pStyle w:val="TableParagraph"/>
              <w:spacing w:before="0"/>
              <w:ind w:left="300"/>
              <w:rPr>
                <w:sz w:val="22"/>
              </w:rPr>
            </w:pPr>
            <w:r>
              <w:rPr>
                <w:sz w:val="22"/>
              </w:rPr>
              <w:t>10,900</w:t>
            </w:r>
          </w:p>
        </w:tc>
        <w:tc>
          <w:tcPr>
            <w:tcW w:w="1210" w:type="dxa"/>
            <w:tcBorders>
              <w:right w:val="single" w:sz="4" w:space="0" w:color="000000"/>
            </w:tcBorders>
          </w:tcPr>
          <w:p>
            <w:pPr>
              <w:pStyle w:val="TableParagraph"/>
              <w:spacing w:before="1"/>
              <w:ind w:left="0"/>
              <w:rPr>
                <w:rFonts w:ascii="Arial"/>
                <w:b/>
                <w:sz w:val="25"/>
              </w:rPr>
            </w:pPr>
          </w:p>
          <w:p>
            <w:pPr>
              <w:pStyle w:val="TableParagraph"/>
              <w:spacing w:before="0"/>
              <w:ind w:left="300"/>
              <w:rPr>
                <w:sz w:val="22"/>
              </w:rPr>
            </w:pPr>
            <w:r>
              <w:rPr>
                <w:sz w:val="22"/>
              </w:rPr>
              <w:t>11,800</w:t>
            </w:r>
          </w:p>
        </w:tc>
        <w:tc>
          <w:tcPr>
            <w:tcW w:w="916" w:type="dxa"/>
            <w:tcBorders>
              <w:left w:val="single" w:sz="4" w:space="0" w:color="000000"/>
            </w:tcBorders>
          </w:tcPr>
          <w:p>
            <w:pPr>
              <w:pStyle w:val="TableParagraph"/>
              <w:spacing w:before="1"/>
              <w:ind w:left="0"/>
              <w:rPr>
                <w:rFonts w:ascii="Arial"/>
                <w:b/>
                <w:sz w:val="25"/>
              </w:rPr>
            </w:pPr>
          </w:p>
          <w:p>
            <w:pPr>
              <w:pStyle w:val="TableParagraph"/>
              <w:spacing w:before="0"/>
              <w:rPr>
                <w:sz w:val="22"/>
              </w:rPr>
            </w:pPr>
            <w:r>
              <w:rPr>
                <w:sz w:val="22"/>
              </w:rPr>
              <w:t>1,900</w:t>
            </w:r>
          </w:p>
        </w:tc>
        <w:tc>
          <w:tcPr>
            <w:tcW w:w="944" w:type="dxa"/>
          </w:tcPr>
          <w:p>
            <w:pPr>
              <w:pStyle w:val="TableParagraph"/>
              <w:spacing w:before="1"/>
              <w:ind w:left="0"/>
              <w:rPr>
                <w:rFonts w:ascii="Arial"/>
                <w:b/>
                <w:sz w:val="25"/>
              </w:rPr>
            </w:pPr>
          </w:p>
          <w:p>
            <w:pPr>
              <w:pStyle w:val="TableParagraph"/>
              <w:spacing w:before="0"/>
              <w:ind w:left="276"/>
              <w:rPr>
                <w:sz w:val="22"/>
              </w:rPr>
            </w:pPr>
            <w:r>
              <w:rPr>
                <w:sz w:val="22"/>
              </w:rPr>
              <w:t>19%</w:t>
            </w:r>
          </w:p>
        </w:tc>
        <w:tc>
          <w:tcPr>
            <w:tcW w:w="1459" w:type="dxa"/>
            <w:tcBorders>
              <w:right w:val="single" w:sz="4" w:space="0" w:color="000000"/>
            </w:tcBorders>
          </w:tcPr>
          <w:p>
            <w:pPr>
              <w:pStyle w:val="TableParagraph"/>
              <w:spacing w:before="1"/>
              <w:ind w:left="0"/>
              <w:rPr>
                <w:rFonts w:ascii="Arial"/>
                <w:b/>
                <w:sz w:val="25"/>
              </w:rPr>
            </w:pPr>
          </w:p>
          <w:p>
            <w:pPr>
              <w:pStyle w:val="TableParagraph"/>
              <w:spacing w:before="0"/>
              <w:ind w:left="232"/>
              <w:rPr>
                <w:sz w:val="22"/>
              </w:rPr>
            </w:pPr>
            <w:r>
              <w:rPr>
                <w:sz w:val="22"/>
              </w:rPr>
              <w:t>1.8%</w:t>
            </w:r>
          </w:p>
        </w:tc>
      </w:tr>
      <w:tr>
        <w:trPr>
          <w:trHeight w:val="317" w:hRule="atLeast"/>
        </w:trPr>
        <w:tc>
          <w:tcPr>
            <w:tcW w:w="2240" w:type="dxa"/>
            <w:tcBorders>
              <w:left w:val="single" w:sz="4" w:space="0" w:color="000000"/>
            </w:tcBorders>
          </w:tcPr>
          <w:p>
            <w:pPr>
              <w:pStyle w:val="TableParagraph"/>
              <w:spacing w:before="29"/>
              <w:rPr>
                <w:sz w:val="22"/>
              </w:rPr>
            </w:pPr>
            <w:r>
              <w:rPr>
                <w:sz w:val="22"/>
              </w:rPr>
              <w:t>Other Services</w:t>
            </w:r>
          </w:p>
        </w:tc>
        <w:tc>
          <w:tcPr>
            <w:tcW w:w="1062" w:type="dxa"/>
          </w:tcPr>
          <w:p>
            <w:pPr>
              <w:pStyle w:val="TableParagraph"/>
              <w:spacing w:before="29"/>
              <w:ind w:left="114"/>
              <w:rPr>
                <w:sz w:val="22"/>
              </w:rPr>
            </w:pPr>
            <w:r>
              <w:rPr>
                <w:sz w:val="22"/>
              </w:rPr>
              <w:t>3,300</w:t>
            </w:r>
          </w:p>
        </w:tc>
        <w:tc>
          <w:tcPr>
            <w:tcW w:w="1248" w:type="dxa"/>
          </w:tcPr>
          <w:p>
            <w:pPr>
              <w:pStyle w:val="TableParagraph"/>
              <w:spacing w:before="29"/>
              <w:ind w:left="300"/>
              <w:rPr>
                <w:sz w:val="22"/>
              </w:rPr>
            </w:pPr>
            <w:r>
              <w:rPr>
                <w:sz w:val="22"/>
              </w:rPr>
              <w:t>3,600</w:t>
            </w:r>
          </w:p>
        </w:tc>
        <w:tc>
          <w:tcPr>
            <w:tcW w:w="1210" w:type="dxa"/>
            <w:tcBorders>
              <w:right w:val="single" w:sz="4" w:space="0" w:color="000000"/>
            </w:tcBorders>
          </w:tcPr>
          <w:p>
            <w:pPr>
              <w:pStyle w:val="TableParagraph"/>
              <w:spacing w:before="29"/>
              <w:ind w:left="300"/>
              <w:rPr>
                <w:sz w:val="22"/>
              </w:rPr>
            </w:pPr>
            <w:r>
              <w:rPr>
                <w:sz w:val="22"/>
              </w:rPr>
              <w:t>3,800</w:t>
            </w:r>
          </w:p>
        </w:tc>
        <w:tc>
          <w:tcPr>
            <w:tcW w:w="916" w:type="dxa"/>
            <w:tcBorders>
              <w:left w:val="single" w:sz="4" w:space="0" w:color="000000"/>
            </w:tcBorders>
          </w:tcPr>
          <w:p>
            <w:pPr>
              <w:pStyle w:val="TableParagraph"/>
              <w:spacing w:before="29"/>
              <w:rPr>
                <w:sz w:val="22"/>
              </w:rPr>
            </w:pPr>
            <w:r>
              <w:rPr>
                <w:sz w:val="22"/>
              </w:rPr>
              <w:t>500</w:t>
            </w:r>
          </w:p>
        </w:tc>
        <w:tc>
          <w:tcPr>
            <w:tcW w:w="944" w:type="dxa"/>
          </w:tcPr>
          <w:p>
            <w:pPr>
              <w:pStyle w:val="TableParagraph"/>
              <w:spacing w:before="29"/>
              <w:ind w:left="276"/>
              <w:rPr>
                <w:sz w:val="22"/>
              </w:rPr>
            </w:pPr>
            <w:r>
              <w:rPr>
                <w:sz w:val="22"/>
              </w:rPr>
              <w:t>15%</w:t>
            </w:r>
          </w:p>
        </w:tc>
        <w:tc>
          <w:tcPr>
            <w:tcW w:w="1459" w:type="dxa"/>
            <w:tcBorders>
              <w:right w:val="single" w:sz="4" w:space="0" w:color="000000"/>
            </w:tcBorders>
          </w:tcPr>
          <w:p>
            <w:pPr>
              <w:pStyle w:val="TableParagraph"/>
              <w:spacing w:before="29"/>
              <w:ind w:left="232"/>
              <w:rPr>
                <w:sz w:val="22"/>
              </w:rPr>
            </w:pPr>
            <w:r>
              <w:rPr>
                <w:sz w:val="22"/>
              </w:rPr>
              <w:t>1.4%</w:t>
            </w:r>
          </w:p>
        </w:tc>
      </w:tr>
      <w:tr>
        <w:trPr>
          <w:trHeight w:val="317" w:hRule="atLeast"/>
        </w:trPr>
        <w:tc>
          <w:tcPr>
            <w:tcW w:w="2240" w:type="dxa"/>
            <w:tcBorders>
              <w:left w:val="single" w:sz="4" w:space="0" w:color="000000"/>
            </w:tcBorders>
          </w:tcPr>
          <w:p>
            <w:pPr>
              <w:pStyle w:val="TableParagraph"/>
              <w:spacing w:before="31"/>
              <w:rPr>
                <w:sz w:val="22"/>
              </w:rPr>
            </w:pPr>
            <w:r>
              <w:rPr>
                <w:sz w:val="22"/>
              </w:rPr>
              <w:t>Government</w:t>
            </w:r>
          </w:p>
        </w:tc>
        <w:tc>
          <w:tcPr>
            <w:tcW w:w="1062" w:type="dxa"/>
          </w:tcPr>
          <w:p>
            <w:pPr>
              <w:pStyle w:val="TableParagraph"/>
              <w:spacing w:before="31"/>
              <w:ind w:left="114"/>
              <w:rPr>
                <w:sz w:val="22"/>
              </w:rPr>
            </w:pPr>
            <w:r>
              <w:rPr>
                <w:sz w:val="22"/>
              </w:rPr>
              <w:t>18,500</w:t>
            </w:r>
          </w:p>
        </w:tc>
        <w:tc>
          <w:tcPr>
            <w:tcW w:w="1248" w:type="dxa"/>
          </w:tcPr>
          <w:p>
            <w:pPr>
              <w:pStyle w:val="TableParagraph"/>
              <w:spacing w:before="31"/>
              <w:ind w:left="300"/>
              <w:rPr>
                <w:sz w:val="22"/>
              </w:rPr>
            </w:pPr>
            <w:r>
              <w:rPr>
                <w:sz w:val="22"/>
              </w:rPr>
              <w:t>19,800</w:t>
            </w:r>
          </w:p>
        </w:tc>
        <w:tc>
          <w:tcPr>
            <w:tcW w:w="1210" w:type="dxa"/>
            <w:tcBorders>
              <w:right w:val="single" w:sz="4" w:space="0" w:color="000000"/>
            </w:tcBorders>
          </w:tcPr>
          <w:p>
            <w:pPr>
              <w:pStyle w:val="TableParagraph"/>
              <w:spacing w:before="31"/>
              <w:ind w:left="300"/>
              <w:rPr>
                <w:sz w:val="22"/>
              </w:rPr>
            </w:pPr>
            <w:r>
              <w:rPr>
                <w:sz w:val="22"/>
              </w:rPr>
              <w:t>20,700</w:t>
            </w:r>
          </w:p>
        </w:tc>
        <w:tc>
          <w:tcPr>
            <w:tcW w:w="916" w:type="dxa"/>
            <w:tcBorders>
              <w:left w:val="single" w:sz="4" w:space="0" w:color="000000"/>
            </w:tcBorders>
          </w:tcPr>
          <w:p>
            <w:pPr>
              <w:pStyle w:val="TableParagraph"/>
              <w:spacing w:before="31"/>
              <w:rPr>
                <w:sz w:val="22"/>
              </w:rPr>
            </w:pPr>
            <w:r>
              <w:rPr>
                <w:sz w:val="22"/>
              </w:rPr>
              <w:t>2,200</w:t>
            </w:r>
          </w:p>
        </w:tc>
        <w:tc>
          <w:tcPr>
            <w:tcW w:w="944" w:type="dxa"/>
          </w:tcPr>
          <w:p>
            <w:pPr>
              <w:pStyle w:val="TableParagraph"/>
              <w:spacing w:before="31"/>
              <w:ind w:left="276"/>
              <w:rPr>
                <w:sz w:val="22"/>
              </w:rPr>
            </w:pPr>
            <w:r>
              <w:rPr>
                <w:sz w:val="22"/>
              </w:rPr>
              <w:t>12%</w:t>
            </w:r>
          </w:p>
        </w:tc>
        <w:tc>
          <w:tcPr>
            <w:tcW w:w="1459" w:type="dxa"/>
            <w:tcBorders>
              <w:right w:val="single" w:sz="4" w:space="0" w:color="000000"/>
            </w:tcBorders>
          </w:tcPr>
          <w:p>
            <w:pPr>
              <w:pStyle w:val="TableParagraph"/>
              <w:spacing w:before="31"/>
              <w:ind w:left="232"/>
              <w:rPr>
                <w:sz w:val="22"/>
              </w:rPr>
            </w:pPr>
            <w:r>
              <w:rPr>
                <w:sz w:val="22"/>
              </w:rPr>
              <w:t>1.1%</w:t>
            </w:r>
          </w:p>
        </w:tc>
      </w:tr>
      <w:tr>
        <w:trPr>
          <w:trHeight w:val="317" w:hRule="atLeast"/>
        </w:trPr>
        <w:tc>
          <w:tcPr>
            <w:tcW w:w="2240" w:type="dxa"/>
            <w:tcBorders>
              <w:left w:val="single" w:sz="4" w:space="0" w:color="000000"/>
            </w:tcBorders>
          </w:tcPr>
          <w:p>
            <w:pPr>
              <w:pStyle w:val="TableParagraph"/>
              <w:spacing w:before="29"/>
              <w:rPr>
                <w:sz w:val="22"/>
              </w:rPr>
            </w:pPr>
            <w:r>
              <w:rPr>
                <w:sz w:val="22"/>
              </w:rPr>
              <w:t>Federal</w:t>
            </w:r>
          </w:p>
        </w:tc>
        <w:tc>
          <w:tcPr>
            <w:tcW w:w="1062" w:type="dxa"/>
          </w:tcPr>
          <w:p>
            <w:pPr>
              <w:pStyle w:val="TableParagraph"/>
              <w:spacing w:before="29"/>
              <w:ind w:left="114"/>
              <w:rPr>
                <w:sz w:val="22"/>
              </w:rPr>
            </w:pPr>
            <w:r>
              <w:rPr>
                <w:sz w:val="22"/>
              </w:rPr>
              <w:t>1,200</w:t>
            </w:r>
          </w:p>
        </w:tc>
        <w:tc>
          <w:tcPr>
            <w:tcW w:w="1248" w:type="dxa"/>
          </w:tcPr>
          <w:p>
            <w:pPr>
              <w:pStyle w:val="TableParagraph"/>
              <w:spacing w:before="29"/>
              <w:ind w:left="300"/>
              <w:rPr>
                <w:sz w:val="22"/>
              </w:rPr>
            </w:pPr>
            <w:r>
              <w:rPr>
                <w:sz w:val="22"/>
              </w:rPr>
              <w:t>1,200</w:t>
            </w:r>
          </w:p>
        </w:tc>
        <w:tc>
          <w:tcPr>
            <w:tcW w:w="1210" w:type="dxa"/>
            <w:tcBorders>
              <w:right w:val="single" w:sz="4" w:space="0" w:color="000000"/>
            </w:tcBorders>
          </w:tcPr>
          <w:p>
            <w:pPr>
              <w:pStyle w:val="TableParagraph"/>
              <w:spacing w:before="29"/>
              <w:ind w:left="300"/>
              <w:rPr>
                <w:sz w:val="22"/>
              </w:rPr>
            </w:pPr>
            <w:r>
              <w:rPr>
                <w:sz w:val="22"/>
              </w:rPr>
              <w:t>1,200</w:t>
            </w:r>
          </w:p>
        </w:tc>
        <w:tc>
          <w:tcPr>
            <w:tcW w:w="916" w:type="dxa"/>
            <w:tcBorders>
              <w:left w:val="single" w:sz="4" w:space="0" w:color="000000"/>
            </w:tcBorders>
          </w:tcPr>
          <w:p>
            <w:pPr>
              <w:pStyle w:val="TableParagraph"/>
              <w:spacing w:before="29"/>
              <w:rPr>
                <w:sz w:val="22"/>
              </w:rPr>
            </w:pPr>
            <w:r>
              <w:rPr>
                <w:w w:val="100"/>
                <w:sz w:val="22"/>
              </w:rPr>
              <w:t>0</w:t>
            </w:r>
          </w:p>
        </w:tc>
        <w:tc>
          <w:tcPr>
            <w:tcW w:w="944" w:type="dxa"/>
          </w:tcPr>
          <w:p>
            <w:pPr>
              <w:pStyle w:val="TableParagraph"/>
              <w:spacing w:before="29"/>
              <w:ind w:left="276"/>
              <w:rPr>
                <w:sz w:val="22"/>
              </w:rPr>
            </w:pPr>
            <w:r>
              <w:rPr>
                <w:sz w:val="22"/>
              </w:rPr>
              <w:t>0%</w:t>
            </w:r>
          </w:p>
        </w:tc>
        <w:tc>
          <w:tcPr>
            <w:tcW w:w="1459" w:type="dxa"/>
            <w:tcBorders>
              <w:right w:val="single" w:sz="4" w:space="0" w:color="000000"/>
            </w:tcBorders>
          </w:tcPr>
          <w:p>
            <w:pPr>
              <w:pStyle w:val="TableParagraph"/>
              <w:spacing w:before="29"/>
              <w:ind w:left="232"/>
              <w:rPr>
                <w:sz w:val="22"/>
              </w:rPr>
            </w:pPr>
            <w:r>
              <w:rPr>
                <w:sz w:val="22"/>
              </w:rPr>
              <w:t>0.0%</w:t>
            </w:r>
          </w:p>
        </w:tc>
      </w:tr>
      <w:tr>
        <w:trPr>
          <w:trHeight w:val="318" w:hRule="atLeast"/>
        </w:trPr>
        <w:tc>
          <w:tcPr>
            <w:tcW w:w="2240" w:type="dxa"/>
            <w:tcBorders>
              <w:left w:val="single" w:sz="4" w:space="0" w:color="000000"/>
            </w:tcBorders>
          </w:tcPr>
          <w:p>
            <w:pPr>
              <w:pStyle w:val="TableParagraph"/>
              <w:spacing w:before="31"/>
              <w:rPr>
                <w:sz w:val="22"/>
              </w:rPr>
            </w:pPr>
            <w:r>
              <w:rPr>
                <w:sz w:val="22"/>
              </w:rPr>
              <w:t>State</w:t>
            </w:r>
          </w:p>
        </w:tc>
        <w:tc>
          <w:tcPr>
            <w:tcW w:w="1062" w:type="dxa"/>
          </w:tcPr>
          <w:p>
            <w:pPr>
              <w:pStyle w:val="TableParagraph"/>
              <w:spacing w:before="31"/>
              <w:ind w:left="114"/>
              <w:rPr>
                <w:sz w:val="22"/>
              </w:rPr>
            </w:pPr>
            <w:r>
              <w:rPr>
                <w:sz w:val="22"/>
              </w:rPr>
              <w:t>8,100</w:t>
            </w:r>
          </w:p>
        </w:tc>
        <w:tc>
          <w:tcPr>
            <w:tcW w:w="1248" w:type="dxa"/>
          </w:tcPr>
          <w:p>
            <w:pPr>
              <w:pStyle w:val="TableParagraph"/>
              <w:spacing w:before="31"/>
              <w:ind w:left="300"/>
              <w:rPr>
                <w:sz w:val="22"/>
              </w:rPr>
            </w:pPr>
            <w:r>
              <w:rPr>
                <w:sz w:val="22"/>
              </w:rPr>
              <w:t>8,600</w:t>
            </w:r>
          </w:p>
        </w:tc>
        <w:tc>
          <w:tcPr>
            <w:tcW w:w="1210" w:type="dxa"/>
            <w:tcBorders>
              <w:right w:val="single" w:sz="4" w:space="0" w:color="000000"/>
            </w:tcBorders>
          </w:tcPr>
          <w:p>
            <w:pPr>
              <w:pStyle w:val="TableParagraph"/>
              <w:spacing w:before="31"/>
              <w:ind w:left="300"/>
              <w:rPr>
                <w:sz w:val="22"/>
              </w:rPr>
            </w:pPr>
            <w:r>
              <w:rPr>
                <w:sz w:val="22"/>
              </w:rPr>
              <w:t>8,900</w:t>
            </w:r>
          </w:p>
        </w:tc>
        <w:tc>
          <w:tcPr>
            <w:tcW w:w="916" w:type="dxa"/>
            <w:tcBorders>
              <w:left w:val="single" w:sz="4" w:space="0" w:color="000000"/>
            </w:tcBorders>
          </w:tcPr>
          <w:p>
            <w:pPr>
              <w:pStyle w:val="TableParagraph"/>
              <w:spacing w:before="31"/>
              <w:rPr>
                <w:sz w:val="22"/>
              </w:rPr>
            </w:pPr>
            <w:r>
              <w:rPr>
                <w:sz w:val="22"/>
              </w:rPr>
              <w:t>800</w:t>
            </w:r>
          </w:p>
        </w:tc>
        <w:tc>
          <w:tcPr>
            <w:tcW w:w="944" w:type="dxa"/>
          </w:tcPr>
          <w:p>
            <w:pPr>
              <w:pStyle w:val="TableParagraph"/>
              <w:spacing w:before="31"/>
              <w:ind w:left="276"/>
              <w:rPr>
                <w:sz w:val="22"/>
              </w:rPr>
            </w:pPr>
            <w:r>
              <w:rPr>
                <w:sz w:val="22"/>
              </w:rPr>
              <w:t>10%</w:t>
            </w:r>
          </w:p>
        </w:tc>
        <w:tc>
          <w:tcPr>
            <w:tcW w:w="1459" w:type="dxa"/>
            <w:tcBorders>
              <w:right w:val="single" w:sz="4" w:space="0" w:color="000000"/>
            </w:tcBorders>
          </w:tcPr>
          <w:p>
            <w:pPr>
              <w:pStyle w:val="TableParagraph"/>
              <w:spacing w:before="31"/>
              <w:ind w:left="232"/>
              <w:rPr>
                <w:sz w:val="22"/>
              </w:rPr>
            </w:pPr>
            <w:r>
              <w:rPr>
                <w:sz w:val="22"/>
              </w:rPr>
              <w:t>0.9%</w:t>
            </w:r>
          </w:p>
        </w:tc>
      </w:tr>
      <w:tr>
        <w:trPr>
          <w:trHeight w:val="288" w:hRule="atLeast"/>
        </w:trPr>
        <w:tc>
          <w:tcPr>
            <w:tcW w:w="2240" w:type="dxa"/>
            <w:tcBorders>
              <w:left w:val="single" w:sz="4" w:space="0" w:color="000000"/>
              <w:bottom w:val="single" w:sz="4" w:space="0" w:color="000000"/>
            </w:tcBorders>
          </w:tcPr>
          <w:p>
            <w:pPr>
              <w:pStyle w:val="TableParagraph"/>
              <w:spacing w:line="239" w:lineRule="exact" w:before="29"/>
              <w:rPr>
                <w:sz w:val="22"/>
              </w:rPr>
            </w:pPr>
            <w:r>
              <w:rPr>
                <w:sz w:val="22"/>
              </w:rPr>
              <w:t>Local</w:t>
            </w:r>
          </w:p>
        </w:tc>
        <w:tc>
          <w:tcPr>
            <w:tcW w:w="1062" w:type="dxa"/>
            <w:tcBorders>
              <w:bottom w:val="single" w:sz="4" w:space="0" w:color="000000"/>
            </w:tcBorders>
          </w:tcPr>
          <w:p>
            <w:pPr>
              <w:pStyle w:val="TableParagraph"/>
              <w:spacing w:line="239" w:lineRule="exact" w:before="29"/>
              <w:ind w:left="114"/>
              <w:rPr>
                <w:sz w:val="22"/>
              </w:rPr>
            </w:pPr>
            <w:r>
              <w:rPr>
                <w:sz w:val="22"/>
              </w:rPr>
              <w:t>9,200</w:t>
            </w:r>
          </w:p>
        </w:tc>
        <w:tc>
          <w:tcPr>
            <w:tcW w:w="1248" w:type="dxa"/>
            <w:tcBorders>
              <w:bottom w:val="single" w:sz="4" w:space="0" w:color="000000"/>
            </w:tcBorders>
          </w:tcPr>
          <w:p>
            <w:pPr>
              <w:pStyle w:val="TableParagraph"/>
              <w:spacing w:line="239" w:lineRule="exact" w:before="29"/>
              <w:ind w:left="300"/>
              <w:rPr>
                <w:sz w:val="22"/>
              </w:rPr>
            </w:pPr>
            <w:r>
              <w:rPr>
                <w:sz w:val="22"/>
              </w:rPr>
              <w:t>10,000</w:t>
            </w:r>
          </w:p>
        </w:tc>
        <w:tc>
          <w:tcPr>
            <w:tcW w:w="1210" w:type="dxa"/>
            <w:tcBorders>
              <w:bottom w:val="single" w:sz="4" w:space="0" w:color="000000"/>
              <w:right w:val="single" w:sz="4" w:space="0" w:color="000000"/>
            </w:tcBorders>
          </w:tcPr>
          <w:p>
            <w:pPr>
              <w:pStyle w:val="TableParagraph"/>
              <w:spacing w:line="239" w:lineRule="exact" w:before="29"/>
              <w:ind w:left="300"/>
              <w:rPr>
                <w:sz w:val="22"/>
              </w:rPr>
            </w:pPr>
            <w:r>
              <w:rPr>
                <w:sz w:val="22"/>
              </w:rPr>
              <w:t>10,600</w:t>
            </w:r>
          </w:p>
        </w:tc>
        <w:tc>
          <w:tcPr>
            <w:tcW w:w="916" w:type="dxa"/>
            <w:tcBorders>
              <w:left w:val="single" w:sz="4" w:space="0" w:color="000000"/>
              <w:bottom w:val="single" w:sz="4" w:space="0" w:color="000000"/>
            </w:tcBorders>
          </w:tcPr>
          <w:p>
            <w:pPr>
              <w:pStyle w:val="TableParagraph"/>
              <w:spacing w:line="239" w:lineRule="exact" w:before="29"/>
              <w:rPr>
                <w:sz w:val="22"/>
              </w:rPr>
            </w:pPr>
            <w:r>
              <w:rPr>
                <w:sz w:val="22"/>
              </w:rPr>
              <w:t>1,400</w:t>
            </w:r>
          </w:p>
        </w:tc>
        <w:tc>
          <w:tcPr>
            <w:tcW w:w="944" w:type="dxa"/>
            <w:tcBorders>
              <w:bottom w:val="single" w:sz="4" w:space="0" w:color="000000"/>
            </w:tcBorders>
          </w:tcPr>
          <w:p>
            <w:pPr>
              <w:pStyle w:val="TableParagraph"/>
              <w:spacing w:line="239" w:lineRule="exact" w:before="29"/>
              <w:ind w:left="276"/>
              <w:rPr>
                <w:sz w:val="22"/>
              </w:rPr>
            </w:pPr>
            <w:r>
              <w:rPr>
                <w:sz w:val="22"/>
              </w:rPr>
              <w:t>15%</w:t>
            </w:r>
          </w:p>
        </w:tc>
        <w:tc>
          <w:tcPr>
            <w:tcW w:w="1459" w:type="dxa"/>
            <w:tcBorders>
              <w:bottom w:val="single" w:sz="4" w:space="0" w:color="000000"/>
              <w:right w:val="single" w:sz="4" w:space="0" w:color="000000"/>
            </w:tcBorders>
          </w:tcPr>
          <w:p>
            <w:pPr>
              <w:pStyle w:val="TableParagraph"/>
              <w:spacing w:line="239" w:lineRule="exact" w:before="29"/>
              <w:ind w:left="232"/>
              <w:rPr>
                <w:sz w:val="22"/>
              </w:rPr>
            </w:pPr>
            <w:r>
              <w:rPr>
                <w:sz w:val="22"/>
              </w:rPr>
              <w:t>1.4%</w:t>
            </w:r>
          </w:p>
        </w:tc>
      </w:tr>
    </w:tbl>
    <w:p>
      <w:pPr>
        <w:spacing w:before="59"/>
        <w:ind w:left="140" w:right="0" w:firstLine="0"/>
        <w:jc w:val="both"/>
        <w:rPr>
          <w:i/>
          <w:sz w:val="20"/>
        </w:rPr>
      </w:pPr>
      <w:r>
        <w:rPr>
          <w:i/>
          <w:position w:val="5"/>
          <w:sz w:val="13"/>
        </w:rPr>
        <w:t>1 </w:t>
      </w:r>
      <w:r>
        <w:rPr>
          <w:i/>
          <w:sz w:val="20"/>
        </w:rPr>
        <w:t>Annual Average Growth Rate</w:t>
      </w:r>
    </w:p>
    <w:p>
      <w:pPr>
        <w:spacing w:before="59"/>
        <w:ind w:left="140" w:right="0" w:firstLine="0"/>
        <w:jc w:val="both"/>
        <w:rPr>
          <w:i/>
          <w:sz w:val="20"/>
        </w:rPr>
      </w:pPr>
      <w:r>
        <w:rPr>
          <w:i/>
          <w:sz w:val="20"/>
        </w:rPr>
        <w:t>Source: Benton Franklin Council of Governments</w:t>
      </w:r>
    </w:p>
    <w:p>
      <w:pPr>
        <w:pStyle w:val="BodyText"/>
        <w:spacing w:before="121"/>
        <w:ind w:left="140" w:right="335"/>
        <w:jc w:val="both"/>
      </w:pPr>
      <w:r>
        <w:rPr/>
        <w:t>The</w:t>
      </w:r>
      <w:r>
        <w:rPr>
          <w:spacing w:val="-7"/>
        </w:rPr>
        <w:t> </w:t>
      </w:r>
      <w:r>
        <w:rPr/>
        <w:t>Benton</w:t>
      </w:r>
      <w:r>
        <w:rPr>
          <w:spacing w:val="-8"/>
        </w:rPr>
        <w:t> </w:t>
      </w:r>
      <w:r>
        <w:rPr/>
        <w:t>Franklin</w:t>
      </w:r>
      <w:r>
        <w:rPr>
          <w:spacing w:val="-8"/>
        </w:rPr>
        <w:t> </w:t>
      </w:r>
      <w:r>
        <w:rPr/>
        <w:t>Council</w:t>
      </w:r>
      <w:r>
        <w:rPr>
          <w:spacing w:val="-7"/>
        </w:rPr>
        <w:t> </w:t>
      </w:r>
      <w:r>
        <w:rPr/>
        <w:t>of</w:t>
      </w:r>
      <w:r>
        <w:rPr>
          <w:spacing w:val="-7"/>
        </w:rPr>
        <w:t> </w:t>
      </w:r>
      <w:r>
        <w:rPr/>
        <w:t>Government’s</w:t>
      </w:r>
      <w:r>
        <w:rPr>
          <w:spacing w:val="-6"/>
        </w:rPr>
        <w:t> </w:t>
      </w:r>
      <w:r>
        <w:rPr/>
        <w:t>transportation</w:t>
      </w:r>
      <w:r>
        <w:rPr>
          <w:spacing w:val="-8"/>
        </w:rPr>
        <w:t> </w:t>
      </w:r>
      <w:r>
        <w:rPr/>
        <w:t>and</w:t>
      </w:r>
      <w:r>
        <w:rPr>
          <w:spacing w:val="-7"/>
        </w:rPr>
        <w:t> </w:t>
      </w:r>
      <w:r>
        <w:rPr/>
        <w:t>land</w:t>
      </w:r>
      <w:r>
        <w:rPr>
          <w:spacing w:val="-8"/>
        </w:rPr>
        <w:t> </w:t>
      </w:r>
      <w:r>
        <w:rPr/>
        <w:t>use</w:t>
      </w:r>
      <w:r>
        <w:rPr>
          <w:spacing w:val="-9"/>
        </w:rPr>
        <w:t> </w:t>
      </w:r>
      <w:r>
        <w:rPr/>
        <w:t>model</w:t>
      </w:r>
      <w:r>
        <w:rPr>
          <w:spacing w:val="-7"/>
        </w:rPr>
        <w:t> </w:t>
      </w:r>
      <w:r>
        <w:rPr/>
        <w:t>also</w:t>
      </w:r>
      <w:r>
        <w:rPr>
          <w:spacing w:val="-6"/>
        </w:rPr>
        <w:t> </w:t>
      </w:r>
      <w:r>
        <w:rPr/>
        <w:t>provides</w:t>
      </w:r>
      <w:r>
        <w:rPr>
          <w:spacing w:val="-8"/>
        </w:rPr>
        <w:t> </w:t>
      </w:r>
      <w:r>
        <w:rPr/>
        <w:t>some forecasts on land use and employment for transportation planning purposes. Based on these model results, Richland is estimated to reach some 40,000 jobs by</w:t>
      </w:r>
      <w:r>
        <w:rPr>
          <w:spacing w:val="-12"/>
        </w:rPr>
        <w:t> </w:t>
      </w:r>
      <w:r>
        <w:rPr/>
        <w:t>2030.</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5"/>
        <w:rPr>
          <w:sz w:val="33"/>
        </w:rPr>
      </w:pPr>
    </w:p>
    <w:p>
      <w:pPr>
        <w:spacing w:before="0"/>
        <w:ind w:left="140" w:right="0" w:firstLine="0"/>
        <w:jc w:val="both"/>
        <w:rPr>
          <w:rFonts w:ascii="Arial"/>
          <w:b/>
          <w:sz w:val="20"/>
        </w:rPr>
      </w:pPr>
      <w:r>
        <w:rPr>
          <w:rFonts w:ascii="Arial"/>
          <w:b/>
          <w:sz w:val="20"/>
        </w:rPr>
        <w:t>Table ED-5: Employment Forecast in Richland</w:t>
      </w:r>
    </w:p>
    <w:p>
      <w:pPr>
        <w:spacing w:after="0"/>
        <w:jc w:val="both"/>
        <w:rPr>
          <w:rFonts w:ascii="Arial"/>
          <w:sz w:val="20"/>
        </w:rPr>
        <w:sectPr>
          <w:pgSz w:w="12240" w:h="15840"/>
          <w:pgMar w:header="0" w:footer="1132" w:top="1360" w:bottom="1320" w:left="1300" w:right="1100"/>
        </w:sect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290"/>
        <w:gridCol w:w="1029"/>
        <w:gridCol w:w="1118"/>
        <w:gridCol w:w="1132"/>
        <w:gridCol w:w="1019"/>
        <w:gridCol w:w="937"/>
        <w:gridCol w:w="937"/>
      </w:tblGrid>
      <w:tr>
        <w:trPr>
          <w:trHeight w:val="971" w:hRule="atLeast"/>
        </w:trPr>
        <w:tc>
          <w:tcPr>
            <w:tcW w:w="3290" w:type="dxa"/>
            <w:shd w:val="clear" w:color="auto" w:fill="B8CCE3"/>
          </w:tcPr>
          <w:p>
            <w:pPr>
              <w:pStyle w:val="TableParagraph"/>
              <w:spacing w:before="0"/>
              <w:ind w:left="0"/>
              <w:rPr>
                <w:rFonts w:ascii="Times New Roman"/>
                <w:sz w:val="20"/>
              </w:rPr>
            </w:pPr>
          </w:p>
        </w:tc>
        <w:tc>
          <w:tcPr>
            <w:tcW w:w="1029" w:type="dxa"/>
            <w:shd w:val="clear" w:color="auto" w:fill="B8CCE3"/>
          </w:tcPr>
          <w:p>
            <w:pPr>
              <w:pStyle w:val="TableParagraph"/>
              <w:spacing w:before="119"/>
              <w:ind w:left="108"/>
              <w:rPr>
                <w:b/>
                <w:sz w:val="22"/>
              </w:rPr>
            </w:pPr>
            <w:r>
              <w:rPr>
                <w:b/>
                <w:sz w:val="22"/>
              </w:rPr>
              <w:t>2014</w:t>
            </w:r>
          </w:p>
        </w:tc>
        <w:tc>
          <w:tcPr>
            <w:tcW w:w="1118" w:type="dxa"/>
            <w:shd w:val="clear" w:color="auto" w:fill="B8CCE3"/>
          </w:tcPr>
          <w:p>
            <w:pPr>
              <w:pStyle w:val="TableParagraph"/>
              <w:spacing w:before="0"/>
              <w:ind w:left="0"/>
              <w:rPr>
                <w:rFonts w:ascii="Arial"/>
                <w:b/>
                <w:sz w:val="35"/>
              </w:rPr>
            </w:pPr>
          </w:p>
          <w:p>
            <w:pPr>
              <w:pStyle w:val="TableParagraph"/>
              <w:spacing w:before="0"/>
              <w:ind w:left="108"/>
              <w:rPr>
                <w:b/>
                <w:sz w:val="22"/>
              </w:rPr>
            </w:pPr>
            <w:r>
              <w:rPr>
                <w:b/>
                <w:sz w:val="22"/>
              </w:rPr>
              <w:t>2017</w:t>
            </w:r>
          </w:p>
        </w:tc>
        <w:tc>
          <w:tcPr>
            <w:tcW w:w="1132" w:type="dxa"/>
            <w:shd w:val="clear" w:color="auto" w:fill="B8CCE3"/>
          </w:tcPr>
          <w:p>
            <w:pPr>
              <w:pStyle w:val="TableParagraph"/>
              <w:spacing w:before="201"/>
              <w:ind w:left="109"/>
              <w:rPr>
                <w:b/>
                <w:sz w:val="22"/>
              </w:rPr>
            </w:pPr>
            <w:r>
              <w:rPr>
                <w:b/>
                <w:sz w:val="22"/>
              </w:rPr>
              <w:t>2024</w:t>
            </w:r>
          </w:p>
        </w:tc>
        <w:tc>
          <w:tcPr>
            <w:tcW w:w="1019" w:type="dxa"/>
            <w:shd w:val="clear" w:color="auto" w:fill="B8CCE3"/>
          </w:tcPr>
          <w:p>
            <w:pPr>
              <w:pStyle w:val="TableParagraph"/>
              <w:spacing w:before="119"/>
              <w:ind w:left="110"/>
              <w:rPr>
                <w:b/>
                <w:sz w:val="22"/>
              </w:rPr>
            </w:pPr>
            <w:r>
              <w:rPr>
                <w:b/>
                <w:sz w:val="22"/>
              </w:rPr>
              <w:t>2037</w:t>
            </w:r>
          </w:p>
        </w:tc>
        <w:tc>
          <w:tcPr>
            <w:tcW w:w="937" w:type="dxa"/>
            <w:shd w:val="clear" w:color="auto" w:fill="B8CCE3"/>
          </w:tcPr>
          <w:p>
            <w:pPr>
              <w:pStyle w:val="TableParagraph"/>
              <w:spacing w:before="119"/>
              <w:ind w:left="111"/>
              <w:rPr>
                <w:b/>
                <w:sz w:val="22"/>
              </w:rPr>
            </w:pPr>
            <w:r>
              <w:rPr>
                <w:b/>
                <w:sz w:val="22"/>
              </w:rPr>
              <w:t>2014-</w:t>
            </w:r>
          </w:p>
          <w:p>
            <w:pPr>
              <w:pStyle w:val="TableParagraph"/>
              <w:spacing w:before="26"/>
              <w:ind w:left="111"/>
              <w:rPr>
                <w:b/>
                <w:sz w:val="22"/>
              </w:rPr>
            </w:pPr>
            <w:r>
              <w:rPr>
                <w:b/>
                <w:sz w:val="22"/>
              </w:rPr>
              <w:t>2019</w:t>
            </w:r>
          </w:p>
          <w:p>
            <w:pPr>
              <w:pStyle w:val="TableParagraph"/>
              <w:spacing w:before="27"/>
              <w:ind w:left="111"/>
              <w:rPr>
                <w:b/>
                <w:sz w:val="14"/>
              </w:rPr>
            </w:pPr>
            <w:r>
              <w:rPr>
                <w:b/>
                <w:sz w:val="22"/>
              </w:rPr>
              <w:t>AAGR</w:t>
            </w:r>
            <w:r>
              <w:rPr>
                <w:b/>
                <w:position w:val="5"/>
                <w:sz w:val="14"/>
              </w:rPr>
              <w:t>1</w:t>
            </w:r>
          </w:p>
        </w:tc>
        <w:tc>
          <w:tcPr>
            <w:tcW w:w="937" w:type="dxa"/>
            <w:shd w:val="clear" w:color="auto" w:fill="B8CCE3"/>
          </w:tcPr>
          <w:p>
            <w:pPr>
              <w:pStyle w:val="TableParagraph"/>
              <w:spacing w:before="119"/>
              <w:ind w:left="112"/>
              <w:rPr>
                <w:b/>
                <w:sz w:val="22"/>
              </w:rPr>
            </w:pPr>
            <w:r>
              <w:rPr>
                <w:b/>
                <w:sz w:val="22"/>
              </w:rPr>
              <w:t>2019-</w:t>
            </w:r>
          </w:p>
          <w:p>
            <w:pPr>
              <w:pStyle w:val="TableParagraph"/>
              <w:spacing w:before="26"/>
              <w:ind w:left="112"/>
              <w:rPr>
                <w:b/>
                <w:sz w:val="22"/>
              </w:rPr>
            </w:pPr>
            <w:r>
              <w:rPr>
                <w:b/>
                <w:sz w:val="22"/>
              </w:rPr>
              <w:t>2024</w:t>
            </w:r>
          </w:p>
          <w:p>
            <w:pPr>
              <w:pStyle w:val="TableParagraph"/>
              <w:spacing w:before="27"/>
              <w:ind w:left="112"/>
              <w:rPr>
                <w:b/>
                <w:sz w:val="22"/>
              </w:rPr>
            </w:pPr>
            <w:r>
              <w:rPr>
                <w:b/>
                <w:sz w:val="22"/>
              </w:rPr>
              <w:t>AAGR</w:t>
            </w:r>
          </w:p>
        </w:tc>
      </w:tr>
      <w:tr>
        <w:trPr>
          <w:trHeight w:val="316" w:hRule="atLeast"/>
        </w:trPr>
        <w:tc>
          <w:tcPr>
            <w:tcW w:w="3290" w:type="dxa"/>
          </w:tcPr>
          <w:p>
            <w:pPr>
              <w:pStyle w:val="TableParagraph"/>
              <w:spacing w:line="237" w:lineRule="exact"/>
              <w:rPr>
                <w:sz w:val="22"/>
              </w:rPr>
            </w:pPr>
            <w:r>
              <w:rPr>
                <w:sz w:val="22"/>
              </w:rPr>
              <w:t>Services</w:t>
            </w:r>
          </w:p>
        </w:tc>
        <w:tc>
          <w:tcPr>
            <w:tcW w:w="1029" w:type="dxa"/>
          </w:tcPr>
          <w:p>
            <w:pPr>
              <w:pStyle w:val="TableParagraph"/>
              <w:spacing w:line="237" w:lineRule="exact"/>
              <w:ind w:left="108"/>
              <w:rPr>
                <w:sz w:val="22"/>
              </w:rPr>
            </w:pPr>
            <w:r>
              <w:rPr>
                <w:sz w:val="22"/>
              </w:rPr>
              <w:t>16,414</w:t>
            </w:r>
          </w:p>
        </w:tc>
        <w:tc>
          <w:tcPr>
            <w:tcW w:w="1118" w:type="dxa"/>
          </w:tcPr>
          <w:p>
            <w:pPr>
              <w:pStyle w:val="TableParagraph"/>
              <w:spacing w:line="237" w:lineRule="exact"/>
              <w:ind w:left="108"/>
              <w:rPr>
                <w:sz w:val="22"/>
              </w:rPr>
            </w:pPr>
            <w:r>
              <w:rPr>
                <w:sz w:val="22"/>
              </w:rPr>
              <w:t>17,305</w:t>
            </w:r>
          </w:p>
        </w:tc>
        <w:tc>
          <w:tcPr>
            <w:tcW w:w="1132" w:type="dxa"/>
          </w:tcPr>
          <w:p>
            <w:pPr>
              <w:pStyle w:val="TableParagraph"/>
              <w:spacing w:line="237" w:lineRule="exact"/>
              <w:ind w:left="109"/>
              <w:rPr>
                <w:sz w:val="22"/>
              </w:rPr>
            </w:pPr>
            <w:r>
              <w:rPr>
                <w:sz w:val="22"/>
              </w:rPr>
              <w:t>19,577</w:t>
            </w:r>
          </w:p>
        </w:tc>
        <w:tc>
          <w:tcPr>
            <w:tcW w:w="1019" w:type="dxa"/>
          </w:tcPr>
          <w:p>
            <w:pPr>
              <w:pStyle w:val="TableParagraph"/>
              <w:spacing w:line="237" w:lineRule="exact"/>
              <w:ind w:left="110"/>
              <w:rPr>
                <w:sz w:val="22"/>
              </w:rPr>
            </w:pPr>
            <w:r>
              <w:rPr>
                <w:sz w:val="22"/>
              </w:rPr>
              <w:t>24,617</w:t>
            </w:r>
          </w:p>
        </w:tc>
        <w:tc>
          <w:tcPr>
            <w:tcW w:w="937" w:type="dxa"/>
          </w:tcPr>
          <w:p>
            <w:pPr>
              <w:pStyle w:val="TableParagraph"/>
              <w:spacing w:line="237" w:lineRule="exact"/>
              <w:ind w:left="111"/>
              <w:rPr>
                <w:sz w:val="22"/>
              </w:rPr>
            </w:pPr>
            <w:r>
              <w:rPr>
                <w:sz w:val="22"/>
              </w:rPr>
              <w:t>1.78%</w:t>
            </w:r>
          </w:p>
        </w:tc>
        <w:tc>
          <w:tcPr>
            <w:tcW w:w="937" w:type="dxa"/>
          </w:tcPr>
          <w:p>
            <w:pPr>
              <w:pStyle w:val="TableParagraph"/>
              <w:spacing w:line="237" w:lineRule="exact"/>
              <w:ind w:left="112"/>
              <w:rPr>
                <w:sz w:val="22"/>
              </w:rPr>
            </w:pPr>
            <w:r>
              <w:rPr>
                <w:sz w:val="22"/>
              </w:rPr>
              <w:t>1.78%</w:t>
            </w:r>
          </w:p>
        </w:tc>
      </w:tr>
      <w:tr>
        <w:trPr>
          <w:trHeight w:val="318" w:hRule="atLeast"/>
        </w:trPr>
        <w:tc>
          <w:tcPr>
            <w:tcW w:w="3290" w:type="dxa"/>
          </w:tcPr>
          <w:p>
            <w:pPr>
              <w:pStyle w:val="TableParagraph"/>
              <w:spacing w:line="237" w:lineRule="exact" w:before="62"/>
              <w:rPr>
                <w:sz w:val="14"/>
              </w:rPr>
            </w:pPr>
            <w:r>
              <w:rPr>
                <w:sz w:val="22"/>
              </w:rPr>
              <w:t>Professional Technical Services</w:t>
            </w:r>
            <w:r>
              <w:rPr>
                <w:position w:val="5"/>
                <w:sz w:val="14"/>
              </w:rPr>
              <w:t>2</w:t>
            </w:r>
          </w:p>
        </w:tc>
        <w:tc>
          <w:tcPr>
            <w:tcW w:w="1029" w:type="dxa"/>
          </w:tcPr>
          <w:p>
            <w:pPr>
              <w:pStyle w:val="TableParagraph"/>
              <w:spacing w:line="237" w:lineRule="exact" w:before="62"/>
              <w:ind w:left="156"/>
              <w:rPr>
                <w:sz w:val="22"/>
              </w:rPr>
            </w:pPr>
            <w:r>
              <w:rPr>
                <w:sz w:val="22"/>
              </w:rPr>
              <w:t>7,548</w:t>
            </w:r>
          </w:p>
        </w:tc>
        <w:tc>
          <w:tcPr>
            <w:tcW w:w="1118" w:type="dxa"/>
          </w:tcPr>
          <w:p>
            <w:pPr>
              <w:pStyle w:val="TableParagraph"/>
              <w:spacing w:line="237" w:lineRule="exact" w:before="62"/>
              <w:ind w:left="204"/>
              <w:rPr>
                <w:sz w:val="22"/>
              </w:rPr>
            </w:pPr>
            <w:r>
              <w:rPr>
                <w:sz w:val="22"/>
              </w:rPr>
              <w:t>7,548</w:t>
            </w:r>
          </w:p>
        </w:tc>
        <w:tc>
          <w:tcPr>
            <w:tcW w:w="1132" w:type="dxa"/>
          </w:tcPr>
          <w:p>
            <w:pPr>
              <w:pStyle w:val="TableParagraph"/>
              <w:spacing w:line="237" w:lineRule="exact" w:before="62"/>
              <w:ind w:left="205"/>
              <w:rPr>
                <w:sz w:val="22"/>
              </w:rPr>
            </w:pPr>
            <w:r>
              <w:rPr>
                <w:sz w:val="22"/>
              </w:rPr>
              <w:t>7,548</w:t>
            </w:r>
          </w:p>
        </w:tc>
        <w:tc>
          <w:tcPr>
            <w:tcW w:w="1019" w:type="dxa"/>
          </w:tcPr>
          <w:p>
            <w:pPr>
              <w:pStyle w:val="TableParagraph"/>
              <w:spacing w:line="237" w:lineRule="exact" w:before="62"/>
              <w:ind w:left="0" w:right="265"/>
              <w:jc w:val="right"/>
              <w:rPr>
                <w:sz w:val="22"/>
              </w:rPr>
            </w:pPr>
            <w:r>
              <w:rPr>
                <w:sz w:val="22"/>
              </w:rPr>
              <w:t>7,548</w:t>
            </w:r>
          </w:p>
        </w:tc>
        <w:tc>
          <w:tcPr>
            <w:tcW w:w="937" w:type="dxa"/>
          </w:tcPr>
          <w:p>
            <w:pPr>
              <w:pStyle w:val="TableParagraph"/>
              <w:spacing w:line="237" w:lineRule="exact" w:before="62"/>
              <w:ind w:left="111"/>
              <w:rPr>
                <w:sz w:val="22"/>
              </w:rPr>
            </w:pPr>
            <w:r>
              <w:rPr>
                <w:sz w:val="22"/>
              </w:rPr>
              <w:t>0.00%</w:t>
            </w:r>
          </w:p>
        </w:tc>
        <w:tc>
          <w:tcPr>
            <w:tcW w:w="937" w:type="dxa"/>
          </w:tcPr>
          <w:p>
            <w:pPr>
              <w:pStyle w:val="TableParagraph"/>
              <w:spacing w:line="237" w:lineRule="exact" w:before="62"/>
              <w:ind w:left="112"/>
              <w:rPr>
                <w:sz w:val="22"/>
              </w:rPr>
            </w:pPr>
            <w:r>
              <w:rPr>
                <w:sz w:val="22"/>
              </w:rPr>
              <w:t>0.00%</w:t>
            </w:r>
          </w:p>
        </w:tc>
      </w:tr>
      <w:tr>
        <w:trPr>
          <w:trHeight w:val="318" w:hRule="atLeast"/>
        </w:trPr>
        <w:tc>
          <w:tcPr>
            <w:tcW w:w="3290" w:type="dxa"/>
          </w:tcPr>
          <w:p>
            <w:pPr>
              <w:pStyle w:val="TableParagraph"/>
              <w:spacing w:line="239" w:lineRule="exact"/>
              <w:rPr>
                <w:sz w:val="22"/>
              </w:rPr>
            </w:pPr>
            <w:r>
              <w:rPr>
                <w:sz w:val="22"/>
              </w:rPr>
              <w:t>Retail and Food</w:t>
            </w:r>
          </w:p>
        </w:tc>
        <w:tc>
          <w:tcPr>
            <w:tcW w:w="1029" w:type="dxa"/>
          </w:tcPr>
          <w:p>
            <w:pPr>
              <w:pStyle w:val="TableParagraph"/>
              <w:spacing w:line="239" w:lineRule="exact"/>
              <w:ind w:left="156"/>
              <w:rPr>
                <w:sz w:val="22"/>
              </w:rPr>
            </w:pPr>
            <w:r>
              <w:rPr>
                <w:sz w:val="22"/>
              </w:rPr>
              <w:t>5,012</w:t>
            </w:r>
          </w:p>
        </w:tc>
        <w:tc>
          <w:tcPr>
            <w:tcW w:w="1118" w:type="dxa"/>
          </w:tcPr>
          <w:p>
            <w:pPr>
              <w:pStyle w:val="TableParagraph"/>
              <w:spacing w:line="239" w:lineRule="exact"/>
              <w:ind w:left="204"/>
              <w:rPr>
                <w:sz w:val="22"/>
              </w:rPr>
            </w:pPr>
            <w:r>
              <w:rPr>
                <w:sz w:val="22"/>
              </w:rPr>
              <w:t>5,306</w:t>
            </w:r>
          </w:p>
        </w:tc>
        <w:tc>
          <w:tcPr>
            <w:tcW w:w="1132" w:type="dxa"/>
          </w:tcPr>
          <w:p>
            <w:pPr>
              <w:pStyle w:val="TableParagraph"/>
              <w:spacing w:line="239" w:lineRule="exact"/>
              <w:ind w:left="205"/>
              <w:rPr>
                <w:sz w:val="22"/>
              </w:rPr>
            </w:pPr>
            <w:r>
              <w:rPr>
                <w:sz w:val="22"/>
              </w:rPr>
              <w:t>6,060</w:t>
            </w:r>
          </w:p>
        </w:tc>
        <w:tc>
          <w:tcPr>
            <w:tcW w:w="1019" w:type="dxa"/>
          </w:tcPr>
          <w:p>
            <w:pPr>
              <w:pStyle w:val="TableParagraph"/>
              <w:spacing w:line="239" w:lineRule="exact"/>
              <w:ind w:left="0" w:right="265"/>
              <w:jc w:val="right"/>
              <w:rPr>
                <w:sz w:val="22"/>
              </w:rPr>
            </w:pPr>
            <w:r>
              <w:rPr>
                <w:sz w:val="22"/>
              </w:rPr>
              <w:t>7,755</w:t>
            </w:r>
          </w:p>
        </w:tc>
        <w:tc>
          <w:tcPr>
            <w:tcW w:w="937" w:type="dxa"/>
          </w:tcPr>
          <w:p>
            <w:pPr>
              <w:pStyle w:val="TableParagraph"/>
              <w:spacing w:line="239" w:lineRule="exact"/>
              <w:ind w:left="111"/>
              <w:rPr>
                <w:sz w:val="22"/>
              </w:rPr>
            </w:pPr>
            <w:r>
              <w:rPr>
                <w:sz w:val="22"/>
              </w:rPr>
              <w:t>1.92%</w:t>
            </w:r>
          </w:p>
        </w:tc>
        <w:tc>
          <w:tcPr>
            <w:tcW w:w="937" w:type="dxa"/>
          </w:tcPr>
          <w:p>
            <w:pPr>
              <w:pStyle w:val="TableParagraph"/>
              <w:spacing w:line="239" w:lineRule="exact"/>
              <w:ind w:left="112"/>
              <w:rPr>
                <w:sz w:val="22"/>
              </w:rPr>
            </w:pPr>
            <w:r>
              <w:rPr>
                <w:sz w:val="22"/>
              </w:rPr>
              <w:t>1.92%</w:t>
            </w:r>
          </w:p>
        </w:tc>
      </w:tr>
      <w:tr>
        <w:trPr>
          <w:trHeight w:val="575" w:hRule="atLeast"/>
        </w:trPr>
        <w:tc>
          <w:tcPr>
            <w:tcW w:w="3290" w:type="dxa"/>
          </w:tcPr>
          <w:p>
            <w:pPr>
              <w:pStyle w:val="TableParagraph"/>
              <w:spacing w:line="256" w:lineRule="exact" w:before="64"/>
              <w:ind w:right="171"/>
              <w:rPr>
                <w:sz w:val="22"/>
              </w:rPr>
            </w:pPr>
            <w:r>
              <w:rPr>
                <w:sz w:val="22"/>
              </w:rPr>
              <w:t>Warehousing, Transportation &amp; Utilities</w:t>
            </w:r>
          </w:p>
        </w:tc>
        <w:tc>
          <w:tcPr>
            <w:tcW w:w="1029" w:type="dxa"/>
          </w:tcPr>
          <w:p>
            <w:pPr>
              <w:pStyle w:val="TableParagraph"/>
              <w:ind w:left="156"/>
              <w:rPr>
                <w:sz w:val="22"/>
              </w:rPr>
            </w:pPr>
            <w:r>
              <w:rPr>
                <w:sz w:val="22"/>
              </w:rPr>
              <w:t>2,308</w:t>
            </w:r>
          </w:p>
        </w:tc>
        <w:tc>
          <w:tcPr>
            <w:tcW w:w="1118" w:type="dxa"/>
          </w:tcPr>
          <w:p>
            <w:pPr>
              <w:pStyle w:val="TableParagraph"/>
              <w:ind w:left="204"/>
              <w:rPr>
                <w:sz w:val="22"/>
              </w:rPr>
            </w:pPr>
            <w:r>
              <w:rPr>
                <w:sz w:val="22"/>
              </w:rPr>
              <w:t>2,466</w:t>
            </w:r>
          </w:p>
        </w:tc>
        <w:tc>
          <w:tcPr>
            <w:tcW w:w="1132" w:type="dxa"/>
          </w:tcPr>
          <w:p>
            <w:pPr>
              <w:pStyle w:val="TableParagraph"/>
              <w:ind w:left="205"/>
              <w:rPr>
                <w:sz w:val="22"/>
              </w:rPr>
            </w:pPr>
            <w:r>
              <w:rPr>
                <w:sz w:val="22"/>
              </w:rPr>
              <w:t>2,878</w:t>
            </w:r>
          </w:p>
        </w:tc>
        <w:tc>
          <w:tcPr>
            <w:tcW w:w="1019" w:type="dxa"/>
          </w:tcPr>
          <w:p>
            <w:pPr>
              <w:pStyle w:val="TableParagraph"/>
              <w:ind w:left="0" w:right="266"/>
              <w:jc w:val="right"/>
              <w:rPr>
                <w:sz w:val="22"/>
              </w:rPr>
            </w:pPr>
            <w:r>
              <w:rPr>
                <w:sz w:val="22"/>
              </w:rPr>
              <w:t>3,834</w:t>
            </w:r>
          </w:p>
        </w:tc>
        <w:tc>
          <w:tcPr>
            <w:tcW w:w="937" w:type="dxa"/>
          </w:tcPr>
          <w:p>
            <w:pPr>
              <w:pStyle w:val="TableParagraph"/>
              <w:ind w:left="111"/>
              <w:rPr>
                <w:sz w:val="22"/>
              </w:rPr>
            </w:pPr>
            <w:r>
              <w:rPr>
                <w:sz w:val="22"/>
              </w:rPr>
              <w:t>2.23%</w:t>
            </w:r>
          </w:p>
        </w:tc>
        <w:tc>
          <w:tcPr>
            <w:tcW w:w="937" w:type="dxa"/>
          </w:tcPr>
          <w:p>
            <w:pPr>
              <w:pStyle w:val="TableParagraph"/>
              <w:ind w:left="112"/>
              <w:rPr>
                <w:sz w:val="22"/>
              </w:rPr>
            </w:pPr>
            <w:r>
              <w:rPr>
                <w:sz w:val="22"/>
              </w:rPr>
              <w:t>2.23%</w:t>
            </w:r>
          </w:p>
        </w:tc>
      </w:tr>
      <w:tr>
        <w:trPr>
          <w:trHeight w:val="316" w:hRule="atLeast"/>
        </w:trPr>
        <w:tc>
          <w:tcPr>
            <w:tcW w:w="3290" w:type="dxa"/>
          </w:tcPr>
          <w:p>
            <w:pPr>
              <w:pStyle w:val="TableParagraph"/>
              <w:spacing w:line="237" w:lineRule="exact"/>
              <w:rPr>
                <w:sz w:val="22"/>
              </w:rPr>
            </w:pPr>
            <w:r>
              <w:rPr>
                <w:sz w:val="22"/>
              </w:rPr>
              <w:t>Manufacturing</w:t>
            </w:r>
          </w:p>
        </w:tc>
        <w:tc>
          <w:tcPr>
            <w:tcW w:w="1029" w:type="dxa"/>
          </w:tcPr>
          <w:p>
            <w:pPr>
              <w:pStyle w:val="TableParagraph"/>
              <w:spacing w:line="237" w:lineRule="exact"/>
              <w:ind w:left="156"/>
              <w:rPr>
                <w:sz w:val="22"/>
              </w:rPr>
            </w:pPr>
            <w:r>
              <w:rPr>
                <w:sz w:val="22"/>
              </w:rPr>
              <w:t>1,523</w:t>
            </w:r>
          </w:p>
        </w:tc>
        <w:tc>
          <w:tcPr>
            <w:tcW w:w="1118" w:type="dxa"/>
          </w:tcPr>
          <w:p>
            <w:pPr>
              <w:pStyle w:val="TableParagraph"/>
              <w:spacing w:line="237" w:lineRule="exact"/>
              <w:ind w:left="156"/>
              <w:rPr>
                <w:sz w:val="22"/>
              </w:rPr>
            </w:pPr>
            <w:r>
              <w:rPr>
                <w:sz w:val="22"/>
              </w:rPr>
              <w:t>1,569</w:t>
            </w:r>
          </w:p>
        </w:tc>
        <w:tc>
          <w:tcPr>
            <w:tcW w:w="1132" w:type="dxa"/>
          </w:tcPr>
          <w:p>
            <w:pPr>
              <w:pStyle w:val="TableParagraph"/>
              <w:spacing w:line="237" w:lineRule="exact"/>
              <w:ind w:left="205"/>
              <w:rPr>
                <w:sz w:val="22"/>
              </w:rPr>
            </w:pPr>
            <w:r>
              <w:rPr>
                <w:sz w:val="22"/>
              </w:rPr>
              <w:t>1,683</w:t>
            </w:r>
          </w:p>
        </w:tc>
        <w:tc>
          <w:tcPr>
            <w:tcW w:w="1019" w:type="dxa"/>
          </w:tcPr>
          <w:p>
            <w:pPr>
              <w:pStyle w:val="TableParagraph"/>
              <w:spacing w:line="237" w:lineRule="exact"/>
              <w:ind w:left="0" w:right="265"/>
              <w:jc w:val="right"/>
              <w:rPr>
                <w:sz w:val="22"/>
              </w:rPr>
            </w:pPr>
            <w:r>
              <w:rPr>
                <w:sz w:val="22"/>
              </w:rPr>
              <w:t>1,917</w:t>
            </w:r>
          </w:p>
        </w:tc>
        <w:tc>
          <w:tcPr>
            <w:tcW w:w="937" w:type="dxa"/>
          </w:tcPr>
          <w:p>
            <w:pPr>
              <w:pStyle w:val="TableParagraph"/>
              <w:spacing w:line="237" w:lineRule="exact"/>
              <w:ind w:left="111"/>
              <w:rPr>
                <w:sz w:val="22"/>
              </w:rPr>
            </w:pPr>
            <w:r>
              <w:rPr>
                <w:sz w:val="22"/>
              </w:rPr>
              <w:t>1.01%</w:t>
            </w:r>
          </w:p>
        </w:tc>
        <w:tc>
          <w:tcPr>
            <w:tcW w:w="937" w:type="dxa"/>
          </w:tcPr>
          <w:p>
            <w:pPr>
              <w:pStyle w:val="TableParagraph"/>
              <w:spacing w:line="237" w:lineRule="exact"/>
              <w:ind w:left="112"/>
              <w:rPr>
                <w:sz w:val="22"/>
              </w:rPr>
            </w:pPr>
            <w:r>
              <w:rPr>
                <w:sz w:val="22"/>
              </w:rPr>
              <w:t>1.01%</w:t>
            </w:r>
          </w:p>
        </w:tc>
      </w:tr>
      <w:tr>
        <w:trPr>
          <w:trHeight w:val="318" w:hRule="atLeast"/>
        </w:trPr>
        <w:tc>
          <w:tcPr>
            <w:tcW w:w="3290" w:type="dxa"/>
          </w:tcPr>
          <w:p>
            <w:pPr>
              <w:pStyle w:val="TableParagraph"/>
              <w:spacing w:line="237" w:lineRule="exact" w:before="62"/>
              <w:rPr>
                <w:sz w:val="22"/>
              </w:rPr>
            </w:pPr>
            <w:r>
              <w:rPr>
                <w:sz w:val="22"/>
              </w:rPr>
              <w:t>Construction</w:t>
            </w:r>
          </w:p>
        </w:tc>
        <w:tc>
          <w:tcPr>
            <w:tcW w:w="1029" w:type="dxa"/>
          </w:tcPr>
          <w:p>
            <w:pPr>
              <w:pStyle w:val="TableParagraph"/>
              <w:spacing w:line="237" w:lineRule="exact" w:before="62"/>
              <w:ind w:left="156"/>
              <w:rPr>
                <w:sz w:val="22"/>
              </w:rPr>
            </w:pPr>
            <w:r>
              <w:rPr>
                <w:sz w:val="22"/>
              </w:rPr>
              <w:t>1,390</w:t>
            </w:r>
          </w:p>
        </w:tc>
        <w:tc>
          <w:tcPr>
            <w:tcW w:w="1118" w:type="dxa"/>
          </w:tcPr>
          <w:p>
            <w:pPr>
              <w:pStyle w:val="TableParagraph"/>
              <w:spacing w:line="237" w:lineRule="exact" w:before="62"/>
              <w:ind w:left="156"/>
              <w:rPr>
                <w:sz w:val="22"/>
              </w:rPr>
            </w:pPr>
            <w:r>
              <w:rPr>
                <w:sz w:val="22"/>
              </w:rPr>
              <w:t>1,518</w:t>
            </w:r>
          </w:p>
        </w:tc>
        <w:tc>
          <w:tcPr>
            <w:tcW w:w="1132" w:type="dxa"/>
          </w:tcPr>
          <w:p>
            <w:pPr>
              <w:pStyle w:val="TableParagraph"/>
              <w:spacing w:line="237" w:lineRule="exact" w:before="62"/>
              <w:ind w:left="157"/>
              <w:rPr>
                <w:sz w:val="22"/>
              </w:rPr>
            </w:pPr>
            <w:r>
              <w:rPr>
                <w:sz w:val="22"/>
              </w:rPr>
              <w:t>1,866</w:t>
            </w:r>
          </w:p>
        </w:tc>
        <w:tc>
          <w:tcPr>
            <w:tcW w:w="1019" w:type="dxa"/>
          </w:tcPr>
          <w:p>
            <w:pPr>
              <w:pStyle w:val="TableParagraph"/>
              <w:spacing w:line="237" w:lineRule="exact" w:before="62"/>
              <w:ind w:left="0" w:right="265"/>
              <w:jc w:val="right"/>
              <w:rPr>
                <w:sz w:val="22"/>
              </w:rPr>
            </w:pPr>
            <w:r>
              <w:rPr>
                <w:sz w:val="22"/>
              </w:rPr>
              <w:t>2,737</w:t>
            </w:r>
          </w:p>
        </w:tc>
        <w:tc>
          <w:tcPr>
            <w:tcW w:w="937" w:type="dxa"/>
          </w:tcPr>
          <w:p>
            <w:pPr>
              <w:pStyle w:val="TableParagraph"/>
              <w:spacing w:line="237" w:lineRule="exact" w:before="62"/>
              <w:ind w:left="111"/>
              <w:rPr>
                <w:sz w:val="22"/>
              </w:rPr>
            </w:pPr>
            <w:r>
              <w:rPr>
                <w:sz w:val="22"/>
              </w:rPr>
              <w:t>2.99%</w:t>
            </w:r>
          </w:p>
        </w:tc>
        <w:tc>
          <w:tcPr>
            <w:tcW w:w="937" w:type="dxa"/>
          </w:tcPr>
          <w:p>
            <w:pPr>
              <w:pStyle w:val="TableParagraph"/>
              <w:spacing w:line="237" w:lineRule="exact" w:before="62"/>
              <w:ind w:left="112"/>
              <w:rPr>
                <w:sz w:val="22"/>
              </w:rPr>
            </w:pPr>
            <w:r>
              <w:rPr>
                <w:sz w:val="22"/>
              </w:rPr>
              <w:t>2.99%</w:t>
            </w:r>
          </w:p>
        </w:tc>
      </w:tr>
      <w:tr>
        <w:trPr>
          <w:trHeight w:val="318" w:hRule="atLeast"/>
        </w:trPr>
        <w:tc>
          <w:tcPr>
            <w:tcW w:w="3290" w:type="dxa"/>
          </w:tcPr>
          <w:p>
            <w:pPr>
              <w:pStyle w:val="TableParagraph"/>
              <w:spacing w:line="239" w:lineRule="exact"/>
              <w:rPr>
                <w:sz w:val="22"/>
              </w:rPr>
            </w:pPr>
            <w:r>
              <w:rPr>
                <w:sz w:val="22"/>
              </w:rPr>
              <w:t>Government</w:t>
            </w:r>
          </w:p>
        </w:tc>
        <w:tc>
          <w:tcPr>
            <w:tcW w:w="1029" w:type="dxa"/>
          </w:tcPr>
          <w:p>
            <w:pPr>
              <w:pStyle w:val="TableParagraph"/>
              <w:spacing w:line="239" w:lineRule="exact"/>
              <w:ind w:left="156"/>
              <w:rPr>
                <w:sz w:val="22"/>
              </w:rPr>
            </w:pPr>
            <w:r>
              <w:rPr>
                <w:sz w:val="22"/>
              </w:rPr>
              <w:t>1,251</w:t>
            </w:r>
          </w:p>
        </w:tc>
        <w:tc>
          <w:tcPr>
            <w:tcW w:w="1118" w:type="dxa"/>
          </w:tcPr>
          <w:p>
            <w:pPr>
              <w:pStyle w:val="TableParagraph"/>
              <w:spacing w:line="239" w:lineRule="exact"/>
              <w:ind w:left="156"/>
              <w:rPr>
                <w:sz w:val="22"/>
              </w:rPr>
            </w:pPr>
            <w:r>
              <w:rPr>
                <w:sz w:val="22"/>
              </w:rPr>
              <w:t>1,303</w:t>
            </w:r>
          </w:p>
        </w:tc>
        <w:tc>
          <w:tcPr>
            <w:tcW w:w="1132" w:type="dxa"/>
          </w:tcPr>
          <w:p>
            <w:pPr>
              <w:pStyle w:val="TableParagraph"/>
              <w:spacing w:line="239" w:lineRule="exact"/>
              <w:ind w:left="157"/>
              <w:rPr>
                <w:sz w:val="22"/>
              </w:rPr>
            </w:pPr>
            <w:r>
              <w:rPr>
                <w:sz w:val="22"/>
              </w:rPr>
              <w:t>1,433</w:t>
            </w:r>
          </w:p>
        </w:tc>
        <w:tc>
          <w:tcPr>
            <w:tcW w:w="1019" w:type="dxa"/>
          </w:tcPr>
          <w:p>
            <w:pPr>
              <w:pStyle w:val="TableParagraph"/>
              <w:spacing w:line="239" w:lineRule="exact"/>
              <w:ind w:left="0" w:right="265"/>
              <w:jc w:val="right"/>
              <w:rPr>
                <w:sz w:val="22"/>
              </w:rPr>
            </w:pPr>
            <w:r>
              <w:rPr>
                <w:sz w:val="22"/>
              </w:rPr>
              <w:t>1,710</w:t>
            </w:r>
          </w:p>
        </w:tc>
        <w:tc>
          <w:tcPr>
            <w:tcW w:w="937" w:type="dxa"/>
          </w:tcPr>
          <w:p>
            <w:pPr>
              <w:pStyle w:val="TableParagraph"/>
              <w:spacing w:line="239" w:lineRule="exact"/>
              <w:ind w:left="111"/>
              <w:rPr>
                <w:sz w:val="22"/>
              </w:rPr>
            </w:pPr>
            <w:r>
              <w:rPr>
                <w:sz w:val="22"/>
              </w:rPr>
              <w:t>1.37%</w:t>
            </w:r>
          </w:p>
        </w:tc>
        <w:tc>
          <w:tcPr>
            <w:tcW w:w="937" w:type="dxa"/>
          </w:tcPr>
          <w:p>
            <w:pPr>
              <w:pStyle w:val="TableParagraph"/>
              <w:spacing w:line="239" w:lineRule="exact"/>
              <w:ind w:left="112"/>
              <w:rPr>
                <w:sz w:val="22"/>
              </w:rPr>
            </w:pPr>
            <w:r>
              <w:rPr>
                <w:sz w:val="22"/>
              </w:rPr>
              <w:t>1.37%</w:t>
            </w:r>
          </w:p>
        </w:tc>
      </w:tr>
      <w:tr>
        <w:trPr>
          <w:trHeight w:val="316" w:hRule="atLeast"/>
        </w:trPr>
        <w:tc>
          <w:tcPr>
            <w:tcW w:w="3290" w:type="dxa"/>
          </w:tcPr>
          <w:p>
            <w:pPr>
              <w:pStyle w:val="TableParagraph"/>
              <w:spacing w:line="237" w:lineRule="exact"/>
              <w:rPr>
                <w:sz w:val="22"/>
              </w:rPr>
            </w:pPr>
            <w:r>
              <w:rPr>
                <w:sz w:val="22"/>
              </w:rPr>
              <w:t>Resources</w:t>
            </w:r>
          </w:p>
        </w:tc>
        <w:tc>
          <w:tcPr>
            <w:tcW w:w="1029" w:type="dxa"/>
          </w:tcPr>
          <w:p>
            <w:pPr>
              <w:pStyle w:val="TableParagraph"/>
              <w:spacing w:line="237" w:lineRule="exact"/>
              <w:ind w:left="252"/>
              <w:rPr>
                <w:sz w:val="22"/>
              </w:rPr>
            </w:pPr>
            <w:r>
              <w:rPr>
                <w:sz w:val="22"/>
              </w:rPr>
              <w:t>118</w:t>
            </w:r>
          </w:p>
        </w:tc>
        <w:tc>
          <w:tcPr>
            <w:tcW w:w="1118" w:type="dxa"/>
          </w:tcPr>
          <w:p>
            <w:pPr>
              <w:pStyle w:val="TableParagraph"/>
              <w:spacing w:line="237" w:lineRule="exact"/>
              <w:ind w:left="300"/>
              <w:rPr>
                <w:sz w:val="22"/>
              </w:rPr>
            </w:pPr>
            <w:r>
              <w:rPr>
                <w:sz w:val="22"/>
              </w:rPr>
              <w:t>124</w:t>
            </w:r>
          </w:p>
        </w:tc>
        <w:tc>
          <w:tcPr>
            <w:tcW w:w="1132" w:type="dxa"/>
          </w:tcPr>
          <w:p>
            <w:pPr>
              <w:pStyle w:val="TableParagraph"/>
              <w:spacing w:line="237" w:lineRule="exact"/>
              <w:ind w:left="253"/>
              <w:rPr>
                <w:sz w:val="22"/>
              </w:rPr>
            </w:pPr>
            <w:r>
              <w:rPr>
                <w:sz w:val="22"/>
              </w:rPr>
              <w:t>141</w:t>
            </w:r>
          </w:p>
        </w:tc>
        <w:tc>
          <w:tcPr>
            <w:tcW w:w="1019" w:type="dxa"/>
          </w:tcPr>
          <w:p>
            <w:pPr>
              <w:pStyle w:val="TableParagraph"/>
              <w:spacing w:line="237" w:lineRule="exact"/>
              <w:ind w:left="350"/>
              <w:rPr>
                <w:sz w:val="22"/>
              </w:rPr>
            </w:pPr>
            <w:r>
              <w:rPr>
                <w:sz w:val="22"/>
              </w:rPr>
              <w:t>177</w:t>
            </w:r>
          </w:p>
        </w:tc>
        <w:tc>
          <w:tcPr>
            <w:tcW w:w="937" w:type="dxa"/>
          </w:tcPr>
          <w:p>
            <w:pPr>
              <w:pStyle w:val="TableParagraph"/>
              <w:spacing w:line="237" w:lineRule="exact"/>
              <w:ind w:left="111"/>
              <w:rPr>
                <w:sz w:val="22"/>
              </w:rPr>
            </w:pPr>
            <w:r>
              <w:rPr>
                <w:sz w:val="22"/>
              </w:rPr>
              <w:t>1.77%</w:t>
            </w:r>
          </w:p>
        </w:tc>
        <w:tc>
          <w:tcPr>
            <w:tcW w:w="937" w:type="dxa"/>
          </w:tcPr>
          <w:p>
            <w:pPr>
              <w:pStyle w:val="TableParagraph"/>
              <w:spacing w:line="237" w:lineRule="exact"/>
              <w:ind w:left="112"/>
              <w:rPr>
                <w:sz w:val="14"/>
              </w:rPr>
            </w:pPr>
            <w:r>
              <w:rPr>
                <w:sz w:val="22"/>
              </w:rPr>
              <w:t>1.77%</w:t>
            </w:r>
            <w:r>
              <w:rPr>
                <w:position w:val="5"/>
                <w:sz w:val="14"/>
              </w:rPr>
              <w:t>3</w:t>
            </w:r>
          </w:p>
        </w:tc>
      </w:tr>
      <w:tr>
        <w:trPr>
          <w:trHeight w:val="318" w:hRule="atLeast"/>
        </w:trPr>
        <w:tc>
          <w:tcPr>
            <w:tcW w:w="3290" w:type="dxa"/>
          </w:tcPr>
          <w:p>
            <w:pPr>
              <w:pStyle w:val="TableParagraph"/>
              <w:spacing w:line="237" w:lineRule="exact" w:before="62"/>
              <w:rPr>
                <w:sz w:val="22"/>
              </w:rPr>
            </w:pPr>
            <w:r>
              <w:rPr>
                <w:sz w:val="22"/>
              </w:rPr>
              <w:t>Total</w:t>
            </w:r>
          </w:p>
        </w:tc>
        <w:tc>
          <w:tcPr>
            <w:tcW w:w="1029" w:type="dxa"/>
          </w:tcPr>
          <w:p>
            <w:pPr>
              <w:pStyle w:val="TableParagraph"/>
              <w:spacing w:line="237" w:lineRule="exact" w:before="62"/>
              <w:ind w:left="108"/>
              <w:rPr>
                <w:sz w:val="22"/>
              </w:rPr>
            </w:pPr>
            <w:r>
              <w:rPr>
                <w:sz w:val="22"/>
              </w:rPr>
              <w:t>35,564</w:t>
            </w:r>
          </w:p>
        </w:tc>
        <w:tc>
          <w:tcPr>
            <w:tcW w:w="1118" w:type="dxa"/>
          </w:tcPr>
          <w:p>
            <w:pPr>
              <w:pStyle w:val="TableParagraph"/>
              <w:spacing w:line="237" w:lineRule="exact" w:before="62"/>
              <w:ind w:left="108"/>
              <w:rPr>
                <w:sz w:val="22"/>
              </w:rPr>
            </w:pPr>
            <w:r>
              <w:rPr>
                <w:sz w:val="22"/>
              </w:rPr>
              <w:t>37,675</w:t>
            </w:r>
          </w:p>
        </w:tc>
        <w:tc>
          <w:tcPr>
            <w:tcW w:w="1132" w:type="dxa"/>
          </w:tcPr>
          <w:p>
            <w:pPr>
              <w:pStyle w:val="TableParagraph"/>
              <w:spacing w:line="237" w:lineRule="exact" w:before="62"/>
              <w:ind w:left="109"/>
              <w:rPr>
                <w:sz w:val="22"/>
              </w:rPr>
            </w:pPr>
            <w:r>
              <w:rPr>
                <w:sz w:val="22"/>
              </w:rPr>
              <w:t>41,185</w:t>
            </w:r>
          </w:p>
        </w:tc>
        <w:tc>
          <w:tcPr>
            <w:tcW w:w="1019" w:type="dxa"/>
          </w:tcPr>
          <w:p>
            <w:pPr>
              <w:pStyle w:val="TableParagraph"/>
              <w:spacing w:line="237" w:lineRule="exact" w:before="62"/>
              <w:ind w:left="110"/>
              <w:rPr>
                <w:sz w:val="22"/>
              </w:rPr>
            </w:pPr>
            <w:r>
              <w:rPr>
                <w:sz w:val="22"/>
              </w:rPr>
              <w:t>50,295</w:t>
            </w:r>
          </w:p>
        </w:tc>
        <w:tc>
          <w:tcPr>
            <w:tcW w:w="937" w:type="dxa"/>
          </w:tcPr>
          <w:p>
            <w:pPr>
              <w:pStyle w:val="TableParagraph"/>
              <w:spacing w:line="237" w:lineRule="exact" w:before="62"/>
              <w:ind w:left="111"/>
              <w:rPr>
                <w:sz w:val="22"/>
              </w:rPr>
            </w:pPr>
            <w:r>
              <w:rPr>
                <w:sz w:val="22"/>
              </w:rPr>
              <w:t>1.94%</w:t>
            </w:r>
          </w:p>
        </w:tc>
        <w:tc>
          <w:tcPr>
            <w:tcW w:w="937" w:type="dxa"/>
          </w:tcPr>
          <w:p>
            <w:pPr>
              <w:pStyle w:val="TableParagraph"/>
              <w:spacing w:line="237" w:lineRule="exact" w:before="62"/>
              <w:ind w:left="112"/>
              <w:rPr>
                <w:sz w:val="22"/>
              </w:rPr>
            </w:pPr>
            <w:r>
              <w:rPr>
                <w:sz w:val="22"/>
              </w:rPr>
              <w:t>1.31%</w:t>
            </w:r>
          </w:p>
        </w:tc>
      </w:tr>
    </w:tbl>
    <w:p>
      <w:pPr>
        <w:spacing w:before="59"/>
        <w:ind w:left="140" w:right="0" w:firstLine="0"/>
        <w:jc w:val="left"/>
        <w:rPr>
          <w:i/>
          <w:sz w:val="20"/>
        </w:rPr>
      </w:pPr>
      <w:r>
        <w:rPr>
          <w:i/>
          <w:position w:val="5"/>
          <w:sz w:val="13"/>
        </w:rPr>
        <w:t>1 </w:t>
      </w:r>
      <w:r>
        <w:rPr>
          <w:i/>
          <w:sz w:val="20"/>
        </w:rPr>
        <w:t>Annual Average Growth Rate</w:t>
      </w:r>
    </w:p>
    <w:p>
      <w:pPr>
        <w:spacing w:before="61"/>
        <w:ind w:left="140" w:right="0" w:firstLine="0"/>
        <w:jc w:val="left"/>
        <w:rPr>
          <w:i/>
          <w:sz w:val="20"/>
        </w:rPr>
      </w:pPr>
      <w:r>
        <w:rPr>
          <w:i/>
          <w:position w:val="5"/>
          <w:sz w:val="13"/>
        </w:rPr>
        <w:t>2 </w:t>
      </w:r>
      <w:r>
        <w:rPr>
          <w:i/>
          <w:sz w:val="20"/>
        </w:rPr>
        <w:t>Assumes no new growth; implies e.g. PNNL employees find new related jobs but no new growth</w:t>
      </w:r>
    </w:p>
    <w:p>
      <w:pPr>
        <w:spacing w:before="58"/>
        <w:ind w:left="140" w:right="0" w:firstLine="0"/>
        <w:jc w:val="left"/>
        <w:rPr>
          <w:i/>
          <w:sz w:val="20"/>
        </w:rPr>
      </w:pPr>
      <w:r>
        <w:rPr>
          <w:i/>
          <w:position w:val="5"/>
          <w:sz w:val="13"/>
        </w:rPr>
        <w:t>3 </w:t>
      </w:r>
      <w:r>
        <w:rPr>
          <w:i/>
          <w:sz w:val="20"/>
        </w:rPr>
        <w:t>Assumes same growth as in 2014-2019</w:t>
      </w:r>
    </w:p>
    <w:p>
      <w:pPr>
        <w:spacing w:before="1"/>
        <w:ind w:left="140" w:right="0" w:firstLine="0"/>
        <w:jc w:val="left"/>
        <w:rPr>
          <w:i/>
          <w:sz w:val="20"/>
        </w:rPr>
      </w:pPr>
      <w:r>
        <w:rPr>
          <w:i/>
          <w:sz w:val="20"/>
        </w:rPr>
        <w:t>Source: US Census, OnTheMap; Washington Employment Security Department; ECONorthwest</w:t>
      </w:r>
    </w:p>
    <w:p>
      <w:pPr>
        <w:pStyle w:val="BodyText"/>
        <w:spacing w:before="1"/>
        <w:rPr>
          <w:i/>
          <w:sz w:val="17"/>
        </w:rPr>
      </w:pPr>
    </w:p>
    <w:p>
      <w:pPr>
        <w:spacing w:before="0"/>
        <w:ind w:left="140" w:right="0" w:firstLine="0"/>
        <w:jc w:val="both"/>
        <w:rPr>
          <w:b/>
          <w:sz w:val="24"/>
        </w:rPr>
      </w:pPr>
      <w:bookmarkStart w:name="Summary of Existing Economic Conditions " w:id="55"/>
      <w:bookmarkEnd w:id="55"/>
      <w:r>
        <w:rPr/>
      </w:r>
      <w:r>
        <w:rPr>
          <w:b/>
          <w:sz w:val="24"/>
        </w:rPr>
        <w:t>SUMMARY OF EXISTING ECONOMIC CONDITIONS AND FORECAST</w:t>
      </w:r>
    </w:p>
    <w:p>
      <w:pPr>
        <w:pStyle w:val="BodyText"/>
        <w:spacing w:before="119"/>
        <w:ind w:left="140" w:right="333"/>
        <w:jc w:val="both"/>
      </w:pPr>
      <w:r>
        <w:rPr/>
        <w:t>Richland is at the epicenter of the major driving economic forces on the Tri-Cities area. The work performed</w:t>
      </w:r>
      <w:r>
        <w:rPr>
          <w:spacing w:val="-9"/>
        </w:rPr>
        <w:t> </w:t>
      </w:r>
      <w:r>
        <w:rPr/>
        <w:t>at</w:t>
      </w:r>
      <w:r>
        <w:rPr>
          <w:spacing w:val="-9"/>
        </w:rPr>
        <w:t> </w:t>
      </w:r>
      <w:r>
        <w:rPr/>
        <w:t>the</w:t>
      </w:r>
      <w:r>
        <w:rPr>
          <w:spacing w:val="-8"/>
        </w:rPr>
        <w:t> </w:t>
      </w:r>
      <w:r>
        <w:rPr/>
        <w:t>Hanford</w:t>
      </w:r>
      <w:r>
        <w:rPr>
          <w:spacing w:val="-9"/>
        </w:rPr>
        <w:t> </w:t>
      </w:r>
      <w:r>
        <w:rPr/>
        <w:t>Site,</w:t>
      </w:r>
      <w:r>
        <w:rPr>
          <w:spacing w:val="-9"/>
        </w:rPr>
        <w:t> </w:t>
      </w:r>
      <w:r>
        <w:rPr/>
        <w:t>in</w:t>
      </w:r>
      <w:r>
        <w:rPr>
          <w:spacing w:val="-9"/>
        </w:rPr>
        <w:t> </w:t>
      </w:r>
      <w:r>
        <w:rPr/>
        <w:t>tandem</w:t>
      </w:r>
      <w:r>
        <w:rPr>
          <w:spacing w:val="-8"/>
        </w:rPr>
        <w:t> </w:t>
      </w:r>
      <w:r>
        <w:rPr/>
        <w:t>with</w:t>
      </w:r>
      <w:r>
        <w:rPr>
          <w:spacing w:val="-8"/>
        </w:rPr>
        <w:t> </w:t>
      </w:r>
      <w:r>
        <w:rPr/>
        <w:t>the</w:t>
      </w:r>
      <w:r>
        <w:rPr>
          <w:spacing w:val="-9"/>
        </w:rPr>
        <w:t> </w:t>
      </w:r>
      <w:r>
        <w:rPr/>
        <w:t>research</w:t>
      </w:r>
      <w:r>
        <w:rPr>
          <w:spacing w:val="-9"/>
        </w:rPr>
        <w:t> </w:t>
      </w:r>
      <w:r>
        <w:rPr/>
        <w:t>at</w:t>
      </w:r>
      <w:r>
        <w:rPr>
          <w:spacing w:val="-8"/>
        </w:rPr>
        <w:t> </w:t>
      </w:r>
      <w:r>
        <w:rPr/>
        <w:t>Pacific</w:t>
      </w:r>
      <w:r>
        <w:rPr>
          <w:spacing w:val="-8"/>
        </w:rPr>
        <w:t> </w:t>
      </w:r>
      <w:r>
        <w:rPr/>
        <w:t>Northwest</w:t>
      </w:r>
      <w:r>
        <w:rPr>
          <w:spacing w:val="-8"/>
        </w:rPr>
        <w:t> </w:t>
      </w:r>
      <w:r>
        <w:rPr/>
        <w:t>National</w:t>
      </w:r>
      <w:r>
        <w:rPr>
          <w:spacing w:val="-9"/>
        </w:rPr>
        <w:t> </w:t>
      </w:r>
      <w:r>
        <w:rPr/>
        <w:t>Laboratory (PNNL), has driven economic development in the region and City for decades. This circumstance is currently the region’s largest economic strength and a source of its greatest economic fears. These dual</w:t>
      </w:r>
      <w:r>
        <w:rPr>
          <w:spacing w:val="-14"/>
        </w:rPr>
        <w:t> </w:t>
      </w:r>
      <w:r>
        <w:rPr/>
        <w:t>assets</w:t>
      </w:r>
      <w:r>
        <w:rPr>
          <w:spacing w:val="-12"/>
        </w:rPr>
        <w:t> </w:t>
      </w:r>
      <w:r>
        <w:rPr/>
        <w:t>have</w:t>
      </w:r>
      <w:r>
        <w:rPr>
          <w:spacing w:val="-13"/>
        </w:rPr>
        <w:t> </w:t>
      </w:r>
      <w:r>
        <w:rPr/>
        <w:t>driven</w:t>
      </w:r>
      <w:r>
        <w:rPr>
          <w:spacing w:val="-14"/>
        </w:rPr>
        <w:t> </w:t>
      </w:r>
      <w:r>
        <w:rPr/>
        <w:t>the</w:t>
      </w:r>
      <w:r>
        <w:rPr>
          <w:spacing w:val="-13"/>
        </w:rPr>
        <w:t> </w:t>
      </w:r>
      <w:r>
        <w:rPr/>
        <w:t>need</w:t>
      </w:r>
      <w:r>
        <w:rPr>
          <w:spacing w:val="-13"/>
        </w:rPr>
        <w:t> </w:t>
      </w:r>
      <w:r>
        <w:rPr/>
        <w:t>for</w:t>
      </w:r>
      <w:r>
        <w:rPr>
          <w:spacing w:val="-13"/>
        </w:rPr>
        <w:t> </w:t>
      </w:r>
      <w:r>
        <w:rPr/>
        <w:t>urban</w:t>
      </w:r>
      <w:r>
        <w:rPr>
          <w:spacing w:val="-14"/>
        </w:rPr>
        <w:t> </w:t>
      </w:r>
      <w:r>
        <w:rPr/>
        <w:t>land</w:t>
      </w:r>
      <w:r>
        <w:rPr>
          <w:spacing w:val="-13"/>
        </w:rPr>
        <w:t> </w:t>
      </w:r>
      <w:r>
        <w:rPr/>
        <w:t>development</w:t>
      </w:r>
      <w:r>
        <w:rPr>
          <w:spacing w:val="-13"/>
        </w:rPr>
        <w:t> </w:t>
      </w:r>
      <w:r>
        <w:rPr/>
        <w:t>and</w:t>
      </w:r>
      <w:r>
        <w:rPr>
          <w:spacing w:val="-13"/>
        </w:rPr>
        <w:t> </w:t>
      </w:r>
      <w:r>
        <w:rPr/>
        <w:t>created</w:t>
      </w:r>
      <w:r>
        <w:rPr>
          <w:spacing w:val="-13"/>
        </w:rPr>
        <w:t> </w:t>
      </w:r>
      <w:r>
        <w:rPr/>
        <w:t>strong</w:t>
      </w:r>
      <w:r>
        <w:rPr>
          <w:spacing w:val="-12"/>
        </w:rPr>
        <w:t> </w:t>
      </w:r>
      <w:r>
        <w:rPr/>
        <w:t>markets</w:t>
      </w:r>
      <w:r>
        <w:rPr>
          <w:spacing w:val="-12"/>
        </w:rPr>
        <w:t> </w:t>
      </w:r>
      <w:r>
        <w:rPr/>
        <w:t>for</w:t>
      </w:r>
      <w:r>
        <w:rPr>
          <w:spacing w:val="-13"/>
        </w:rPr>
        <w:t> </w:t>
      </w:r>
      <w:r>
        <w:rPr/>
        <w:t>housing, retail, and household services. Along with the agricultural sector, they have also created the foundation for a larger regional economy, which has supported more economic opportunity overall, allowing other unrelated industries to take hold in the area. However, the exposure of such a large segment of the economy to a single entity is a cause for concern for regional leadership and local residents. Recent spending cuts following the recession demonstrate the extent to which the economy depends on government spending to support these</w:t>
      </w:r>
      <w:r>
        <w:rPr>
          <w:spacing w:val="-12"/>
        </w:rPr>
        <w:t> </w:t>
      </w:r>
      <w:r>
        <w:rPr/>
        <w:t>activities.</w:t>
      </w:r>
    </w:p>
    <w:p>
      <w:pPr>
        <w:pStyle w:val="BodyText"/>
        <w:spacing w:before="122"/>
        <w:ind w:left="140" w:right="333"/>
        <w:jc w:val="both"/>
      </w:pPr>
      <w:r>
        <w:rPr/>
        <w:t>The region has shown strong growth in economic output over the past several decades leading to sustained employment growth. From a regional economic perspective, the agricultural sector is one of the most competitive for the region, which is not surprising given the region’s agricultural advantages.</w:t>
      </w:r>
      <w:r>
        <w:rPr>
          <w:spacing w:val="-15"/>
        </w:rPr>
        <w:t> </w:t>
      </w:r>
      <w:r>
        <w:rPr/>
        <w:t>The</w:t>
      </w:r>
      <w:r>
        <w:rPr>
          <w:spacing w:val="-14"/>
        </w:rPr>
        <w:t> </w:t>
      </w:r>
      <w:r>
        <w:rPr/>
        <w:t>region</w:t>
      </w:r>
      <w:r>
        <w:rPr>
          <w:spacing w:val="-15"/>
        </w:rPr>
        <w:t> </w:t>
      </w:r>
      <w:r>
        <w:rPr/>
        <w:t>has</w:t>
      </w:r>
      <w:r>
        <w:rPr>
          <w:spacing w:val="-13"/>
        </w:rPr>
        <w:t> </w:t>
      </w:r>
      <w:r>
        <w:rPr/>
        <w:t>a</w:t>
      </w:r>
      <w:r>
        <w:rPr>
          <w:spacing w:val="-14"/>
        </w:rPr>
        <w:t> </w:t>
      </w:r>
      <w:r>
        <w:rPr/>
        <w:t>strong</w:t>
      </w:r>
      <w:r>
        <w:rPr>
          <w:spacing w:val="-13"/>
        </w:rPr>
        <w:t> </w:t>
      </w:r>
      <w:r>
        <w:rPr/>
        <w:t>industrial/manufacturing</w:t>
      </w:r>
      <w:r>
        <w:rPr>
          <w:spacing w:val="-13"/>
        </w:rPr>
        <w:t> </w:t>
      </w:r>
      <w:r>
        <w:rPr/>
        <w:t>base</w:t>
      </w:r>
      <w:r>
        <w:rPr>
          <w:spacing w:val="-14"/>
        </w:rPr>
        <w:t> </w:t>
      </w:r>
      <w:r>
        <w:rPr/>
        <w:t>that</w:t>
      </w:r>
      <w:r>
        <w:rPr>
          <w:spacing w:val="-14"/>
        </w:rPr>
        <w:t> </w:t>
      </w:r>
      <w:r>
        <w:rPr/>
        <w:t>has</w:t>
      </w:r>
      <w:r>
        <w:rPr>
          <w:spacing w:val="-13"/>
        </w:rPr>
        <w:t> </w:t>
      </w:r>
      <w:r>
        <w:rPr/>
        <w:t>sustained</w:t>
      </w:r>
      <w:r>
        <w:rPr>
          <w:spacing w:val="-14"/>
        </w:rPr>
        <w:t> </w:t>
      </w:r>
      <w:r>
        <w:rPr/>
        <w:t>itself</w:t>
      </w:r>
      <w:r>
        <w:rPr>
          <w:spacing w:val="-14"/>
        </w:rPr>
        <w:t> </w:t>
      </w:r>
      <w:r>
        <w:rPr/>
        <w:t>over</w:t>
      </w:r>
      <w:r>
        <w:rPr>
          <w:spacing w:val="-14"/>
        </w:rPr>
        <w:t> </w:t>
      </w:r>
      <w:r>
        <w:rPr/>
        <w:t>time yet the largest portion of the economy is service-based (both professional/business and personal) that</w:t>
      </w:r>
      <w:r>
        <w:rPr>
          <w:spacing w:val="-12"/>
        </w:rPr>
        <w:t> </w:t>
      </w:r>
      <w:r>
        <w:rPr/>
        <w:t>continues</w:t>
      </w:r>
      <w:r>
        <w:rPr>
          <w:spacing w:val="-11"/>
        </w:rPr>
        <w:t> </w:t>
      </w:r>
      <w:r>
        <w:rPr/>
        <w:t>to</w:t>
      </w:r>
      <w:r>
        <w:rPr>
          <w:spacing w:val="-11"/>
        </w:rPr>
        <w:t> </w:t>
      </w:r>
      <w:r>
        <w:rPr/>
        <w:t>drive</w:t>
      </w:r>
      <w:r>
        <w:rPr>
          <w:spacing w:val="-12"/>
        </w:rPr>
        <w:t> </w:t>
      </w:r>
      <w:r>
        <w:rPr/>
        <w:t>economic</w:t>
      </w:r>
      <w:r>
        <w:rPr>
          <w:spacing w:val="-13"/>
        </w:rPr>
        <w:t> </w:t>
      </w:r>
      <w:r>
        <w:rPr/>
        <w:t>growth</w:t>
      </w:r>
      <w:r>
        <w:rPr>
          <w:spacing w:val="-12"/>
        </w:rPr>
        <w:t> </w:t>
      </w:r>
      <w:r>
        <w:rPr/>
        <w:t>in</w:t>
      </w:r>
      <w:r>
        <w:rPr>
          <w:spacing w:val="-12"/>
        </w:rPr>
        <w:t> </w:t>
      </w:r>
      <w:r>
        <w:rPr/>
        <w:t>the</w:t>
      </w:r>
      <w:r>
        <w:rPr>
          <w:spacing w:val="-12"/>
        </w:rPr>
        <w:t> </w:t>
      </w:r>
      <w:r>
        <w:rPr/>
        <w:t>recent</w:t>
      </w:r>
      <w:r>
        <w:rPr>
          <w:spacing w:val="-12"/>
        </w:rPr>
        <w:t> </w:t>
      </w:r>
      <w:r>
        <w:rPr/>
        <w:t>decade.</w:t>
      </w:r>
      <w:r>
        <w:rPr>
          <w:spacing w:val="-11"/>
        </w:rPr>
        <w:t> </w:t>
      </w:r>
      <w:r>
        <w:rPr/>
        <w:t>However,</w:t>
      </w:r>
      <w:r>
        <w:rPr>
          <w:spacing w:val="-11"/>
        </w:rPr>
        <w:t> </w:t>
      </w:r>
      <w:r>
        <w:rPr/>
        <w:t>growth</w:t>
      </w:r>
      <w:r>
        <w:rPr>
          <w:spacing w:val="-11"/>
        </w:rPr>
        <w:t> </w:t>
      </w:r>
      <w:r>
        <w:rPr/>
        <w:t>in</w:t>
      </w:r>
      <w:r>
        <w:rPr>
          <w:spacing w:val="-12"/>
        </w:rPr>
        <w:t> </w:t>
      </w:r>
      <w:r>
        <w:rPr/>
        <w:t>most</w:t>
      </w:r>
      <w:r>
        <w:rPr>
          <w:spacing w:val="-14"/>
        </w:rPr>
        <w:t> </w:t>
      </w:r>
      <w:r>
        <w:rPr/>
        <w:t>other</w:t>
      </w:r>
      <w:r>
        <w:rPr>
          <w:spacing w:val="-13"/>
        </w:rPr>
        <w:t> </w:t>
      </w:r>
      <w:r>
        <w:rPr/>
        <w:t>sectors have mirrored the nation as a whole; fueling economic conversations that the region needs to find new growth in sectors that can produce and sustain both comparative and competitive</w:t>
      </w:r>
      <w:r>
        <w:rPr>
          <w:spacing w:val="-28"/>
        </w:rPr>
        <w:t> </w:t>
      </w:r>
      <w:r>
        <w:rPr/>
        <w:t>advantages.</w:t>
      </w:r>
    </w:p>
    <w:p>
      <w:pPr>
        <w:pStyle w:val="BodyText"/>
        <w:spacing w:before="119"/>
        <w:ind w:left="140" w:right="333" w:hanging="1"/>
        <w:jc w:val="both"/>
      </w:pPr>
      <w:r>
        <w:rPr/>
        <w:t>The</w:t>
      </w:r>
      <w:r>
        <w:rPr>
          <w:spacing w:val="-4"/>
        </w:rPr>
        <w:t> </w:t>
      </w:r>
      <w:r>
        <w:rPr/>
        <w:t>City</w:t>
      </w:r>
      <w:r>
        <w:rPr>
          <w:spacing w:val="-5"/>
        </w:rPr>
        <w:t> </w:t>
      </w:r>
      <w:r>
        <w:rPr/>
        <w:t>of</w:t>
      </w:r>
      <w:r>
        <w:rPr>
          <w:spacing w:val="-2"/>
        </w:rPr>
        <w:t> </w:t>
      </w:r>
      <w:r>
        <w:rPr/>
        <w:t>Richland</w:t>
      </w:r>
      <w:r>
        <w:rPr>
          <w:spacing w:val="-4"/>
        </w:rPr>
        <w:t> </w:t>
      </w:r>
      <w:r>
        <w:rPr/>
        <w:t>specifically</w:t>
      </w:r>
      <w:r>
        <w:rPr>
          <w:spacing w:val="-3"/>
        </w:rPr>
        <w:t> </w:t>
      </w:r>
      <w:r>
        <w:rPr/>
        <w:t>has</w:t>
      </w:r>
      <w:r>
        <w:rPr>
          <w:spacing w:val="-1"/>
        </w:rPr>
        <w:t> </w:t>
      </w:r>
      <w:r>
        <w:rPr/>
        <w:t>been</w:t>
      </w:r>
      <w:r>
        <w:rPr>
          <w:spacing w:val="-3"/>
        </w:rPr>
        <w:t> </w:t>
      </w:r>
      <w:r>
        <w:rPr/>
        <w:t>the</w:t>
      </w:r>
      <w:r>
        <w:rPr>
          <w:spacing w:val="-2"/>
        </w:rPr>
        <w:t> </w:t>
      </w:r>
      <w:r>
        <w:rPr/>
        <w:t>location</w:t>
      </w:r>
      <w:r>
        <w:rPr>
          <w:spacing w:val="-3"/>
        </w:rPr>
        <w:t> </w:t>
      </w:r>
      <w:r>
        <w:rPr/>
        <w:t>where</w:t>
      </w:r>
      <w:r>
        <w:rPr>
          <w:spacing w:val="-4"/>
        </w:rPr>
        <w:t> </w:t>
      </w:r>
      <w:r>
        <w:rPr/>
        <w:t>much</w:t>
      </w:r>
      <w:r>
        <w:rPr>
          <w:spacing w:val="-1"/>
        </w:rPr>
        <w:t> </w:t>
      </w:r>
      <w:r>
        <w:rPr/>
        <w:t>of</w:t>
      </w:r>
      <w:r>
        <w:rPr>
          <w:spacing w:val="-1"/>
        </w:rPr>
        <w:t> </w:t>
      </w:r>
      <w:r>
        <w:rPr/>
        <w:t>the</w:t>
      </w:r>
      <w:r>
        <w:rPr>
          <w:spacing w:val="-2"/>
        </w:rPr>
        <w:t> </w:t>
      </w:r>
      <w:r>
        <w:rPr/>
        <w:t>professional</w:t>
      </w:r>
      <w:r>
        <w:rPr>
          <w:spacing w:val="-4"/>
        </w:rPr>
        <w:t> </w:t>
      </w:r>
      <w:r>
        <w:rPr/>
        <w:t>service</w:t>
      </w:r>
      <w:r>
        <w:rPr>
          <w:spacing w:val="-4"/>
        </w:rPr>
        <w:t> </w:t>
      </w:r>
      <w:r>
        <w:rPr/>
        <w:t>sector is located. The City is home to the two largest non-governmental employers in the region in PNNL and Kadlec Health that account for nearly 8,000 employees in the City. From a land use perspective, Richland has more than half of the region’s commercial office space and industrial space, respectively;</w:t>
      </w:r>
      <w:r>
        <w:rPr>
          <w:spacing w:val="-14"/>
        </w:rPr>
        <w:t> </w:t>
      </w:r>
      <w:r>
        <w:rPr/>
        <w:t>and</w:t>
      </w:r>
      <w:r>
        <w:rPr>
          <w:spacing w:val="-13"/>
        </w:rPr>
        <w:t> </w:t>
      </w:r>
      <w:r>
        <w:rPr/>
        <w:t>is</w:t>
      </w:r>
      <w:r>
        <w:rPr>
          <w:spacing w:val="-12"/>
        </w:rPr>
        <w:t> </w:t>
      </w:r>
      <w:r>
        <w:rPr/>
        <w:t>second</w:t>
      </w:r>
      <w:r>
        <w:rPr>
          <w:spacing w:val="-13"/>
        </w:rPr>
        <w:t> </w:t>
      </w:r>
      <w:r>
        <w:rPr/>
        <w:t>only</w:t>
      </w:r>
      <w:r>
        <w:rPr>
          <w:spacing w:val="-14"/>
        </w:rPr>
        <w:t> </w:t>
      </w:r>
      <w:r>
        <w:rPr/>
        <w:t>to</w:t>
      </w:r>
      <w:r>
        <w:rPr>
          <w:spacing w:val="-13"/>
        </w:rPr>
        <w:t> </w:t>
      </w:r>
      <w:r>
        <w:rPr/>
        <w:t>Kennewick</w:t>
      </w:r>
      <w:r>
        <w:rPr>
          <w:spacing w:val="-14"/>
        </w:rPr>
        <w:t> </w:t>
      </w:r>
      <w:r>
        <w:rPr/>
        <w:t>in</w:t>
      </w:r>
      <w:r>
        <w:rPr>
          <w:spacing w:val="-14"/>
        </w:rPr>
        <w:t> </w:t>
      </w:r>
      <w:r>
        <w:rPr/>
        <w:t>the</w:t>
      </w:r>
      <w:r>
        <w:rPr>
          <w:spacing w:val="-13"/>
        </w:rPr>
        <w:t> </w:t>
      </w:r>
      <w:r>
        <w:rPr/>
        <w:t>amount</w:t>
      </w:r>
      <w:r>
        <w:rPr>
          <w:spacing w:val="-13"/>
        </w:rPr>
        <w:t> </w:t>
      </w:r>
      <w:r>
        <w:rPr/>
        <w:t>of</w:t>
      </w:r>
      <w:r>
        <w:rPr>
          <w:spacing w:val="-13"/>
        </w:rPr>
        <w:t> </w:t>
      </w:r>
      <w:r>
        <w:rPr/>
        <w:t>retail</w:t>
      </w:r>
      <w:r>
        <w:rPr>
          <w:spacing w:val="-13"/>
        </w:rPr>
        <w:t> </w:t>
      </w:r>
      <w:r>
        <w:rPr/>
        <w:t>space.</w:t>
      </w:r>
      <w:r>
        <w:rPr>
          <w:spacing w:val="-13"/>
        </w:rPr>
        <w:t> </w:t>
      </w:r>
      <w:r>
        <w:rPr/>
        <w:t>Examination</w:t>
      </w:r>
      <w:r>
        <w:rPr>
          <w:spacing w:val="-14"/>
        </w:rPr>
        <w:t> </w:t>
      </w:r>
      <w:r>
        <w:rPr/>
        <w:t>of</w:t>
      </w:r>
      <w:r>
        <w:rPr>
          <w:spacing w:val="-13"/>
        </w:rPr>
        <w:t> </w:t>
      </w:r>
      <w:r>
        <w:rPr/>
        <w:t>the</w:t>
      </w:r>
      <w:r>
        <w:rPr>
          <w:spacing w:val="-13"/>
        </w:rPr>
        <w:t> </w:t>
      </w:r>
      <w:r>
        <w:rPr/>
        <w:t>recent commercial real estate productivity suggests that much of the built space is well occupied and</w:t>
      </w:r>
      <w:r>
        <w:rPr>
          <w:spacing w:val="5"/>
        </w:rPr>
        <w:t> </w:t>
      </w:r>
      <w:r>
        <w:rPr/>
        <w:t>rents</w:t>
      </w:r>
    </w:p>
    <w:p>
      <w:pPr>
        <w:spacing w:after="0"/>
        <w:jc w:val="both"/>
        <w:sectPr>
          <w:pgSz w:w="12240" w:h="15840"/>
          <w:pgMar w:header="0" w:footer="1132" w:top="1440" w:bottom="1320" w:left="1300" w:right="1100"/>
        </w:sectPr>
      </w:pPr>
    </w:p>
    <w:p>
      <w:pPr>
        <w:pStyle w:val="BodyText"/>
        <w:spacing w:before="80"/>
        <w:ind w:left="140" w:right="336"/>
        <w:jc w:val="both"/>
      </w:pPr>
      <w:r>
        <w:rPr/>
        <w:t>have been resilient. Richland has seen stronger retail growth and has outpaced growth in the region as a whole.</w:t>
      </w:r>
    </w:p>
    <w:p>
      <w:pPr>
        <w:pStyle w:val="BodyText"/>
        <w:spacing w:before="120"/>
        <w:ind w:left="139" w:right="333"/>
        <w:jc w:val="both"/>
      </w:pPr>
      <w:r>
        <w:rPr/>
        <w:t>Richland has strong demographics for future economic growth. Employees and households are on average better educated, better paid, and with a larger segment of the population in its prime working age. The community is also relatively less-burdened with the costs of poverty when compared to the region. Future forecasts of economic growth remain positive of the regions outlook with growth in the service and health sector continuing to drive growth in the future. From this perspective, the City should be well positioned to capitalize on its past performance and existing</w:t>
      </w:r>
      <w:bookmarkStart w:name="Section Three" w:id="56"/>
      <w:bookmarkEnd w:id="56"/>
      <w:r>
        <w:rPr/>
      </w:r>
      <w:bookmarkStart w:name="_bookmark28" w:id="57"/>
      <w:bookmarkEnd w:id="57"/>
      <w:r>
        <w:rPr/>
      </w:r>
      <w:r>
        <w:rPr/>
        <w:t> assets to extend its economic growth.</w:t>
      </w:r>
    </w:p>
    <w:p>
      <w:pPr>
        <w:pStyle w:val="Heading7"/>
        <w:spacing w:before="199"/>
        <w:ind w:left="140"/>
        <w:jc w:val="both"/>
      </w:pPr>
      <w:r>
        <w:rPr>
          <w:color w:val="4F81BC"/>
        </w:rPr>
        <w:t>SECTION THREE</w:t>
      </w:r>
    </w:p>
    <w:p>
      <w:pPr>
        <w:pStyle w:val="Heading6"/>
        <w:spacing w:before="200"/>
        <w:ind w:left="139"/>
        <w:jc w:val="both"/>
      </w:pPr>
      <w:bookmarkStart w:name="Challenges and Opportunities" w:id="58"/>
      <w:bookmarkEnd w:id="58"/>
      <w:r>
        <w:rPr>
          <w:b w:val="0"/>
        </w:rPr>
      </w:r>
      <w:bookmarkStart w:name="_bookmark29" w:id="59"/>
      <w:bookmarkEnd w:id="59"/>
      <w:r>
        <w:rPr>
          <w:b w:val="0"/>
        </w:rPr>
      </w:r>
      <w:r>
        <w:rPr/>
        <w:t>CHALLENGES AND OPPORTUNITIES</w:t>
      </w:r>
    </w:p>
    <w:p>
      <w:pPr>
        <w:pStyle w:val="BodyText"/>
        <w:spacing w:before="121"/>
        <w:ind w:left="139" w:right="333"/>
        <w:jc w:val="both"/>
      </w:pPr>
      <w:r>
        <w:rPr/>
        <w:t>Upon review of existing economic conditions, survey results, and in conversations with elected officials, local economic development professionals, visioning work sessions, and through public outreach with business leaders and the general public, stakeholders collectively identified several recurring themes: the need for stronger economic resiliency able to withstand future economic shocks; the need to harness the entrepreneurial spirit and create a more dynamic economy and economic opportunity; leverage the natural landscape and heritage within the City and region to create sustainable economic development opportunities; and diversify and more intensely use the available land within the City. The following is a summary of the primary concerns and goals related</w:t>
      </w:r>
      <w:bookmarkStart w:name="Area 1.   Create a Resilient Economy" w:id="60"/>
      <w:bookmarkEnd w:id="60"/>
      <w:r>
        <w:rPr/>
      </w:r>
      <w:r>
        <w:rPr/>
        <w:t> to achieving a thriving Richland economy.</w:t>
      </w:r>
    </w:p>
    <w:p>
      <w:pPr>
        <w:spacing w:before="201"/>
        <w:ind w:left="139" w:right="0" w:firstLine="0"/>
        <w:jc w:val="both"/>
        <w:rPr>
          <w:b/>
          <w:sz w:val="22"/>
        </w:rPr>
      </w:pPr>
      <w:r>
        <w:rPr>
          <w:b/>
          <w:color w:val="C0504D"/>
          <w:sz w:val="22"/>
        </w:rPr>
        <w:t>Area 1. Create a Resilient Economy</w:t>
      </w:r>
    </w:p>
    <w:p>
      <w:pPr>
        <w:pStyle w:val="BodyText"/>
        <w:spacing w:before="119"/>
        <w:ind w:left="139" w:right="334"/>
        <w:jc w:val="both"/>
      </w:pPr>
      <w:r>
        <w:rPr/>
        <w:t>The single greatest threat to the Richland and Tri-Cities economy is the winding down of business and employment and Hanford without suitable economic opportunities in place that would provide for</w:t>
      </w:r>
      <w:r>
        <w:rPr>
          <w:spacing w:val="-12"/>
        </w:rPr>
        <w:t> </w:t>
      </w:r>
      <w:r>
        <w:rPr/>
        <w:t>a</w:t>
      </w:r>
      <w:r>
        <w:rPr>
          <w:spacing w:val="-10"/>
        </w:rPr>
        <w:t> </w:t>
      </w:r>
      <w:r>
        <w:rPr/>
        <w:t>comparable</w:t>
      </w:r>
      <w:r>
        <w:rPr>
          <w:spacing w:val="-13"/>
        </w:rPr>
        <w:t> </w:t>
      </w:r>
      <w:r>
        <w:rPr/>
        <w:t>standard</w:t>
      </w:r>
      <w:r>
        <w:rPr>
          <w:spacing w:val="-14"/>
        </w:rPr>
        <w:t> </w:t>
      </w:r>
      <w:r>
        <w:rPr/>
        <w:t>of</w:t>
      </w:r>
      <w:r>
        <w:rPr>
          <w:spacing w:val="-10"/>
        </w:rPr>
        <w:t> </w:t>
      </w:r>
      <w:r>
        <w:rPr/>
        <w:t>living.</w:t>
      </w:r>
      <w:r>
        <w:rPr>
          <w:spacing w:val="-10"/>
        </w:rPr>
        <w:t> </w:t>
      </w:r>
      <w:r>
        <w:rPr/>
        <w:t>A</w:t>
      </w:r>
      <w:r>
        <w:rPr>
          <w:spacing w:val="-12"/>
        </w:rPr>
        <w:t> </w:t>
      </w:r>
      <w:r>
        <w:rPr/>
        <w:t>reduction</w:t>
      </w:r>
      <w:r>
        <w:rPr>
          <w:spacing w:val="-14"/>
        </w:rPr>
        <w:t> </w:t>
      </w:r>
      <w:r>
        <w:rPr/>
        <w:t>in</w:t>
      </w:r>
      <w:r>
        <w:rPr>
          <w:spacing w:val="-11"/>
        </w:rPr>
        <w:t> </w:t>
      </w:r>
      <w:r>
        <w:rPr/>
        <w:t>work</w:t>
      </w:r>
      <w:r>
        <w:rPr>
          <w:spacing w:val="-12"/>
        </w:rPr>
        <w:t> </w:t>
      </w:r>
      <w:r>
        <w:rPr/>
        <w:t>at</w:t>
      </w:r>
      <w:r>
        <w:rPr>
          <w:spacing w:val="-11"/>
        </w:rPr>
        <w:t> </w:t>
      </w:r>
      <w:r>
        <w:rPr/>
        <w:t>Hanford</w:t>
      </w:r>
      <w:r>
        <w:rPr>
          <w:spacing w:val="-11"/>
        </w:rPr>
        <w:t> </w:t>
      </w:r>
      <w:r>
        <w:rPr/>
        <w:t>will</w:t>
      </w:r>
      <w:r>
        <w:rPr>
          <w:spacing w:val="-13"/>
        </w:rPr>
        <w:t> </w:t>
      </w:r>
      <w:r>
        <w:rPr/>
        <w:t>mean</w:t>
      </w:r>
      <w:r>
        <w:rPr>
          <w:spacing w:val="-12"/>
        </w:rPr>
        <w:t> </w:t>
      </w:r>
      <w:r>
        <w:rPr/>
        <w:t>less</w:t>
      </w:r>
      <w:r>
        <w:rPr>
          <w:spacing w:val="-12"/>
        </w:rPr>
        <w:t> </w:t>
      </w:r>
      <w:r>
        <w:rPr/>
        <w:t>direct</w:t>
      </w:r>
      <w:r>
        <w:rPr>
          <w:spacing w:val="-11"/>
        </w:rPr>
        <w:t> </w:t>
      </w:r>
      <w:r>
        <w:rPr/>
        <w:t>employment in Richland and large negative impacts on the businesses that support them directly as well as the resulting</w:t>
      </w:r>
      <w:r>
        <w:rPr>
          <w:spacing w:val="-10"/>
        </w:rPr>
        <w:t> </w:t>
      </w:r>
      <w:r>
        <w:rPr/>
        <w:t>households</w:t>
      </w:r>
      <w:r>
        <w:rPr>
          <w:spacing w:val="-9"/>
        </w:rPr>
        <w:t> </w:t>
      </w:r>
      <w:r>
        <w:rPr/>
        <w:t>whose</w:t>
      </w:r>
      <w:r>
        <w:rPr>
          <w:spacing w:val="-11"/>
        </w:rPr>
        <w:t> </w:t>
      </w:r>
      <w:r>
        <w:rPr/>
        <w:t>wages</w:t>
      </w:r>
      <w:r>
        <w:rPr>
          <w:spacing w:val="-9"/>
        </w:rPr>
        <w:t> </w:t>
      </w:r>
      <w:r>
        <w:rPr/>
        <w:t>they</w:t>
      </w:r>
      <w:r>
        <w:rPr>
          <w:spacing w:val="-12"/>
        </w:rPr>
        <w:t> </w:t>
      </w:r>
      <w:r>
        <w:rPr/>
        <w:t>support.</w:t>
      </w:r>
      <w:r>
        <w:rPr>
          <w:spacing w:val="-10"/>
        </w:rPr>
        <w:t> </w:t>
      </w:r>
      <w:r>
        <w:rPr/>
        <w:t>However,</w:t>
      </w:r>
      <w:r>
        <w:rPr>
          <w:spacing w:val="-11"/>
        </w:rPr>
        <w:t> </w:t>
      </w:r>
      <w:r>
        <w:rPr/>
        <w:t>Hanford</w:t>
      </w:r>
      <w:r>
        <w:rPr>
          <w:spacing w:val="-11"/>
        </w:rPr>
        <w:t> </w:t>
      </w:r>
      <w:r>
        <w:rPr/>
        <w:t>is</w:t>
      </w:r>
      <w:r>
        <w:rPr>
          <w:spacing w:val="-10"/>
        </w:rPr>
        <w:t> </w:t>
      </w:r>
      <w:r>
        <w:rPr/>
        <w:t>also</w:t>
      </w:r>
      <w:r>
        <w:rPr>
          <w:spacing w:val="-10"/>
        </w:rPr>
        <w:t> </w:t>
      </w:r>
      <w:r>
        <w:rPr/>
        <w:t>an</w:t>
      </w:r>
      <w:r>
        <w:rPr>
          <w:spacing w:val="-12"/>
        </w:rPr>
        <w:t> </w:t>
      </w:r>
      <w:r>
        <w:rPr/>
        <w:t>asset</w:t>
      </w:r>
      <w:r>
        <w:rPr>
          <w:spacing w:val="-11"/>
        </w:rPr>
        <w:t> </w:t>
      </w:r>
      <w:r>
        <w:rPr/>
        <w:t>to</w:t>
      </w:r>
      <w:r>
        <w:rPr>
          <w:spacing w:val="-11"/>
        </w:rPr>
        <w:t> </w:t>
      </w:r>
      <w:r>
        <w:rPr/>
        <w:t>the</w:t>
      </w:r>
      <w:r>
        <w:rPr>
          <w:spacing w:val="-10"/>
        </w:rPr>
        <w:t> </w:t>
      </w:r>
      <w:r>
        <w:rPr/>
        <w:t>community and has been effective at attracting a highly educated workforce in science and technology. These fields produce professional-wage jobs and have produced spinoff businesses coming from</w:t>
      </w:r>
      <w:r>
        <w:rPr>
          <w:spacing w:val="-23"/>
        </w:rPr>
        <w:t> </w:t>
      </w:r>
      <w:r>
        <w:rPr/>
        <w:t>PNNL.</w:t>
      </w:r>
    </w:p>
    <w:p>
      <w:pPr>
        <w:pStyle w:val="BodyText"/>
        <w:spacing w:before="119"/>
        <w:ind w:left="139" w:right="335"/>
        <w:jc w:val="both"/>
      </w:pPr>
      <w:r>
        <w:rPr/>
        <w:t>To ensure the stability and resiliency of the economy, the City should leverage existing assets but adapt them to a changing economy. These efforts should focus on increasing primary sector, non- Hanford -related science and tech employment by creating a business environment that encourages and welcomes local business. Additionally, the City should develop partnerships with the Tri-Cities Development</w:t>
      </w:r>
      <w:r>
        <w:rPr>
          <w:spacing w:val="-10"/>
        </w:rPr>
        <w:t> </w:t>
      </w:r>
      <w:r>
        <w:rPr/>
        <w:t>Council</w:t>
      </w:r>
      <w:r>
        <w:rPr>
          <w:spacing w:val="-9"/>
        </w:rPr>
        <w:t> </w:t>
      </w:r>
      <w:r>
        <w:rPr/>
        <w:t>(TRIDEC),</w:t>
      </w:r>
      <w:r>
        <w:rPr>
          <w:spacing w:val="-9"/>
        </w:rPr>
        <w:t> </w:t>
      </w:r>
      <w:r>
        <w:rPr/>
        <w:t>PNNL,</w:t>
      </w:r>
      <w:r>
        <w:rPr>
          <w:spacing w:val="-11"/>
        </w:rPr>
        <w:t> </w:t>
      </w:r>
      <w:r>
        <w:rPr/>
        <w:t>Kadlec</w:t>
      </w:r>
      <w:r>
        <w:rPr>
          <w:spacing w:val="-9"/>
        </w:rPr>
        <w:t> </w:t>
      </w:r>
      <w:r>
        <w:rPr/>
        <w:t>Medical</w:t>
      </w:r>
      <w:r>
        <w:rPr>
          <w:spacing w:val="-9"/>
        </w:rPr>
        <w:t> </w:t>
      </w:r>
      <w:r>
        <w:rPr/>
        <w:t>Center,</w:t>
      </w:r>
      <w:r>
        <w:rPr>
          <w:spacing w:val="-9"/>
        </w:rPr>
        <w:t> </w:t>
      </w:r>
      <w:r>
        <w:rPr/>
        <w:t>and</w:t>
      </w:r>
      <w:r>
        <w:rPr>
          <w:spacing w:val="-9"/>
        </w:rPr>
        <w:t> </w:t>
      </w:r>
      <w:r>
        <w:rPr/>
        <w:t>other</w:t>
      </w:r>
      <w:r>
        <w:rPr>
          <w:spacing w:val="-9"/>
        </w:rPr>
        <w:t> </w:t>
      </w:r>
      <w:r>
        <w:rPr/>
        <w:t>major</w:t>
      </w:r>
      <w:r>
        <w:rPr>
          <w:spacing w:val="-10"/>
        </w:rPr>
        <w:t> </w:t>
      </w:r>
      <w:r>
        <w:rPr/>
        <w:t>employers</w:t>
      </w:r>
      <w:r>
        <w:rPr>
          <w:spacing w:val="-8"/>
        </w:rPr>
        <w:t> </w:t>
      </w:r>
      <w:r>
        <w:rPr/>
        <w:t>to</w:t>
      </w:r>
      <w:r>
        <w:rPr>
          <w:spacing w:val="-9"/>
        </w:rPr>
        <w:t> </w:t>
      </w:r>
      <w:r>
        <w:rPr/>
        <w:t>plan</w:t>
      </w:r>
      <w:r>
        <w:rPr>
          <w:spacing w:val="-10"/>
        </w:rPr>
        <w:t> </w:t>
      </w:r>
      <w:r>
        <w:rPr/>
        <w:t>for</w:t>
      </w:r>
      <w:bookmarkStart w:name="Area 2.  Build and attract a more entrep" w:id="61"/>
      <w:bookmarkEnd w:id="61"/>
      <w:r>
        <w:rPr/>
      </w:r>
      <w:r>
        <w:rPr/>
        <w:t> expansion and delivery of adequate infrastructure and</w:t>
      </w:r>
      <w:r>
        <w:rPr>
          <w:spacing w:val="-14"/>
        </w:rPr>
        <w:t> </w:t>
      </w:r>
      <w:r>
        <w:rPr/>
        <w:t>services.</w:t>
      </w:r>
    </w:p>
    <w:p>
      <w:pPr>
        <w:spacing w:before="202"/>
        <w:ind w:left="139" w:right="0" w:firstLine="0"/>
        <w:jc w:val="both"/>
        <w:rPr>
          <w:b/>
          <w:sz w:val="22"/>
        </w:rPr>
      </w:pPr>
      <w:r>
        <w:rPr>
          <w:b/>
          <w:color w:val="C0504D"/>
          <w:sz w:val="22"/>
        </w:rPr>
        <w:t>Area 2. Build and attract a more entrepreneurial and dynamic economy</w:t>
      </w:r>
    </w:p>
    <w:p>
      <w:pPr>
        <w:pStyle w:val="BodyText"/>
        <w:spacing w:before="119"/>
        <w:ind w:left="139" w:right="333"/>
        <w:jc w:val="both"/>
      </w:pPr>
      <w:r>
        <w:rPr/>
        <w:t>Richland is the regional hub for highly educated, science and technology professionals. Labor force participation is high, particularly for the most productive segment of the population – 30 to 54 year olds.</w:t>
      </w:r>
      <w:r>
        <w:rPr>
          <w:spacing w:val="-12"/>
        </w:rPr>
        <w:t> </w:t>
      </w:r>
      <w:r>
        <w:rPr/>
        <w:t>With</w:t>
      </w:r>
      <w:r>
        <w:rPr>
          <w:spacing w:val="-9"/>
        </w:rPr>
        <w:t> </w:t>
      </w:r>
      <w:r>
        <w:rPr/>
        <w:t>access</w:t>
      </w:r>
      <w:r>
        <w:rPr>
          <w:spacing w:val="-9"/>
        </w:rPr>
        <w:t> </w:t>
      </w:r>
      <w:r>
        <w:rPr/>
        <w:t>to</w:t>
      </w:r>
      <w:r>
        <w:rPr>
          <w:spacing w:val="-9"/>
        </w:rPr>
        <w:t> </w:t>
      </w:r>
      <w:r>
        <w:rPr/>
        <w:t>innovation</w:t>
      </w:r>
      <w:r>
        <w:rPr>
          <w:spacing w:val="-11"/>
        </w:rPr>
        <w:t> </w:t>
      </w:r>
      <w:r>
        <w:rPr/>
        <w:t>partners</w:t>
      </w:r>
      <w:r>
        <w:rPr>
          <w:spacing w:val="-8"/>
        </w:rPr>
        <w:t> </w:t>
      </w:r>
      <w:r>
        <w:rPr/>
        <w:t>and</w:t>
      </w:r>
      <w:r>
        <w:rPr>
          <w:spacing w:val="-10"/>
        </w:rPr>
        <w:t> </w:t>
      </w:r>
      <w:r>
        <w:rPr/>
        <w:t>relatively</w:t>
      </w:r>
      <w:r>
        <w:rPr>
          <w:spacing w:val="-10"/>
        </w:rPr>
        <w:t> </w:t>
      </w:r>
      <w:r>
        <w:rPr/>
        <w:t>low</w:t>
      </w:r>
      <w:r>
        <w:rPr>
          <w:spacing w:val="-10"/>
        </w:rPr>
        <w:t> </w:t>
      </w:r>
      <w:r>
        <w:rPr/>
        <w:t>land</w:t>
      </w:r>
      <w:r>
        <w:rPr>
          <w:spacing w:val="-10"/>
        </w:rPr>
        <w:t> </w:t>
      </w:r>
      <w:r>
        <w:rPr/>
        <w:t>costs</w:t>
      </w:r>
      <w:r>
        <w:rPr>
          <w:spacing w:val="-8"/>
        </w:rPr>
        <w:t> </w:t>
      </w:r>
      <w:r>
        <w:rPr/>
        <w:t>when</w:t>
      </w:r>
      <w:r>
        <w:rPr>
          <w:spacing w:val="-11"/>
        </w:rPr>
        <w:t> </w:t>
      </w:r>
      <w:r>
        <w:rPr/>
        <w:t>compared</w:t>
      </w:r>
      <w:r>
        <w:rPr>
          <w:spacing w:val="-9"/>
        </w:rPr>
        <w:t> </w:t>
      </w:r>
      <w:r>
        <w:rPr/>
        <w:t>to</w:t>
      </w:r>
      <w:r>
        <w:rPr>
          <w:spacing w:val="-10"/>
        </w:rPr>
        <w:t> </w:t>
      </w:r>
      <w:r>
        <w:rPr/>
        <w:t>bigger</w:t>
      </w:r>
      <w:r>
        <w:rPr>
          <w:spacing w:val="-9"/>
        </w:rPr>
        <w:t> </w:t>
      </w:r>
      <w:r>
        <w:rPr/>
        <w:t>cities like Seattle, the climate for entrepreneurial startup companies is present. However, attracting innovation and investment is a goal of many municipalities. The City can advance this environment through infrastructure investment, streamlined regulation, and “second paycheck” benefits such as livability</w:t>
      </w:r>
      <w:r>
        <w:rPr>
          <w:spacing w:val="6"/>
        </w:rPr>
        <w:t> </w:t>
      </w:r>
      <w:r>
        <w:rPr/>
        <w:t>and</w:t>
      </w:r>
      <w:r>
        <w:rPr>
          <w:spacing w:val="8"/>
        </w:rPr>
        <w:t> </w:t>
      </w:r>
      <w:r>
        <w:rPr/>
        <w:t>access</w:t>
      </w:r>
      <w:r>
        <w:rPr>
          <w:spacing w:val="9"/>
        </w:rPr>
        <w:t> </w:t>
      </w:r>
      <w:r>
        <w:rPr/>
        <w:t>to</w:t>
      </w:r>
      <w:r>
        <w:rPr>
          <w:spacing w:val="8"/>
        </w:rPr>
        <w:t> </w:t>
      </w:r>
      <w:r>
        <w:rPr/>
        <w:t>recreation.</w:t>
      </w:r>
      <w:r>
        <w:rPr>
          <w:spacing w:val="8"/>
        </w:rPr>
        <w:t> </w:t>
      </w:r>
      <w:r>
        <w:rPr/>
        <w:t>Working</w:t>
      </w:r>
      <w:r>
        <w:rPr>
          <w:spacing w:val="9"/>
        </w:rPr>
        <w:t> </w:t>
      </w:r>
      <w:r>
        <w:rPr/>
        <w:t>with</w:t>
      </w:r>
      <w:r>
        <w:rPr>
          <w:spacing w:val="8"/>
        </w:rPr>
        <w:t> </w:t>
      </w:r>
      <w:r>
        <w:rPr/>
        <w:t>its</w:t>
      </w:r>
      <w:r>
        <w:rPr>
          <w:spacing w:val="9"/>
        </w:rPr>
        <w:t> </w:t>
      </w:r>
      <w:r>
        <w:rPr/>
        <w:t>regional</w:t>
      </w:r>
      <w:r>
        <w:rPr>
          <w:spacing w:val="8"/>
        </w:rPr>
        <w:t> </w:t>
      </w:r>
      <w:r>
        <w:rPr/>
        <w:t>education</w:t>
      </w:r>
      <w:r>
        <w:rPr>
          <w:spacing w:val="7"/>
        </w:rPr>
        <w:t> </w:t>
      </w:r>
      <w:r>
        <w:rPr/>
        <w:t>and</w:t>
      </w:r>
      <w:r>
        <w:rPr>
          <w:spacing w:val="5"/>
        </w:rPr>
        <w:t> </w:t>
      </w:r>
      <w:r>
        <w:rPr/>
        <w:t>economic</w:t>
      </w:r>
      <w:r>
        <w:rPr>
          <w:spacing w:val="9"/>
        </w:rPr>
        <w:t> </w:t>
      </w:r>
      <w:r>
        <w:rPr/>
        <w:t>development</w:t>
      </w:r>
    </w:p>
    <w:p>
      <w:pPr>
        <w:spacing w:after="0"/>
        <w:jc w:val="both"/>
        <w:sectPr>
          <w:pgSz w:w="12240" w:h="15840"/>
          <w:pgMar w:header="0" w:footer="1132" w:top="1360" w:bottom="1320" w:left="1300" w:right="1100"/>
        </w:sectPr>
      </w:pPr>
    </w:p>
    <w:p>
      <w:pPr>
        <w:pStyle w:val="BodyText"/>
        <w:spacing w:before="80"/>
        <w:ind w:left="140" w:right="335" w:hanging="1"/>
        <w:jc w:val="both"/>
      </w:pPr>
      <w:r>
        <w:rPr/>
        <w:t>partners, the City can play its role creating and supporting a rich “entrepreneurial ecosystem” in the area.</w:t>
      </w:r>
    </w:p>
    <w:p>
      <w:pPr>
        <w:spacing w:before="201"/>
        <w:ind w:left="140" w:right="0" w:firstLine="0"/>
        <w:jc w:val="both"/>
        <w:rPr>
          <w:b/>
          <w:sz w:val="22"/>
        </w:rPr>
      </w:pPr>
      <w:bookmarkStart w:name="Area 3.   Leverage the natural landscape" w:id="62"/>
      <w:bookmarkEnd w:id="62"/>
      <w:r>
        <w:rPr/>
      </w:r>
      <w:r>
        <w:rPr>
          <w:b/>
          <w:color w:val="C0504D"/>
          <w:sz w:val="22"/>
        </w:rPr>
        <w:t>Area 3. Leverage the natural landscape as an asset for economic development</w:t>
      </w:r>
    </w:p>
    <w:p>
      <w:pPr>
        <w:pStyle w:val="BodyText"/>
        <w:spacing w:before="119"/>
        <w:ind w:left="140" w:right="332"/>
        <w:jc w:val="both"/>
      </w:pPr>
      <w:r>
        <w:rPr/>
        <w:t>Richland’s location along the Columbia and Yakima Rivers offers exceptional opportunities to easily access attractive, natural, recreational spaces, as well as close proximity to the region’s vibrant agritourism and wine industries. In addition to this, professional service employees living in Richland enjoy lifestyle amenities, also called the “second paycheck.” These include access to parks, walkable business districts, good schools, diverse housing options, quality restaurants, and arts and cultural activities. Richland’s ability to leverage its natural environment to directly spur economic activities and provide an attractive setting for professionals will further enhance its competitive advantage. However, residents must be cognizant of maintaining a healthy balance between environmental preservation and economic development activities.</w:t>
      </w:r>
    </w:p>
    <w:p>
      <w:pPr>
        <w:spacing w:before="202"/>
        <w:ind w:left="140" w:right="0" w:firstLine="0"/>
        <w:jc w:val="both"/>
        <w:rPr>
          <w:b/>
          <w:sz w:val="22"/>
        </w:rPr>
      </w:pPr>
      <w:bookmarkStart w:name="Area 4.  Closely monitor zoning and land" w:id="63"/>
      <w:bookmarkEnd w:id="63"/>
      <w:r>
        <w:rPr/>
      </w:r>
      <w:r>
        <w:rPr>
          <w:b/>
          <w:color w:val="C0504D"/>
          <w:sz w:val="22"/>
        </w:rPr>
        <w:t>Area 4. Closely monitor zoning and land use in the City</w:t>
      </w:r>
    </w:p>
    <w:p>
      <w:pPr>
        <w:pStyle w:val="BodyText"/>
        <w:spacing w:before="119"/>
        <w:ind w:left="140" w:right="334"/>
        <w:jc w:val="both"/>
      </w:pPr>
      <w:r>
        <w:rPr/>
        <w:t>The City has the dual challenge of planning for urban infill development as well as planning to accommodate development on many large and relatively undeveloped sites within the City. To ensure zoning is responsive to market conditions, it should be monitored periodically to evaluate potential hindrances. Working to concentrate development in areas with existing infrastructure and near jobs centers will be instrumental to optimize the City’s funding.</w:t>
      </w:r>
    </w:p>
    <w:p>
      <w:pPr>
        <w:spacing w:after="0"/>
        <w:jc w:val="both"/>
        <w:sectPr>
          <w:pgSz w:w="12240" w:h="15840"/>
          <w:pgMar w:header="0" w:footer="1132" w:top="1360" w:bottom="1320" w:left="1300" w:right="1100"/>
        </w:sectPr>
      </w:pPr>
    </w:p>
    <w:p>
      <w:pPr>
        <w:pStyle w:val="Heading2"/>
      </w:pPr>
      <w:bookmarkStart w:name="Land Use" w:id="64"/>
      <w:bookmarkEnd w:id="64"/>
      <w:r>
        <w:rPr>
          <w:b w:val="0"/>
        </w:rPr>
      </w:r>
      <w:bookmarkStart w:name="Section One" w:id="65"/>
      <w:bookmarkEnd w:id="65"/>
      <w:r>
        <w:rPr>
          <w:b w:val="0"/>
        </w:rPr>
      </w:r>
      <w:bookmarkStart w:name="_bookmark30" w:id="66"/>
      <w:bookmarkEnd w:id="66"/>
      <w:r>
        <w:rPr>
          <w:b w:val="0"/>
        </w:rPr>
      </w:r>
      <w:bookmarkStart w:name="_bookmark31" w:id="67"/>
      <w:bookmarkEnd w:id="67"/>
      <w:r>
        <w:rPr>
          <w:b w:val="0"/>
        </w:rPr>
      </w:r>
      <w:r>
        <w:rPr/>
        <w:t>LAND USE</w:t>
      </w:r>
    </w:p>
    <w:p>
      <w:pPr>
        <w:pStyle w:val="Heading7"/>
        <w:spacing w:before="199"/>
        <w:ind w:left="140"/>
      </w:pPr>
      <w:r>
        <w:rPr>
          <w:color w:val="4F81BC"/>
        </w:rPr>
        <w:t>SECTION ONE</w:t>
      </w:r>
    </w:p>
    <w:p>
      <w:pPr>
        <w:pStyle w:val="Heading6"/>
        <w:spacing w:before="201"/>
      </w:pPr>
      <w:bookmarkStart w:name="Introduction" w:id="68"/>
      <w:bookmarkEnd w:id="68"/>
      <w:r>
        <w:rPr>
          <w:b w:val="0"/>
        </w:rPr>
      </w:r>
      <w:bookmarkStart w:name="_bookmark32" w:id="69"/>
      <w:bookmarkEnd w:id="69"/>
      <w:r>
        <w:rPr>
          <w:b w:val="0"/>
        </w:rPr>
      </w:r>
      <w:r>
        <w:rPr/>
        <w:t>INTRODUCTION</w:t>
      </w:r>
    </w:p>
    <w:p>
      <w:pPr>
        <w:pStyle w:val="BodyText"/>
        <w:spacing w:before="120"/>
        <w:ind w:left="140" w:right="335"/>
        <w:jc w:val="both"/>
      </w:pPr>
      <w:r>
        <w:rPr/>
        <w:t>Due to the linear geographic pattern of the City along the Columbia River, Richland’s land is distributed primarily from north to south covering a little over 27,000 acres in the current incorporated City limits and additional 3,000 acres in the Urban Growth Area (UGA).</w:t>
      </w:r>
    </w:p>
    <w:p>
      <w:pPr>
        <w:pStyle w:val="BodyText"/>
        <w:spacing w:before="119"/>
        <w:ind w:left="139" w:right="334"/>
        <w:jc w:val="both"/>
      </w:pPr>
      <w:r>
        <w:rPr/>
        <w:t>Land use patterns determine individual neighborhoods, businesses, amenities, public facilities, and the</w:t>
      </w:r>
      <w:r>
        <w:rPr>
          <w:spacing w:val="-7"/>
        </w:rPr>
        <w:t> </w:t>
      </w:r>
      <w:r>
        <w:rPr/>
        <w:t>types</w:t>
      </w:r>
      <w:r>
        <w:rPr>
          <w:spacing w:val="-6"/>
        </w:rPr>
        <w:t> </w:t>
      </w:r>
      <w:r>
        <w:rPr/>
        <w:t>and</w:t>
      </w:r>
      <w:r>
        <w:rPr>
          <w:spacing w:val="-7"/>
        </w:rPr>
        <w:t> </w:t>
      </w:r>
      <w:r>
        <w:rPr/>
        <w:t>locations</w:t>
      </w:r>
      <w:r>
        <w:rPr>
          <w:spacing w:val="-6"/>
        </w:rPr>
        <w:t> </w:t>
      </w:r>
      <w:r>
        <w:rPr/>
        <w:t>of</w:t>
      </w:r>
      <w:r>
        <w:rPr>
          <w:spacing w:val="-9"/>
        </w:rPr>
        <w:t> </w:t>
      </w:r>
      <w:r>
        <w:rPr/>
        <w:t>future</w:t>
      </w:r>
      <w:r>
        <w:rPr>
          <w:spacing w:val="-6"/>
        </w:rPr>
        <w:t> </w:t>
      </w:r>
      <w:r>
        <w:rPr/>
        <w:t>development</w:t>
      </w:r>
      <w:r>
        <w:rPr>
          <w:spacing w:val="-7"/>
        </w:rPr>
        <w:t> </w:t>
      </w:r>
      <w:r>
        <w:rPr/>
        <w:t>and</w:t>
      </w:r>
      <w:r>
        <w:rPr>
          <w:spacing w:val="-7"/>
        </w:rPr>
        <w:t> </w:t>
      </w:r>
      <w:r>
        <w:rPr/>
        <w:t>redevelopment.</w:t>
      </w:r>
      <w:r>
        <w:rPr>
          <w:spacing w:val="-7"/>
        </w:rPr>
        <w:t> </w:t>
      </w:r>
      <w:r>
        <w:rPr/>
        <w:t>Land</w:t>
      </w:r>
      <w:r>
        <w:rPr>
          <w:spacing w:val="-7"/>
        </w:rPr>
        <w:t> </w:t>
      </w:r>
      <w:r>
        <w:rPr/>
        <w:t>use</w:t>
      </w:r>
      <w:r>
        <w:rPr>
          <w:spacing w:val="-6"/>
        </w:rPr>
        <w:t> </w:t>
      </w:r>
      <w:r>
        <w:rPr/>
        <w:t>patterns</w:t>
      </w:r>
      <w:r>
        <w:rPr>
          <w:spacing w:val="-6"/>
        </w:rPr>
        <w:t> </w:t>
      </w:r>
      <w:r>
        <w:rPr/>
        <w:t>also</w:t>
      </w:r>
      <w:r>
        <w:rPr>
          <w:spacing w:val="-7"/>
        </w:rPr>
        <w:t> </w:t>
      </w:r>
      <w:r>
        <w:rPr/>
        <w:t>determine traffic</w:t>
      </w:r>
      <w:r>
        <w:rPr>
          <w:spacing w:val="-5"/>
        </w:rPr>
        <w:t> </w:t>
      </w:r>
      <w:r>
        <w:rPr/>
        <w:t>patterns.</w:t>
      </w:r>
      <w:r>
        <w:rPr>
          <w:spacing w:val="-7"/>
        </w:rPr>
        <w:t> </w:t>
      </w:r>
      <w:r>
        <w:rPr/>
        <w:t>This</w:t>
      </w:r>
      <w:r>
        <w:rPr>
          <w:spacing w:val="-5"/>
        </w:rPr>
        <w:t> </w:t>
      </w:r>
      <w:r>
        <w:rPr/>
        <w:t>element</w:t>
      </w:r>
      <w:r>
        <w:rPr>
          <w:spacing w:val="-6"/>
        </w:rPr>
        <w:t> </w:t>
      </w:r>
      <w:r>
        <w:rPr/>
        <w:t>includes</w:t>
      </w:r>
      <w:r>
        <w:rPr>
          <w:spacing w:val="-4"/>
        </w:rPr>
        <w:t> </w:t>
      </w:r>
      <w:r>
        <w:rPr/>
        <w:t>future</w:t>
      </w:r>
      <w:r>
        <w:rPr>
          <w:spacing w:val="-9"/>
        </w:rPr>
        <w:t> </w:t>
      </w:r>
      <w:r>
        <w:rPr/>
        <w:t>population</w:t>
      </w:r>
      <w:r>
        <w:rPr>
          <w:spacing w:val="-6"/>
        </w:rPr>
        <w:t> </w:t>
      </w:r>
      <w:r>
        <w:rPr/>
        <w:t>projections</w:t>
      </w:r>
      <w:r>
        <w:rPr>
          <w:spacing w:val="-7"/>
        </w:rPr>
        <w:t> </w:t>
      </w:r>
      <w:r>
        <w:rPr/>
        <w:t>and</w:t>
      </w:r>
      <w:r>
        <w:rPr>
          <w:spacing w:val="-7"/>
        </w:rPr>
        <w:t> </w:t>
      </w:r>
      <w:r>
        <w:rPr/>
        <w:t>needs</w:t>
      </w:r>
      <w:r>
        <w:rPr>
          <w:spacing w:val="-4"/>
        </w:rPr>
        <w:t> </w:t>
      </w:r>
      <w:r>
        <w:rPr/>
        <w:t>for</w:t>
      </w:r>
      <w:r>
        <w:rPr>
          <w:spacing w:val="-6"/>
        </w:rPr>
        <w:t> </w:t>
      </w:r>
      <w:r>
        <w:rPr/>
        <w:t>land</w:t>
      </w:r>
      <w:r>
        <w:rPr>
          <w:spacing w:val="-8"/>
        </w:rPr>
        <w:t> </w:t>
      </w:r>
      <w:r>
        <w:rPr/>
        <w:t>use</w:t>
      </w:r>
      <w:r>
        <w:rPr>
          <w:spacing w:val="-6"/>
        </w:rPr>
        <w:t> </w:t>
      </w:r>
      <w:r>
        <w:rPr/>
        <w:t>types</w:t>
      </w:r>
      <w:r>
        <w:rPr>
          <w:spacing w:val="-4"/>
        </w:rPr>
        <w:t> </w:t>
      </w:r>
      <w:r>
        <w:rPr/>
        <w:t>for the next 20 years. The Comprehensive Plan land use map identifies land use categories within the City</w:t>
      </w:r>
      <w:r>
        <w:rPr>
          <w:spacing w:val="-7"/>
        </w:rPr>
        <w:t> </w:t>
      </w:r>
      <w:r>
        <w:rPr/>
        <w:t>limits</w:t>
      </w:r>
      <w:r>
        <w:rPr>
          <w:spacing w:val="-5"/>
        </w:rPr>
        <w:t> </w:t>
      </w:r>
      <w:r>
        <w:rPr/>
        <w:t>and</w:t>
      </w:r>
      <w:r>
        <w:rPr>
          <w:spacing w:val="-6"/>
        </w:rPr>
        <w:t> </w:t>
      </w:r>
      <w:r>
        <w:rPr/>
        <w:t>the</w:t>
      </w:r>
      <w:r>
        <w:rPr>
          <w:spacing w:val="-6"/>
        </w:rPr>
        <w:t> </w:t>
      </w:r>
      <w:r>
        <w:rPr/>
        <w:t>UGA.</w:t>
      </w:r>
      <w:r>
        <w:rPr>
          <w:spacing w:val="-5"/>
        </w:rPr>
        <w:t> </w:t>
      </w:r>
      <w:r>
        <w:rPr/>
        <w:t>This</w:t>
      </w:r>
      <w:r>
        <w:rPr>
          <w:spacing w:val="-5"/>
        </w:rPr>
        <w:t> </w:t>
      </w:r>
      <w:r>
        <w:rPr/>
        <w:t>section</w:t>
      </w:r>
      <w:r>
        <w:rPr>
          <w:spacing w:val="-7"/>
        </w:rPr>
        <w:t> </w:t>
      </w:r>
      <w:r>
        <w:rPr/>
        <w:t>also</w:t>
      </w:r>
      <w:r>
        <w:rPr>
          <w:spacing w:val="-5"/>
        </w:rPr>
        <w:t> </w:t>
      </w:r>
      <w:r>
        <w:rPr/>
        <w:t>elaborates</w:t>
      </w:r>
      <w:r>
        <w:rPr>
          <w:spacing w:val="-7"/>
        </w:rPr>
        <w:t> </w:t>
      </w:r>
      <w:r>
        <w:rPr/>
        <w:t>on</w:t>
      </w:r>
      <w:r>
        <w:rPr>
          <w:spacing w:val="-7"/>
        </w:rPr>
        <w:t> </w:t>
      </w:r>
      <w:r>
        <w:rPr/>
        <w:t>critical</w:t>
      </w:r>
      <w:r>
        <w:rPr>
          <w:spacing w:val="-6"/>
        </w:rPr>
        <w:t> </w:t>
      </w:r>
      <w:r>
        <w:rPr/>
        <w:t>areas,</w:t>
      </w:r>
      <w:r>
        <w:rPr>
          <w:spacing w:val="-5"/>
        </w:rPr>
        <w:t> </w:t>
      </w:r>
      <w:r>
        <w:rPr/>
        <w:t>shoreline</w:t>
      </w:r>
      <w:r>
        <w:rPr>
          <w:spacing w:val="-5"/>
        </w:rPr>
        <w:t> </w:t>
      </w:r>
      <w:r>
        <w:rPr/>
        <w:t>and</w:t>
      </w:r>
      <w:r>
        <w:rPr>
          <w:spacing w:val="-6"/>
        </w:rPr>
        <w:t> </w:t>
      </w:r>
      <w:r>
        <w:rPr/>
        <w:t>open</w:t>
      </w:r>
      <w:r>
        <w:rPr>
          <w:spacing w:val="-6"/>
        </w:rPr>
        <w:t> </w:t>
      </w:r>
      <w:r>
        <w:rPr/>
        <w:t>space</w:t>
      </w:r>
      <w:r>
        <w:rPr>
          <w:spacing w:val="-5"/>
        </w:rPr>
        <w:t> </w:t>
      </w:r>
      <w:r>
        <w:rPr/>
        <w:t>lands in</w:t>
      </w:r>
      <w:r>
        <w:rPr>
          <w:spacing w:val="-2"/>
        </w:rPr>
        <w:t> </w:t>
      </w:r>
      <w:r>
        <w:rPr/>
        <w:t>Richland.</w:t>
      </w:r>
    </w:p>
    <w:p>
      <w:pPr>
        <w:pStyle w:val="Heading7"/>
        <w:spacing w:before="200"/>
        <w:ind w:left="140"/>
        <w:jc w:val="both"/>
      </w:pPr>
      <w:bookmarkStart w:name="Section Two" w:id="70"/>
      <w:bookmarkEnd w:id="70"/>
      <w:r>
        <w:rPr/>
      </w:r>
      <w:bookmarkStart w:name="Description of Land Uses" w:id="71"/>
      <w:bookmarkEnd w:id="71"/>
      <w:r>
        <w:rPr/>
      </w:r>
      <w:bookmarkStart w:name="_bookmark33" w:id="72"/>
      <w:bookmarkEnd w:id="72"/>
      <w:r>
        <w:rPr/>
      </w:r>
      <w:bookmarkStart w:name="_bookmark34" w:id="73"/>
      <w:bookmarkEnd w:id="73"/>
      <w:r>
        <w:rPr/>
      </w:r>
      <w:r>
        <w:rPr>
          <w:color w:val="4F81BC"/>
        </w:rPr>
        <w:t>SECTION TWO</w:t>
      </w:r>
    </w:p>
    <w:p>
      <w:pPr>
        <w:pStyle w:val="Heading6"/>
        <w:spacing w:before="201"/>
      </w:pPr>
      <w:r>
        <w:rPr/>
        <w:t>DESCRIPTION OF LAND USES</w:t>
      </w:r>
    </w:p>
    <w:p>
      <w:pPr>
        <w:pStyle w:val="BodyText"/>
        <w:spacing w:before="120"/>
        <w:ind w:left="140" w:right="334"/>
        <w:jc w:val="both"/>
      </w:pPr>
      <w:r>
        <w:rPr>
          <w:b/>
        </w:rPr>
        <w:t>Agriculture (AG) </w:t>
      </w:r>
      <w:r>
        <w:rPr/>
        <w:t>- This category includes uses devoted primarily to the tilling of soil, the raising of crops, horticulture, livestock, poultry, feed lots, and related commercial and industrial activities. It allows residential densities up to one dwelling unit per five acres.</w:t>
      </w:r>
    </w:p>
    <w:p>
      <w:pPr>
        <w:spacing w:before="119"/>
        <w:ind w:left="139" w:right="335" w:firstLine="0"/>
        <w:jc w:val="both"/>
        <w:rPr>
          <w:sz w:val="22"/>
        </w:rPr>
      </w:pPr>
      <w:r>
        <w:rPr>
          <w:b/>
          <w:sz w:val="22"/>
        </w:rPr>
        <w:t>Low Density Residential (LDR) </w:t>
      </w:r>
      <w:r>
        <w:rPr>
          <w:sz w:val="22"/>
        </w:rPr>
        <w:t>- The LDR category includes single-family residential uses with an average density of 3.5 dwelling units per acre.</w:t>
      </w:r>
    </w:p>
    <w:p>
      <w:pPr>
        <w:spacing w:before="121"/>
        <w:ind w:left="139" w:right="337" w:firstLine="0"/>
        <w:jc w:val="both"/>
        <w:rPr>
          <w:sz w:val="22"/>
        </w:rPr>
      </w:pPr>
      <w:r>
        <w:rPr>
          <w:b/>
          <w:sz w:val="22"/>
        </w:rPr>
        <w:t>Medium Density Residential (MDR) </w:t>
      </w:r>
      <w:r>
        <w:rPr>
          <w:sz w:val="22"/>
        </w:rPr>
        <w:t>- The MDR category includes single-family residential uses with an average density of eight dwelling units per acre.</w:t>
      </w:r>
    </w:p>
    <w:p>
      <w:pPr>
        <w:pStyle w:val="BodyText"/>
        <w:spacing w:before="120"/>
        <w:ind w:left="139" w:right="334"/>
        <w:jc w:val="both"/>
      </w:pPr>
      <w:r>
        <w:rPr>
          <w:b/>
        </w:rPr>
        <w:t>High Density Residential (HDR) </w:t>
      </w:r>
      <w:r>
        <w:rPr/>
        <w:t>- The HDR category includes multifamily residential uses with an average density of 15 dwelling units per acre. In transitional areas between more intensive commercial uses and lower density residential uses, limited office/institutional uses may also be located within the HDR designated areas.</w:t>
      </w:r>
    </w:p>
    <w:p>
      <w:pPr>
        <w:pStyle w:val="BodyText"/>
        <w:spacing w:before="120"/>
        <w:ind w:left="138" w:right="337"/>
        <w:jc w:val="both"/>
      </w:pPr>
      <w:r>
        <w:rPr>
          <w:b/>
        </w:rPr>
        <w:t>Badger Mountain South (BMS) </w:t>
      </w:r>
      <w:r>
        <w:rPr/>
        <w:t>- This includes land uses set forth in the Badger Mountain Subarea Plan as adopted by the Richland City Council on September 7, 2010.</w:t>
      </w:r>
    </w:p>
    <w:p>
      <w:pPr>
        <w:pStyle w:val="BodyText"/>
        <w:spacing w:before="120"/>
        <w:ind w:left="138" w:right="334"/>
        <w:jc w:val="both"/>
      </w:pPr>
      <w:r>
        <w:rPr>
          <w:b/>
        </w:rPr>
        <w:t>Multifamily Residential Office (RO) </w:t>
      </w:r>
      <w:r>
        <w:rPr/>
        <w:t>- This designation applies to areas within Island View where senior</w:t>
      </w:r>
      <w:r>
        <w:rPr>
          <w:spacing w:val="-10"/>
        </w:rPr>
        <w:t> </w:t>
      </w:r>
      <w:r>
        <w:rPr/>
        <w:t>housing</w:t>
      </w:r>
      <w:r>
        <w:rPr>
          <w:spacing w:val="-8"/>
        </w:rPr>
        <w:t> </w:t>
      </w:r>
      <w:r>
        <w:rPr/>
        <w:t>and</w:t>
      </w:r>
      <w:r>
        <w:rPr>
          <w:spacing w:val="-9"/>
        </w:rPr>
        <w:t> </w:t>
      </w:r>
      <w:r>
        <w:rPr/>
        <w:t>condominium</w:t>
      </w:r>
      <w:r>
        <w:rPr>
          <w:spacing w:val="-8"/>
        </w:rPr>
        <w:t> </w:t>
      </w:r>
      <w:r>
        <w:rPr/>
        <w:t>projects</w:t>
      </w:r>
      <w:r>
        <w:rPr>
          <w:spacing w:val="-8"/>
        </w:rPr>
        <w:t> </w:t>
      </w:r>
      <w:r>
        <w:rPr/>
        <w:t>would</w:t>
      </w:r>
      <w:r>
        <w:rPr>
          <w:spacing w:val="-9"/>
        </w:rPr>
        <w:t> </w:t>
      </w:r>
      <w:r>
        <w:rPr/>
        <w:t>be</w:t>
      </w:r>
      <w:r>
        <w:rPr>
          <w:spacing w:val="-11"/>
        </w:rPr>
        <w:t> </w:t>
      </w:r>
      <w:r>
        <w:rPr/>
        <w:t>encouraged.</w:t>
      </w:r>
      <w:r>
        <w:rPr>
          <w:spacing w:val="-9"/>
        </w:rPr>
        <w:t> </w:t>
      </w:r>
      <w:r>
        <w:rPr/>
        <w:t>Compatible</w:t>
      </w:r>
      <w:r>
        <w:rPr>
          <w:spacing w:val="-9"/>
        </w:rPr>
        <w:t> </w:t>
      </w:r>
      <w:r>
        <w:rPr/>
        <w:t>office</w:t>
      </w:r>
      <w:r>
        <w:rPr>
          <w:spacing w:val="-9"/>
        </w:rPr>
        <w:t> </w:t>
      </w:r>
      <w:r>
        <w:rPr/>
        <w:t>projects</w:t>
      </w:r>
      <w:r>
        <w:rPr>
          <w:spacing w:val="-8"/>
        </w:rPr>
        <w:t> </w:t>
      </w:r>
      <w:r>
        <w:rPr/>
        <w:t>and</w:t>
      </w:r>
      <w:r>
        <w:rPr>
          <w:spacing w:val="-9"/>
        </w:rPr>
        <w:t> </w:t>
      </w:r>
      <w:r>
        <w:rPr/>
        <w:t>light commercial uses also would be allowed within this</w:t>
      </w:r>
      <w:r>
        <w:rPr>
          <w:spacing w:val="-10"/>
        </w:rPr>
        <w:t> </w:t>
      </w:r>
      <w:r>
        <w:rPr/>
        <w:t>designation.</w:t>
      </w:r>
    </w:p>
    <w:p>
      <w:pPr>
        <w:pStyle w:val="BodyText"/>
        <w:spacing w:before="119"/>
        <w:ind w:left="138" w:right="334"/>
        <w:jc w:val="both"/>
      </w:pPr>
      <w:r>
        <w:rPr>
          <w:b/>
        </w:rPr>
        <w:t>Central</w:t>
      </w:r>
      <w:r>
        <w:rPr>
          <w:b/>
          <w:spacing w:val="-11"/>
        </w:rPr>
        <w:t> </w:t>
      </w:r>
      <w:r>
        <w:rPr>
          <w:b/>
        </w:rPr>
        <w:t>Business</w:t>
      </w:r>
      <w:r>
        <w:rPr>
          <w:b/>
          <w:spacing w:val="-13"/>
        </w:rPr>
        <w:t> </w:t>
      </w:r>
      <w:r>
        <w:rPr>
          <w:b/>
        </w:rPr>
        <w:t>District</w:t>
      </w:r>
      <w:r>
        <w:rPr>
          <w:b/>
          <w:spacing w:val="-9"/>
        </w:rPr>
        <w:t> </w:t>
      </w:r>
      <w:r>
        <w:rPr>
          <w:b/>
        </w:rPr>
        <w:t>(CBD)</w:t>
      </w:r>
      <w:r>
        <w:rPr>
          <w:b/>
          <w:spacing w:val="-11"/>
        </w:rPr>
        <w:t> </w:t>
      </w:r>
      <w:r>
        <w:rPr/>
        <w:t>-</w:t>
      </w:r>
      <w:r>
        <w:rPr>
          <w:spacing w:val="-11"/>
        </w:rPr>
        <w:t> </w:t>
      </w:r>
      <w:r>
        <w:rPr/>
        <w:t>This</w:t>
      </w:r>
      <w:r>
        <w:rPr>
          <w:spacing w:val="-9"/>
        </w:rPr>
        <w:t> </w:t>
      </w:r>
      <w:r>
        <w:rPr/>
        <w:t>classification</w:t>
      </w:r>
      <w:r>
        <w:rPr>
          <w:spacing w:val="-11"/>
        </w:rPr>
        <w:t> </w:t>
      </w:r>
      <w:r>
        <w:rPr/>
        <w:t>includes</w:t>
      </w:r>
      <w:r>
        <w:rPr>
          <w:spacing w:val="-8"/>
        </w:rPr>
        <w:t> </w:t>
      </w:r>
      <w:r>
        <w:rPr/>
        <w:t>a</w:t>
      </w:r>
      <w:r>
        <w:rPr>
          <w:spacing w:val="-12"/>
        </w:rPr>
        <w:t> </w:t>
      </w:r>
      <w:r>
        <w:rPr/>
        <w:t>mix</w:t>
      </w:r>
      <w:r>
        <w:rPr>
          <w:spacing w:val="-11"/>
        </w:rPr>
        <w:t> </w:t>
      </w:r>
      <w:r>
        <w:rPr/>
        <w:t>of</w:t>
      </w:r>
      <w:r>
        <w:rPr>
          <w:spacing w:val="-12"/>
        </w:rPr>
        <w:t> </w:t>
      </w:r>
      <w:r>
        <w:rPr/>
        <w:t>residential,</w:t>
      </w:r>
      <w:r>
        <w:rPr>
          <w:spacing w:val="-10"/>
        </w:rPr>
        <w:t> </w:t>
      </w:r>
      <w:r>
        <w:rPr/>
        <w:t>retail,</w:t>
      </w:r>
      <w:r>
        <w:rPr>
          <w:spacing w:val="-12"/>
        </w:rPr>
        <w:t> </w:t>
      </w:r>
      <w:r>
        <w:rPr/>
        <w:t>service,</w:t>
      </w:r>
      <w:r>
        <w:rPr>
          <w:spacing w:val="-11"/>
        </w:rPr>
        <w:t> </w:t>
      </w:r>
      <w:r>
        <w:rPr/>
        <w:t>and business uses that provide for the daily convenience needs of on-site and nearby employees and residents. The purpose is to provide for pedestrian- and transit-oriented high density employment and cultural uses, together with complementary retail and higher density residential and other compatible uses that enhance the Central Business</w:t>
      </w:r>
      <w:r>
        <w:rPr>
          <w:spacing w:val="-7"/>
        </w:rPr>
        <w:t> </w:t>
      </w:r>
      <w:r>
        <w:rPr/>
        <w:t>District.</w:t>
      </w:r>
    </w:p>
    <w:p>
      <w:pPr>
        <w:pStyle w:val="BodyText"/>
        <w:spacing w:before="119"/>
        <w:ind w:left="139" w:right="334" w:hanging="1"/>
        <w:jc w:val="both"/>
      </w:pPr>
      <w:r>
        <w:rPr>
          <w:b/>
        </w:rPr>
        <w:t>Commercial</w:t>
      </w:r>
      <w:r>
        <w:rPr>
          <w:b/>
          <w:spacing w:val="-12"/>
        </w:rPr>
        <w:t> </w:t>
      </w:r>
      <w:r>
        <w:rPr>
          <w:b/>
        </w:rPr>
        <w:t>(C)</w:t>
      </w:r>
      <w:r>
        <w:rPr>
          <w:b/>
          <w:spacing w:val="-8"/>
        </w:rPr>
        <w:t> </w:t>
      </w:r>
      <w:r>
        <w:rPr/>
        <w:t>-</w:t>
      </w:r>
      <w:r>
        <w:rPr>
          <w:spacing w:val="-10"/>
        </w:rPr>
        <w:t> </w:t>
      </w:r>
      <w:r>
        <w:rPr/>
        <w:t>The</w:t>
      </w:r>
      <w:r>
        <w:rPr>
          <w:spacing w:val="-11"/>
        </w:rPr>
        <w:t> </w:t>
      </w:r>
      <w:r>
        <w:rPr/>
        <w:t>commercial</w:t>
      </w:r>
      <w:r>
        <w:rPr>
          <w:spacing w:val="-10"/>
        </w:rPr>
        <w:t> </w:t>
      </w:r>
      <w:r>
        <w:rPr/>
        <w:t>land</w:t>
      </w:r>
      <w:r>
        <w:rPr>
          <w:spacing w:val="-9"/>
        </w:rPr>
        <w:t> </w:t>
      </w:r>
      <w:r>
        <w:rPr/>
        <w:t>use</w:t>
      </w:r>
      <w:r>
        <w:rPr>
          <w:spacing w:val="-11"/>
        </w:rPr>
        <w:t> </w:t>
      </w:r>
      <w:r>
        <w:rPr/>
        <w:t>category</w:t>
      </w:r>
      <w:r>
        <w:rPr>
          <w:spacing w:val="-10"/>
        </w:rPr>
        <w:t> </w:t>
      </w:r>
      <w:r>
        <w:rPr/>
        <w:t>includes</w:t>
      </w:r>
      <w:r>
        <w:rPr>
          <w:spacing w:val="-9"/>
        </w:rPr>
        <w:t> </w:t>
      </w:r>
      <w:r>
        <w:rPr/>
        <w:t>a</w:t>
      </w:r>
      <w:r>
        <w:rPr>
          <w:spacing w:val="-9"/>
        </w:rPr>
        <w:t> </w:t>
      </w:r>
      <w:r>
        <w:rPr/>
        <w:t>variety</w:t>
      </w:r>
      <w:r>
        <w:rPr>
          <w:spacing w:val="-10"/>
        </w:rPr>
        <w:t> </w:t>
      </w:r>
      <w:r>
        <w:rPr/>
        <w:t>of</w:t>
      </w:r>
      <w:r>
        <w:rPr>
          <w:spacing w:val="-11"/>
        </w:rPr>
        <w:t> </w:t>
      </w:r>
      <w:r>
        <w:rPr/>
        <w:t>retail,</w:t>
      </w:r>
      <w:r>
        <w:rPr>
          <w:spacing w:val="-8"/>
        </w:rPr>
        <w:t> </w:t>
      </w:r>
      <w:r>
        <w:rPr/>
        <w:t>wholesale,</w:t>
      </w:r>
      <w:r>
        <w:rPr>
          <w:spacing w:val="-9"/>
        </w:rPr>
        <w:t> </w:t>
      </w:r>
      <w:r>
        <w:rPr/>
        <w:t>and</w:t>
      </w:r>
      <w:r>
        <w:rPr>
          <w:spacing w:val="-9"/>
        </w:rPr>
        <w:t> </w:t>
      </w:r>
      <w:r>
        <w:rPr/>
        <w:t>office uses. Within this category are professional business offices, hotels, motels, and related uses. It also includes a variety of retail and service uses oriented to serving residential neighborhoods, such as grocery stores, hardware supply, and garden supply. Other</w:t>
      </w:r>
      <w:r>
        <w:rPr>
          <w:spacing w:val="33"/>
        </w:rPr>
        <w:t> </w:t>
      </w:r>
      <w:r>
        <w:rPr/>
        <w:t>commercial uses include automobile-</w:t>
      </w:r>
    </w:p>
    <w:p>
      <w:pPr>
        <w:spacing w:after="0"/>
        <w:jc w:val="both"/>
        <w:sectPr>
          <w:pgSz w:w="12240" w:h="15840"/>
          <w:pgMar w:header="0" w:footer="1132" w:top="1360" w:bottom="1320" w:left="1300" w:right="1100"/>
        </w:sectPr>
      </w:pPr>
    </w:p>
    <w:p>
      <w:pPr>
        <w:pStyle w:val="BodyText"/>
        <w:spacing w:before="80"/>
        <w:ind w:left="140" w:right="334"/>
        <w:jc w:val="both"/>
      </w:pPr>
      <w:r>
        <w:rPr/>
        <w:t>related uses, and uses that normally require outdoor storage and display of goods. In transitional areas between more intensive commercial uses and lower density residential uses, high-density residential development may also be located within the Commercial designated areas.</w:t>
      </w:r>
    </w:p>
    <w:p>
      <w:pPr>
        <w:pStyle w:val="BodyText"/>
        <w:spacing w:before="119"/>
        <w:ind w:left="139" w:right="333"/>
        <w:jc w:val="both"/>
      </w:pPr>
      <w:r>
        <w:rPr>
          <w:b/>
        </w:rPr>
        <w:t>Retail</w:t>
      </w:r>
      <w:r>
        <w:rPr>
          <w:b/>
          <w:spacing w:val="-13"/>
        </w:rPr>
        <w:t> </w:t>
      </w:r>
      <w:r>
        <w:rPr>
          <w:b/>
        </w:rPr>
        <w:t>Regional</w:t>
      </w:r>
      <w:r>
        <w:rPr>
          <w:b/>
          <w:spacing w:val="-10"/>
        </w:rPr>
        <w:t> </w:t>
      </w:r>
      <w:r>
        <w:rPr>
          <w:b/>
        </w:rPr>
        <w:t>(RR)</w:t>
      </w:r>
      <w:r>
        <w:rPr>
          <w:b/>
          <w:spacing w:val="-8"/>
        </w:rPr>
        <w:t> </w:t>
      </w:r>
      <w:r>
        <w:rPr/>
        <w:t>-</w:t>
      </w:r>
      <w:r>
        <w:rPr>
          <w:spacing w:val="-10"/>
        </w:rPr>
        <w:t> </w:t>
      </w:r>
      <w:r>
        <w:rPr/>
        <w:t>This</w:t>
      </w:r>
      <w:r>
        <w:rPr>
          <w:spacing w:val="-8"/>
        </w:rPr>
        <w:t> </w:t>
      </w:r>
      <w:r>
        <w:rPr/>
        <w:t>designation</w:t>
      </w:r>
      <w:r>
        <w:rPr>
          <w:spacing w:val="-12"/>
        </w:rPr>
        <w:t> </w:t>
      </w:r>
      <w:r>
        <w:rPr/>
        <w:t>is</w:t>
      </w:r>
      <w:r>
        <w:rPr>
          <w:spacing w:val="-8"/>
        </w:rPr>
        <w:t> </w:t>
      </w:r>
      <w:r>
        <w:rPr/>
        <w:t>applied</w:t>
      </w:r>
      <w:r>
        <w:rPr>
          <w:spacing w:val="-9"/>
        </w:rPr>
        <w:t> </w:t>
      </w:r>
      <w:r>
        <w:rPr/>
        <w:t>to</w:t>
      </w:r>
      <w:r>
        <w:rPr>
          <w:spacing w:val="-9"/>
        </w:rPr>
        <w:t> </w:t>
      </w:r>
      <w:r>
        <w:rPr/>
        <w:t>the</w:t>
      </w:r>
      <w:r>
        <w:rPr>
          <w:spacing w:val="-11"/>
        </w:rPr>
        <w:t> </w:t>
      </w:r>
      <w:r>
        <w:rPr/>
        <w:t>existing</w:t>
      </w:r>
      <w:r>
        <w:rPr>
          <w:spacing w:val="-10"/>
        </w:rPr>
        <w:t> </w:t>
      </w:r>
      <w:r>
        <w:rPr/>
        <w:t>retail</w:t>
      </w:r>
      <w:r>
        <w:rPr>
          <w:spacing w:val="-9"/>
        </w:rPr>
        <w:t> </w:t>
      </w:r>
      <w:r>
        <w:rPr/>
        <w:t>area</w:t>
      </w:r>
      <w:r>
        <w:rPr>
          <w:spacing w:val="-10"/>
        </w:rPr>
        <w:t> </w:t>
      </w:r>
      <w:r>
        <w:rPr/>
        <w:t>that</w:t>
      </w:r>
      <w:r>
        <w:rPr>
          <w:spacing w:val="-9"/>
        </w:rPr>
        <w:t> </w:t>
      </w:r>
      <w:r>
        <w:rPr/>
        <w:t>is</w:t>
      </w:r>
      <w:r>
        <w:rPr>
          <w:spacing w:val="-10"/>
        </w:rPr>
        <w:t> </w:t>
      </w:r>
      <w:r>
        <w:rPr/>
        <w:t>commonly</w:t>
      </w:r>
      <w:r>
        <w:rPr>
          <w:spacing w:val="-10"/>
        </w:rPr>
        <w:t> </w:t>
      </w:r>
      <w:r>
        <w:rPr/>
        <w:t>known as Columbia Center North, as well as other nearby locations on Columbia Center Boulevard and Fowler</w:t>
      </w:r>
      <w:r>
        <w:rPr>
          <w:spacing w:val="-9"/>
        </w:rPr>
        <w:t> </w:t>
      </w:r>
      <w:r>
        <w:rPr/>
        <w:t>Street.</w:t>
      </w:r>
      <w:r>
        <w:rPr>
          <w:spacing w:val="-8"/>
        </w:rPr>
        <w:t> </w:t>
      </w:r>
      <w:r>
        <w:rPr/>
        <w:t>Within</w:t>
      </w:r>
      <w:r>
        <w:rPr>
          <w:spacing w:val="-9"/>
        </w:rPr>
        <w:t> </w:t>
      </w:r>
      <w:r>
        <w:rPr/>
        <w:t>this</w:t>
      </w:r>
      <w:r>
        <w:rPr>
          <w:spacing w:val="-9"/>
        </w:rPr>
        <w:t> </w:t>
      </w:r>
      <w:r>
        <w:rPr/>
        <w:t>designation</w:t>
      </w:r>
      <w:r>
        <w:rPr>
          <w:spacing w:val="-9"/>
        </w:rPr>
        <w:t> </w:t>
      </w:r>
      <w:r>
        <w:rPr/>
        <w:t>infill</w:t>
      </w:r>
      <w:r>
        <w:rPr>
          <w:spacing w:val="-9"/>
        </w:rPr>
        <w:t> </w:t>
      </w:r>
      <w:r>
        <w:rPr/>
        <w:t>development</w:t>
      </w:r>
      <w:r>
        <w:rPr>
          <w:spacing w:val="-8"/>
        </w:rPr>
        <w:t> </w:t>
      </w:r>
      <w:r>
        <w:rPr/>
        <w:t>is</w:t>
      </w:r>
      <w:r>
        <w:rPr>
          <w:spacing w:val="-7"/>
        </w:rPr>
        <w:t> </w:t>
      </w:r>
      <w:r>
        <w:rPr/>
        <w:t>encouraged.</w:t>
      </w:r>
      <w:r>
        <w:rPr>
          <w:spacing w:val="-8"/>
        </w:rPr>
        <w:t> </w:t>
      </w:r>
      <w:r>
        <w:rPr/>
        <w:t>Large</w:t>
      </w:r>
      <w:r>
        <w:rPr>
          <w:spacing w:val="-10"/>
        </w:rPr>
        <w:t> </w:t>
      </w:r>
      <w:r>
        <w:rPr/>
        <w:t>format</w:t>
      </w:r>
      <w:r>
        <w:rPr>
          <w:spacing w:val="-9"/>
        </w:rPr>
        <w:t> </w:t>
      </w:r>
      <w:r>
        <w:rPr/>
        <w:t>region-serving retail establishments are also encouraged on parcels large enough to support such</w:t>
      </w:r>
      <w:r>
        <w:rPr>
          <w:spacing w:val="-18"/>
        </w:rPr>
        <w:t> </w:t>
      </w:r>
      <w:r>
        <w:rPr/>
        <w:t>uses.</w:t>
      </w:r>
    </w:p>
    <w:p>
      <w:pPr>
        <w:pStyle w:val="BodyText"/>
        <w:spacing w:before="120"/>
        <w:ind w:left="139" w:right="335"/>
        <w:jc w:val="both"/>
      </w:pPr>
      <w:r>
        <w:rPr>
          <w:b/>
        </w:rPr>
        <w:t>General Commercial (GC) </w:t>
      </w:r>
      <w:r>
        <w:rPr/>
        <w:t>- This designation is applied to lands in the southernmost portions of Island View that are adjacent to and visible from SR 240. Within this category, new and used auto sales, RV, truck dealers, and similar retail uses are encouraged. Service-related businesses that require a central location within the Tri-Cities are also included in this designation.</w:t>
      </w:r>
    </w:p>
    <w:p>
      <w:pPr>
        <w:pStyle w:val="BodyText"/>
        <w:spacing w:before="121"/>
        <w:ind w:left="139" w:right="337"/>
        <w:jc w:val="both"/>
      </w:pPr>
      <w:r>
        <w:rPr>
          <w:b/>
        </w:rPr>
        <w:t>Business Commerce (BC) </w:t>
      </w:r>
      <w:r>
        <w:rPr/>
        <w:t>- This designation applies to the Spaulding Business Park and some adjacent properties. It is intended to encourage a variety of professional office buildings, medical and/or dental laboratories, and light industrial uses.</w:t>
      </w:r>
    </w:p>
    <w:p>
      <w:pPr>
        <w:pStyle w:val="BodyText"/>
        <w:spacing w:before="121"/>
        <w:ind w:left="139" w:right="333" w:hanging="1"/>
        <w:jc w:val="both"/>
      </w:pPr>
      <w:r>
        <w:rPr>
          <w:b/>
        </w:rPr>
        <w:t>Single Family Overlay (SFO) </w:t>
      </w:r>
      <w:r>
        <w:rPr/>
        <w:t>- This designation is applied to several pockets of single family residences</w:t>
      </w:r>
      <w:r>
        <w:rPr>
          <w:spacing w:val="-7"/>
        </w:rPr>
        <w:t> </w:t>
      </w:r>
      <w:r>
        <w:rPr/>
        <w:t>throughout</w:t>
      </w:r>
      <w:r>
        <w:rPr>
          <w:spacing w:val="-6"/>
        </w:rPr>
        <w:t> </w:t>
      </w:r>
      <w:r>
        <w:rPr/>
        <w:t>the</w:t>
      </w:r>
      <w:r>
        <w:rPr>
          <w:spacing w:val="-5"/>
        </w:rPr>
        <w:t> </w:t>
      </w:r>
      <w:r>
        <w:rPr/>
        <w:t>Island</w:t>
      </w:r>
      <w:r>
        <w:rPr>
          <w:spacing w:val="-8"/>
        </w:rPr>
        <w:t> </w:t>
      </w:r>
      <w:r>
        <w:rPr/>
        <w:t>View</w:t>
      </w:r>
      <w:r>
        <w:rPr>
          <w:spacing w:val="-6"/>
        </w:rPr>
        <w:t> </w:t>
      </w:r>
      <w:r>
        <w:rPr/>
        <w:t>area</w:t>
      </w:r>
      <w:r>
        <w:rPr>
          <w:spacing w:val="-5"/>
        </w:rPr>
        <w:t> </w:t>
      </w:r>
      <w:r>
        <w:rPr/>
        <w:t>where</w:t>
      </w:r>
      <w:r>
        <w:rPr>
          <w:spacing w:val="-7"/>
        </w:rPr>
        <w:t> </w:t>
      </w:r>
      <w:r>
        <w:rPr/>
        <w:t>property</w:t>
      </w:r>
      <w:r>
        <w:rPr>
          <w:spacing w:val="-6"/>
        </w:rPr>
        <w:t> </w:t>
      </w:r>
      <w:r>
        <w:rPr/>
        <w:t>owners</w:t>
      </w:r>
      <w:r>
        <w:rPr>
          <w:spacing w:val="-7"/>
        </w:rPr>
        <w:t> </w:t>
      </w:r>
      <w:r>
        <w:rPr/>
        <w:t>have</w:t>
      </w:r>
      <w:r>
        <w:rPr>
          <w:spacing w:val="-7"/>
        </w:rPr>
        <w:t> </w:t>
      </w:r>
      <w:r>
        <w:rPr/>
        <w:t>expressed</w:t>
      </w:r>
      <w:r>
        <w:rPr>
          <w:spacing w:val="-8"/>
        </w:rPr>
        <w:t> </w:t>
      </w:r>
      <w:r>
        <w:rPr/>
        <w:t>a</w:t>
      </w:r>
      <w:r>
        <w:rPr>
          <w:spacing w:val="-5"/>
        </w:rPr>
        <w:t> </w:t>
      </w:r>
      <w:r>
        <w:rPr/>
        <w:t>preference</w:t>
      </w:r>
      <w:r>
        <w:rPr>
          <w:spacing w:val="-5"/>
        </w:rPr>
        <w:t> </w:t>
      </w:r>
      <w:r>
        <w:rPr/>
        <w:t>for this designation. The comprehensive land use plan map identifies a land use designation other than single family residential for all properties within Island View. For these identified parcels, there are two land use designations: the Single Family Overlay designation and another land use designation. The</w:t>
      </w:r>
      <w:r>
        <w:rPr>
          <w:spacing w:val="-6"/>
        </w:rPr>
        <w:t> </w:t>
      </w:r>
      <w:r>
        <w:rPr/>
        <w:t>Single</w:t>
      </w:r>
      <w:r>
        <w:rPr>
          <w:spacing w:val="-3"/>
        </w:rPr>
        <w:t> </w:t>
      </w:r>
      <w:r>
        <w:rPr/>
        <w:t>Family</w:t>
      </w:r>
      <w:r>
        <w:rPr>
          <w:spacing w:val="-6"/>
        </w:rPr>
        <w:t> </w:t>
      </w:r>
      <w:r>
        <w:rPr/>
        <w:t>Overlay</w:t>
      </w:r>
      <w:r>
        <w:rPr>
          <w:spacing w:val="-7"/>
        </w:rPr>
        <w:t> </w:t>
      </w:r>
      <w:r>
        <w:rPr/>
        <w:t>designation</w:t>
      </w:r>
      <w:r>
        <w:rPr>
          <w:spacing w:val="-4"/>
        </w:rPr>
        <w:t> </w:t>
      </w:r>
      <w:r>
        <w:rPr/>
        <w:t>will</w:t>
      </w:r>
      <w:r>
        <w:rPr>
          <w:spacing w:val="-4"/>
        </w:rPr>
        <w:t> </w:t>
      </w:r>
      <w:r>
        <w:rPr/>
        <w:t>remain</w:t>
      </w:r>
      <w:r>
        <w:rPr>
          <w:spacing w:val="-4"/>
        </w:rPr>
        <w:t> </w:t>
      </w:r>
      <w:r>
        <w:rPr/>
        <w:t>in</w:t>
      </w:r>
      <w:r>
        <w:rPr>
          <w:spacing w:val="-4"/>
        </w:rPr>
        <w:t> </w:t>
      </w:r>
      <w:r>
        <w:rPr/>
        <w:t>effect,</w:t>
      </w:r>
      <w:r>
        <w:rPr>
          <w:spacing w:val="-4"/>
        </w:rPr>
        <w:t> </w:t>
      </w:r>
      <w:r>
        <w:rPr/>
        <w:t>allowing</w:t>
      </w:r>
      <w:r>
        <w:rPr>
          <w:spacing w:val="-2"/>
        </w:rPr>
        <w:t> </w:t>
      </w:r>
      <w:r>
        <w:rPr/>
        <w:t>for</w:t>
      </w:r>
      <w:r>
        <w:rPr>
          <w:spacing w:val="-6"/>
        </w:rPr>
        <w:t> </w:t>
      </w:r>
      <w:r>
        <w:rPr/>
        <w:t>continued</w:t>
      </w:r>
      <w:r>
        <w:rPr>
          <w:spacing w:val="-4"/>
        </w:rPr>
        <w:t> </w:t>
      </w:r>
      <w:r>
        <w:rPr/>
        <w:t>residential</w:t>
      </w:r>
      <w:r>
        <w:rPr>
          <w:spacing w:val="-3"/>
        </w:rPr>
        <w:t> </w:t>
      </w:r>
      <w:r>
        <w:rPr/>
        <w:t>use</w:t>
      </w:r>
      <w:r>
        <w:rPr>
          <w:spacing w:val="-3"/>
        </w:rPr>
        <w:t> </w:t>
      </w:r>
      <w:r>
        <w:rPr/>
        <w:t>of the</w:t>
      </w:r>
      <w:r>
        <w:rPr>
          <w:spacing w:val="-4"/>
        </w:rPr>
        <w:t> </w:t>
      </w:r>
      <w:r>
        <w:rPr/>
        <w:t>property,</w:t>
      </w:r>
      <w:r>
        <w:rPr>
          <w:spacing w:val="-6"/>
        </w:rPr>
        <w:t> </w:t>
      </w:r>
      <w:r>
        <w:rPr/>
        <w:t>until</w:t>
      </w:r>
      <w:r>
        <w:rPr>
          <w:spacing w:val="-7"/>
        </w:rPr>
        <w:t> </w:t>
      </w:r>
      <w:r>
        <w:rPr/>
        <w:t>such</w:t>
      </w:r>
      <w:r>
        <w:rPr>
          <w:spacing w:val="-3"/>
        </w:rPr>
        <w:t> </w:t>
      </w:r>
      <w:r>
        <w:rPr/>
        <w:t>time</w:t>
      </w:r>
      <w:r>
        <w:rPr>
          <w:spacing w:val="-4"/>
        </w:rPr>
        <w:t> </w:t>
      </w:r>
      <w:r>
        <w:rPr/>
        <w:t>the</w:t>
      </w:r>
      <w:r>
        <w:rPr>
          <w:spacing w:val="-4"/>
        </w:rPr>
        <w:t> </w:t>
      </w:r>
      <w:r>
        <w:rPr/>
        <w:t>owner(s)</w:t>
      </w:r>
      <w:r>
        <w:rPr>
          <w:spacing w:val="-4"/>
        </w:rPr>
        <w:t> </w:t>
      </w:r>
      <w:r>
        <w:rPr/>
        <w:t>seeks</w:t>
      </w:r>
      <w:r>
        <w:rPr>
          <w:spacing w:val="-6"/>
        </w:rPr>
        <w:t> </w:t>
      </w:r>
      <w:r>
        <w:rPr/>
        <w:t>a</w:t>
      </w:r>
      <w:r>
        <w:rPr>
          <w:spacing w:val="-4"/>
        </w:rPr>
        <w:t> </w:t>
      </w:r>
      <w:r>
        <w:rPr/>
        <w:t>change</w:t>
      </w:r>
      <w:r>
        <w:rPr>
          <w:spacing w:val="-6"/>
        </w:rPr>
        <w:t> </w:t>
      </w:r>
      <w:r>
        <w:rPr/>
        <w:t>in</w:t>
      </w:r>
      <w:r>
        <w:rPr>
          <w:spacing w:val="-4"/>
        </w:rPr>
        <w:t> </w:t>
      </w:r>
      <w:r>
        <w:rPr/>
        <w:t>the</w:t>
      </w:r>
      <w:r>
        <w:rPr>
          <w:spacing w:val="-6"/>
        </w:rPr>
        <w:t> </w:t>
      </w:r>
      <w:r>
        <w:rPr/>
        <w:t>use</w:t>
      </w:r>
      <w:r>
        <w:rPr>
          <w:spacing w:val="-4"/>
        </w:rPr>
        <w:t> </w:t>
      </w:r>
      <w:r>
        <w:rPr/>
        <w:t>of</w:t>
      </w:r>
      <w:r>
        <w:rPr>
          <w:spacing w:val="-3"/>
        </w:rPr>
        <w:t> </w:t>
      </w:r>
      <w:r>
        <w:rPr/>
        <w:t>the</w:t>
      </w:r>
      <w:r>
        <w:rPr>
          <w:spacing w:val="-4"/>
        </w:rPr>
        <w:t> </w:t>
      </w:r>
      <w:r>
        <w:rPr/>
        <w:t>property.</w:t>
      </w:r>
      <w:r>
        <w:rPr>
          <w:spacing w:val="-4"/>
        </w:rPr>
        <w:t> </w:t>
      </w:r>
      <w:r>
        <w:rPr/>
        <w:t>At</w:t>
      </w:r>
      <w:r>
        <w:rPr>
          <w:spacing w:val="-4"/>
        </w:rPr>
        <w:t> </w:t>
      </w:r>
      <w:r>
        <w:rPr/>
        <w:t>that</w:t>
      </w:r>
      <w:r>
        <w:rPr>
          <w:spacing w:val="-5"/>
        </w:rPr>
        <w:t> </w:t>
      </w:r>
      <w:r>
        <w:rPr/>
        <w:t>time,</w:t>
      </w:r>
      <w:r>
        <w:rPr>
          <w:spacing w:val="-4"/>
        </w:rPr>
        <w:t> </w:t>
      </w:r>
      <w:r>
        <w:rPr/>
        <w:t>the City will remove the Single Family Overlay and apply the other land use designation as identified in the comprehensive plan land use map in accordance with Land Use Goal #9, Single Family</w:t>
      </w:r>
      <w:r>
        <w:rPr>
          <w:spacing w:val="-26"/>
        </w:rPr>
        <w:t> </w:t>
      </w:r>
      <w:r>
        <w:rPr/>
        <w:t>Overlay.</w:t>
      </w:r>
    </w:p>
    <w:p>
      <w:pPr>
        <w:pStyle w:val="BodyText"/>
        <w:spacing w:before="120"/>
        <w:ind w:left="139" w:right="335"/>
        <w:jc w:val="both"/>
      </w:pPr>
      <w:r>
        <w:rPr>
          <w:b/>
        </w:rPr>
        <w:t>Commercial</w:t>
      </w:r>
      <w:r>
        <w:rPr>
          <w:b/>
          <w:spacing w:val="-13"/>
        </w:rPr>
        <w:t> </w:t>
      </w:r>
      <w:r>
        <w:rPr>
          <w:b/>
        </w:rPr>
        <w:t>Recreation</w:t>
      </w:r>
      <w:r>
        <w:rPr>
          <w:b/>
          <w:spacing w:val="-11"/>
        </w:rPr>
        <w:t> </w:t>
      </w:r>
      <w:r>
        <w:rPr>
          <w:b/>
        </w:rPr>
        <w:t>(CR)</w:t>
      </w:r>
      <w:r>
        <w:rPr>
          <w:b/>
          <w:spacing w:val="-12"/>
        </w:rPr>
        <w:t> </w:t>
      </w:r>
      <w:r>
        <w:rPr/>
        <w:t>-</w:t>
      </w:r>
      <w:r>
        <w:rPr>
          <w:spacing w:val="-13"/>
        </w:rPr>
        <w:t> </w:t>
      </w:r>
      <w:r>
        <w:rPr/>
        <w:t>This</w:t>
      </w:r>
      <w:r>
        <w:rPr>
          <w:spacing w:val="-11"/>
        </w:rPr>
        <w:t> </w:t>
      </w:r>
      <w:r>
        <w:rPr/>
        <w:t>designation</w:t>
      </w:r>
      <w:r>
        <w:rPr>
          <w:spacing w:val="-13"/>
        </w:rPr>
        <w:t> </w:t>
      </w:r>
      <w:r>
        <w:rPr/>
        <w:t>typically</w:t>
      </w:r>
      <w:r>
        <w:rPr>
          <w:spacing w:val="-14"/>
        </w:rPr>
        <w:t> </w:t>
      </w:r>
      <w:r>
        <w:rPr/>
        <w:t>applies</w:t>
      </w:r>
      <w:r>
        <w:rPr>
          <w:spacing w:val="-10"/>
        </w:rPr>
        <w:t> </w:t>
      </w:r>
      <w:r>
        <w:rPr/>
        <w:t>to</w:t>
      </w:r>
      <w:r>
        <w:rPr>
          <w:spacing w:val="-12"/>
        </w:rPr>
        <w:t> </w:t>
      </w:r>
      <w:r>
        <w:rPr/>
        <w:t>properties</w:t>
      </w:r>
      <w:r>
        <w:rPr>
          <w:spacing w:val="-11"/>
        </w:rPr>
        <w:t> </w:t>
      </w:r>
      <w:r>
        <w:rPr/>
        <w:t>under</w:t>
      </w:r>
      <w:r>
        <w:rPr>
          <w:spacing w:val="-13"/>
        </w:rPr>
        <w:t> </w:t>
      </w:r>
      <w:r>
        <w:rPr/>
        <w:t>the</w:t>
      </w:r>
      <w:r>
        <w:rPr>
          <w:spacing w:val="-11"/>
        </w:rPr>
        <w:t> </w:t>
      </w:r>
      <w:r>
        <w:rPr/>
        <w:t>ownership of the local, state or federal government. These properties are typically used to site regional recreational, educational, water-oriented facilities, and associated</w:t>
      </w:r>
      <w:r>
        <w:rPr>
          <w:spacing w:val="-13"/>
        </w:rPr>
        <w:t> </w:t>
      </w:r>
      <w:r>
        <w:rPr/>
        <w:t>uses.</w:t>
      </w:r>
    </w:p>
    <w:p>
      <w:pPr>
        <w:pStyle w:val="BodyText"/>
        <w:spacing w:before="119"/>
        <w:ind w:left="139" w:right="335"/>
        <w:jc w:val="both"/>
      </w:pPr>
      <w:r>
        <w:rPr>
          <w:b/>
        </w:rPr>
        <w:t>Waterfront (WF) </w:t>
      </w:r>
      <w:r>
        <w:rPr/>
        <w:t>- The Waterfront category includes a variety of water-oriented uses such as marinas, boat docks, resorts, mixed commercial/residential development, hotels, motels, and offices along the Columbia River shoreline. The intent is to bring significant development to the Columbia riverfront that is consistent with the City’s vision and that incorporates public access recreational features and attractive and high quality development.</w:t>
      </w:r>
    </w:p>
    <w:p>
      <w:pPr>
        <w:pStyle w:val="BodyText"/>
        <w:spacing w:before="119"/>
        <w:ind w:left="139" w:right="335"/>
        <w:jc w:val="both"/>
      </w:pPr>
      <w:r>
        <w:rPr>
          <w:b/>
        </w:rPr>
        <w:t>Industrial (I) </w:t>
      </w:r>
      <w:r>
        <w:rPr/>
        <w:t>- This category includes a variety of light and heavy manufacturing, assembly, and warehousing and distribution uses. It also includes uses devoted to the sale of retail and wholesale products manufactured on-site, and a variety of research and development uses for science-related activities.</w:t>
      </w:r>
    </w:p>
    <w:p>
      <w:pPr>
        <w:pStyle w:val="BodyText"/>
        <w:spacing w:before="120"/>
        <w:ind w:left="140" w:right="334" w:hanging="1"/>
        <w:jc w:val="both"/>
      </w:pPr>
      <w:r>
        <w:rPr>
          <w:b/>
        </w:rPr>
        <w:t>Business/Research</w:t>
      </w:r>
      <w:r>
        <w:rPr>
          <w:b/>
          <w:spacing w:val="-9"/>
        </w:rPr>
        <w:t> </w:t>
      </w:r>
      <w:r>
        <w:rPr>
          <w:b/>
        </w:rPr>
        <w:t>Park</w:t>
      </w:r>
      <w:r>
        <w:rPr>
          <w:b/>
          <w:spacing w:val="-10"/>
        </w:rPr>
        <w:t> </w:t>
      </w:r>
      <w:r>
        <w:rPr>
          <w:b/>
        </w:rPr>
        <w:t>(BRP)</w:t>
      </w:r>
      <w:r>
        <w:rPr>
          <w:b/>
          <w:spacing w:val="-7"/>
        </w:rPr>
        <w:t> </w:t>
      </w:r>
      <w:r>
        <w:rPr/>
        <w:t>-</w:t>
      </w:r>
      <w:r>
        <w:rPr>
          <w:spacing w:val="-8"/>
        </w:rPr>
        <w:t> </w:t>
      </w:r>
      <w:r>
        <w:rPr/>
        <w:t>The</w:t>
      </w:r>
      <w:r>
        <w:rPr>
          <w:spacing w:val="-9"/>
        </w:rPr>
        <w:t> </w:t>
      </w:r>
      <w:r>
        <w:rPr/>
        <w:t>Business/Research</w:t>
      </w:r>
      <w:r>
        <w:rPr>
          <w:spacing w:val="-9"/>
        </w:rPr>
        <w:t> </w:t>
      </w:r>
      <w:r>
        <w:rPr/>
        <w:t>Park</w:t>
      </w:r>
      <w:r>
        <w:rPr>
          <w:spacing w:val="-10"/>
        </w:rPr>
        <w:t> </w:t>
      </w:r>
      <w:r>
        <w:rPr/>
        <w:t>designation</w:t>
      </w:r>
      <w:r>
        <w:rPr>
          <w:spacing w:val="-10"/>
        </w:rPr>
        <w:t> </w:t>
      </w:r>
      <w:r>
        <w:rPr/>
        <w:t>provides</w:t>
      </w:r>
      <w:r>
        <w:rPr>
          <w:spacing w:val="-8"/>
        </w:rPr>
        <w:t> </w:t>
      </w:r>
      <w:r>
        <w:rPr/>
        <w:t>for</w:t>
      </w:r>
      <w:r>
        <w:rPr>
          <w:spacing w:val="-9"/>
        </w:rPr>
        <w:t> </w:t>
      </w:r>
      <w:r>
        <w:rPr/>
        <w:t>a</w:t>
      </w:r>
      <w:r>
        <w:rPr>
          <w:spacing w:val="-9"/>
        </w:rPr>
        <w:t> </w:t>
      </w:r>
      <w:r>
        <w:rPr/>
        <w:t>variety</w:t>
      </w:r>
      <w:r>
        <w:rPr>
          <w:spacing w:val="-10"/>
        </w:rPr>
        <w:t> </w:t>
      </w:r>
      <w:r>
        <w:rPr/>
        <w:t>of office and research and development facilities in a planned business park setting. Permitted uses include science-related research and development and testing facilities; administrative offices for those uses; and other general office</w:t>
      </w:r>
      <w:r>
        <w:rPr>
          <w:spacing w:val="-10"/>
        </w:rPr>
        <w:t> </w:t>
      </w:r>
      <w:r>
        <w:rPr/>
        <w:t>uses.</w:t>
      </w:r>
    </w:p>
    <w:p>
      <w:pPr>
        <w:pStyle w:val="BodyText"/>
        <w:spacing w:before="121"/>
        <w:ind w:left="140" w:right="334"/>
        <w:jc w:val="both"/>
      </w:pPr>
      <w:r>
        <w:rPr>
          <w:b/>
        </w:rPr>
        <w:t>Public Facility (PF) </w:t>
      </w:r>
      <w:r>
        <w:rPr/>
        <w:t>- This category includes a variety of public and institutional uses including facilities operated by federal, state, county, municipal, or other government agencies; public educational institutions; public libraries; hospitals; cemeteries; and some developed parks.</w:t>
      </w:r>
    </w:p>
    <w:p>
      <w:pPr>
        <w:pStyle w:val="BodyText"/>
        <w:spacing w:before="121"/>
        <w:ind w:left="140" w:right="335"/>
        <w:jc w:val="both"/>
      </w:pPr>
      <w:r>
        <w:rPr>
          <w:b/>
        </w:rPr>
        <w:t>Urban Recreation (UR) </w:t>
      </w:r>
      <w:r>
        <w:rPr/>
        <w:t>- The Urban Recreation designation includes uses that are intended to provide the public with places to gather for public events as well as provide some limited urban amenities,</w:t>
      </w:r>
      <w:r>
        <w:rPr>
          <w:spacing w:val="-7"/>
        </w:rPr>
        <w:t> </w:t>
      </w:r>
      <w:r>
        <w:rPr/>
        <w:t>passive</w:t>
      </w:r>
      <w:r>
        <w:rPr>
          <w:spacing w:val="-5"/>
        </w:rPr>
        <w:t> </w:t>
      </w:r>
      <w:r>
        <w:rPr/>
        <w:t>recreation</w:t>
      </w:r>
      <w:r>
        <w:rPr>
          <w:spacing w:val="-7"/>
        </w:rPr>
        <w:t> </w:t>
      </w:r>
      <w:r>
        <w:rPr/>
        <w:t>opportunities</w:t>
      </w:r>
      <w:r>
        <w:rPr>
          <w:spacing w:val="-5"/>
        </w:rPr>
        <w:t> </w:t>
      </w:r>
      <w:r>
        <w:rPr/>
        <w:t>and</w:t>
      </w:r>
      <w:r>
        <w:rPr>
          <w:spacing w:val="-6"/>
        </w:rPr>
        <w:t> </w:t>
      </w:r>
      <w:r>
        <w:rPr/>
        <w:t>open</w:t>
      </w:r>
      <w:r>
        <w:rPr>
          <w:spacing w:val="-6"/>
        </w:rPr>
        <w:t> </w:t>
      </w:r>
      <w:r>
        <w:rPr/>
        <w:t>space</w:t>
      </w:r>
      <w:r>
        <w:rPr>
          <w:spacing w:val="-5"/>
        </w:rPr>
        <w:t> </w:t>
      </w:r>
      <w:r>
        <w:rPr/>
        <w:t>uses.</w:t>
      </w:r>
      <w:r>
        <w:rPr>
          <w:spacing w:val="-5"/>
        </w:rPr>
        <w:t> </w:t>
      </w:r>
      <w:r>
        <w:rPr/>
        <w:t>It</w:t>
      </w:r>
      <w:r>
        <w:rPr>
          <w:spacing w:val="-6"/>
        </w:rPr>
        <w:t> </w:t>
      </w:r>
      <w:r>
        <w:rPr/>
        <w:t>is</w:t>
      </w:r>
      <w:r>
        <w:rPr>
          <w:spacing w:val="-5"/>
        </w:rPr>
        <w:t> </w:t>
      </w:r>
      <w:r>
        <w:rPr/>
        <w:t>the</w:t>
      </w:r>
      <w:r>
        <w:rPr>
          <w:spacing w:val="-5"/>
        </w:rPr>
        <w:t> </w:t>
      </w:r>
      <w:r>
        <w:rPr/>
        <w:t>intent</w:t>
      </w:r>
      <w:r>
        <w:rPr>
          <w:spacing w:val="-6"/>
        </w:rPr>
        <w:t> </w:t>
      </w:r>
      <w:r>
        <w:rPr/>
        <w:t>of</w:t>
      </w:r>
      <w:r>
        <w:rPr>
          <w:spacing w:val="-5"/>
        </w:rPr>
        <w:t> </w:t>
      </w:r>
      <w:r>
        <w:rPr/>
        <w:t>the</w:t>
      </w:r>
      <w:r>
        <w:rPr>
          <w:spacing w:val="-5"/>
        </w:rPr>
        <w:t> </w:t>
      </w:r>
      <w:r>
        <w:rPr/>
        <w:t>UR</w:t>
      </w:r>
      <w:r>
        <w:rPr>
          <w:spacing w:val="-6"/>
        </w:rPr>
        <w:t> </w:t>
      </w:r>
      <w:r>
        <w:rPr/>
        <w:t>land</w:t>
      </w:r>
      <w:r>
        <w:rPr>
          <w:spacing w:val="-6"/>
        </w:rPr>
        <w:t> </w:t>
      </w:r>
      <w:r>
        <w:rPr/>
        <w:t>use</w:t>
      </w:r>
      <w:r>
        <w:rPr>
          <w:spacing w:val="-5"/>
        </w:rPr>
        <w:t> </w:t>
      </w:r>
      <w:r>
        <w:rPr/>
        <w:t>to</w:t>
      </w:r>
    </w:p>
    <w:p>
      <w:pPr>
        <w:spacing w:after="0"/>
        <w:jc w:val="both"/>
        <w:sectPr>
          <w:pgSz w:w="12240" w:h="15840"/>
          <w:pgMar w:header="0" w:footer="1132" w:top="1360" w:bottom="1320" w:left="1300" w:right="1100"/>
        </w:sectPr>
      </w:pPr>
    </w:p>
    <w:p>
      <w:pPr>
        <w:pStyle w:val="BodyText"/>
        <w:spacing w:before="80"/>
        <w:ind w:left="140" w:right="335"/>
        <w:jc w:val="both"/>
      </w:pPr>
      <w:r>
        <w:rPr/>
        <w:t>provide for a disbursed pattern of development that recognizes and protects both culturally and environmentally sensitive areas.</w:t>
      </w:r>
    </w:p>
    <w:p>
      <w:pPr>
        <w:pStyle w:val="BodyText"/>
        <w:spacing w:before="120"/>
        <w:ind w:left="140" w:right="334"/>
        <w:jc w:val="both"/>
      </w:pPr>
      <w:r>
        <w:rPr>
          <w:b/>
        </w:rPr>
        <w:t>Developed</w:t>
      </w:r>
      <w:r>
        <w:rPr>
          <w:b/>
          <w:spacing w:val="-10"/>
        </w:rPr>
        <w:t> </w:t>
      </w:r>
      <w:r>
        <w:rPr>
          <w:b/>
        </w:rPr>
        <w:t>Open</w:t>
      </w:r>
      <w:r>
        <w:rPr>
          <w:b/>
          <w:spacing w:val="-9"/>
        </w:rPr>
        <w:t> </w:t>
      </w:r>
      <w:r>
        <w:rPr>
          <w:b/>
        </w:rPr>
        <w:t>Space</w:t>
      </w:r>
      <w:r>
        <w:rPr>
          <w:b/>
          <w:spacing w:val="-10"/>
        </w:rPr>
        <w:t> </w:t>
      </w:r>
      <w:r>
        <w:rPr>
          <w:b/>
        </w:rPr>
        <w:t>(DOS)</w:t>
      </w:r>
      <w:r>
        <w:rPr>
          <w:b/>
          <w:spacing w:val="-10"/>
        </w:rPr>
        <w:t> </w:t>
      </w:r>
      <w:r>
        <w:rPr/>
        <w:t>-</w:t>
      </w:r>
      <w:r>
        <w:rPr>
          <w:spacing w:val="-11"/>
        </w:rPr>
        <w:t> </w:t>
      </w:r>
      <w:r>
        <w:rPr/>
        <w:t>This</w:t>
      </w:r>
      <w:r>
        <w:rPr>
          <w:spacing w:val="-9"/>
        </w:rPr>
        <w:t> </w:t>
      </w:r>
      <w:r>
        <w:rPr/>
        <w:t>category</w:t>
      </w:r>
      <w:r>
        <w:rPr>
          <w:spacing w:val="-12"/>
        </w:rPr>
        <w:t> </w:t>
      </w:r>
      <w:r>
        <w:rPr/>
        <w:t>includes</w:t>
      </w:r>
      <w:r>
        <w:rPr>
          <w:spacing w:val="-11"/>
        </w:rPr>
        <w:t> </w:t>
      </w:r>
      <w:r>
        <w:rPr/>
        <w:t>golf</w:t>
      </w:r>
      <w:r>
        <w:rPr>
          <w:spacing w:val="-11"/>
        </w:rPr>
        <w:t> </w:t>
      </w:r>
      <w:r>
        <w:rPr/>
        <w:t>courses,</w:t>
      </w:r>
      <w:r>
        <w:rPr>
          <w:spacing w:val="-12"/>
        </w:rPr>
        <w:t> </w:t>
      </w:r>
      <w:r>
        <w:rPr/>
        <w:t>federal</w:t>
      </w:r>
      <w:r>
        <w:rPr>
          <w:spacing w:val="-10"/>
        </w:rPr>
        <w:t> </w:t>
      </w:r>
      <w:r>
        <w:rPr/>
        <w:t>power</w:t>
      </w:r>
      <w:r>
        <w:rPr>
          <w:spacing w:val="-9"/>
        </w:rPr>
        <w:t> </w:t>
      </w:r>
      <w:r>
        <w:rPr/>
        <w:t>transmission</w:t>
      </w:r>
      <w:r>
        <w:rPr>
          <w:spacing w:val="-13"/>
        </w:rPr>
        <w:t> </w:t>
      </w:r>
      <w:r>
        <w:rPr/>
        <w:t>and irrigation wasteway easements, private open space, riverfront parks, undeveloped parks, and parks intended for long-term open</w:t>
      </w:r>
      <w:r>
        <w:rPr>
          <w:spacing w:val="-5"/>
        </w:rPr>
        <w:t> </w:t>
      </w:r>
      <w:r>
        <w:rPr/>
        <w:t>space.</w:t>
      </w:r>
    </w:p>
    <w:p>
      <w:pPr>
        <w:pStyle w:val="BodyText"/>
        <w:spacing w:before="119"/>
        <w:ind w:left="139" w:right="334"/>
        <w:jc w:val="both"/>
      </w:pPr>
      <w:r>
        <w:rPr>
          <w:b/>
        </w:rPr>
        <w:t>Natural Open Space (NOS) </w:t>
      </w:r>
      <w:r>
        <w:rPr/>
        <w:t>- The Natural Open Space category includes public lands intended to remain</w:t>
      </w:r>
      <w:r>
        <w:rPr>
          <w:spacing w:val="-16"/>
        </w:rPr>
        <w:t> </w:t>
      </w:r>
      <w:r>
        <w:rPr/>
        <w:t>as</w:t>
      </w:r>
      <w:r>
        <w:rPr>
          <w:spacing w:val="-13"/>
        </w:rPr>
        <w:t> </w:t>
      </w:r>
      <w:r>
        <w:rPr/>
        <w:t>long-term</w:t>
      </w:r>
      <w:r>
        <w:rPr>
          <w:spacing w:val="-13"/>
        </w:rPr>
        <w:t> </w:t>
      </w:r>
      <w:r>
        <w:rPr/>
        <w:t>undeveloped</w:t>
      </w:r>
      <w:r>
        <w:rPr>
          <w:spacing w:val="-14"/>
        </w:rPr>
        <w:t> </w:t>
      </w:r>
      <w:r>
        <w:rPr/>
        <w:t>open</w:t>
      </w:r>
      <w:r>
        <w:rPr>
          <w:spacing w:val="-15"/>
        </w:rPr>
        <w:t> </w:t>
      </w:r>
      <w:r>
        <w:rPr/>
        <w:t>space</w:t>
      </w:r>
      <w:r>
        <w:rPr>
          <w:spacing w:val="-15"/>
        </w:rPr>
        <w:t> </w:t>
      </w:r>
      <w:r>
        <w:rPr/>
        <w:t>with</w:t>
      </w:r>
      <w:r>
        <w:rPr>
          <w:spacing w:val="-13"/>
        </w:rPr>
        <w:t> </w:t>
      </w:r>
      <w:r>
        <w:rPr/>
        <w:t>appropriate</w:t>
      </w:r>
      <w:r>
        <w:rPr>
          <w:spacing w:val="-14"/>
        </w:rPr>
        <w:t> </w:t>
      </w:r>
      <w:r>
        <w:rPr/>
        <w:t>public</w:t>
      </w:r>
      <w:r>
        <w:rPr>
          <w:spacing w:val="-13"/>
        </w:rPr>
        <w:t> </w:t>
      </w:r>
      <w:r>
        <w:rPr/>
        <w:t>access.</w:t>
      </w:r>
      <w:r>
        <w:rPr>
          <w:spacing w:val="-16"/>
        </w:rPr>
        <w:t> </w:t>
      </w:r>
      <w:r>
        <w:rPr/>
        <w:t>This</w:t>
      </w:r>
      <w:r>
        <w:rPr>
          <w:spacing w:val="-13"/>
        </w:rPr>
        <w:t> </w:t>
      </w:r>
      <w:r>
        <w:rPr/>
        <w:t>category</w:t>
      </w:r>
      <w:r>
        <w:rPr>
          <w:spacing w:val="-16"/>
        </w:rPr>
        <w:t> </w:t>
      </w:r>
      <w:r>
        <w:rPr/>
        <w:t>primarily includes, for example, lands associated with the Yakima River floodplain, islands in the Columbia River,</w:t>
      </w:r>
      <w:r>
        <w:rPr>
          <w:spacing w:val="-14"/>
        </w:rPr>
        <w:t> </w:t>
      </w:r>
      <w:r>
        <w:rPr/>
        <w:t>steeply</w:t>
      </w:r>
      <w:r>
        <w:rPr>
          <w:spacing w:val="-15"/>
        </w:rPr>
        <w:t> </w:t>
      </w:r>
      <w:r>
        <w:rPr/>
        <w:t>sloped</w:t>
      </w:r>
      <w:r>
        <w:rPr>
          <w:spacing w:val="-14"/>
        </w:rPr>
        <w:t> </w:t>
      </w:r>
      <w:r>
        <w:rPr/>
        <w:t>areas,</w:t>
      </w:r>
      <w:r>
        <w:rPr>
          <w:spacing w:val="-14"/>
        </w:rPr>
        <w:t> </w:t>
      </w:r>
      <w:r>
        <w:rPr/>
        <w:t>sensitive</w:t>
      </w:r>
      <w:r>
        <w:rPr>
          <w:spacing w:val="-14"/>
        </w:rPr>
        <w:t> </w:t>
      </w:r>
      <w:r>
        <w:rPr/>
        <w:t>areas</w:t>
      </w:r>
      <w:r>
        <w:rPr>
          <w:spacing w:val="-13"/>
        </w:rPr>
        <w:t> </w:t>
      </w:r>
      <w:r>
        <w:rPr/>
        <w:t>along</w:t>
      </w:r>
      <w:r>
        <w:rPr>
          <w:spacing w:val="-13"/>
        </w:rPr>
        <w:t> </w:t>
      </w:r>
      <w:r>
        <w:rPr/>
        <w:t>the</w:t>
      </w:r>
      <w:r>
        <w:rPr>
          <w:spacing w:val="-16"/>
        </w:rPr>
        <w:t> </w:t>
      </w:r>
      <w:r>
        <w:rPr/>
        <w:t>Amon</w:t>
      </w:r>
      <w:r>
        <w:rPr>
          <w:spacing w:val="-15"/>
        </w:rPr>
        <w:t> </w:t>
      </w:r>
      <w:r>
        <w:rPr/>
        <w:t>Basin,</w:t>
      </w:r>
      <w:r>
        <w:rPr>
          <w:spacing w:val="-14"/>
        </w:rPr>
        <w:t> </w:t>
      </w:r>
      <w:r>
        <w:rPr/>
        <w:t>and</w:t>
      </w:r>
      <w:r>
        <w:rPr>
          <w:spacing w:val="-13"/>
        </w:rPr>
        <w:t> </w:t>
      </w:r>
      <w:r>
        <w:rPr/>
        <w:t>other</w:t>
      </w:r>
      <w:r>
        <w:rPr>
          <w:spacing w:val="-14"/>
        </w:rPr>
        <w:t> </w:t>
      </w:r>
      <w:r>
        <w:rPr/>
        <w:t>designated</w:t>
      </w:r>
      <w:r>
        <w:rPr>
          <w:spacing w:val="-14"/>
        </w:rPr>
        <w:t> </w:t>
      </w:r>
      <w:r>
        <w:rPr/>
        <w:t>areas.</w:t>
      </w:r>
      <w:r>
        <w:rPr>
          <w:spacing w:val="-14"/>
        </w:rPr>
        <w:t> </w:t>
      </w:r>
      <w:r>
        <w:rPr/>
        <w:t>Natural Open</w:t>
      </w:r>
      <w:r>
        <w:rPr>
          <w:spacing w:val="-5"/>
        </w:rPr>
        <w:t> </w:t>
      </w:r>
      <w:r>
        <w:rPr/>
        <w:t>Space</w:t>
      </w:r>
      <w:r>
        <w:rPr>
          <w:spacing w:val="-4"/>
        </w:rPr>
        <w:t> </w:t>
      </w:r>
      <w:r>
        <w:rPr/>
        <w:t>lands</w:t>
      </w:r>
      <w:r>
        <w:rPr>
          <w:spacing w:val="-3"/>
        </w:rPr>
        <w:t> </w:t>
      </w:r>
      <w:r>
        <w:rPr/>
        <w:t>are</w:t>
      </w:r>
      <w:r>
        <w:rPr>
          <w:spacing w:val="-6"/>
        </w:rPr>
        <w:t> </w:t>
      </w:r>
      <w:r>
        <w:rPr/>
        <w:t>managed</w:t>
      </w:r>
      <w:r>
        <w:rPr>
          <w:spacing w:val="-7"/>
        </w:rPr>
        <w:t> </w:t>
      </w:r>
      <w:r>
        <w:rPr/>
        <w:t>as</w:t>
      </w:r>
      <w:r>
        <w:rPr>
          <w:spacing w:val="-3"/>
        </w:rPr>
        <w:t> </w:t>
      </w:r>
      <w:r>
        <w:rPr/>
        <w:t>natural</w:t>
      </w:r>
      <w:r>
        <w:rPr>
          <w:spacing w:val="-3"/>
        </w:rPr>
        <w:t> </w:t>
      </w:r>
      <w:r>
        <w:rPr/>
        <w:t>areas</w:t>
      </w:r>
      <w:r>
        <w:rPr>
          <w:spacing w:val="-6"/>
        </w:rPr>
        <w:t> </w:t>
      </w:r>
      <w:r>
        <w:rPr/>
        <w:t>and</w:t>
      </w:r>
      <w:r>
        <w:rPr>
          <w:spacing w:val="-7"/>
        </w:rPr>
        <w:t> </w:t>
      </w:r>
      <w:r>
        <w:rPr/>
        <w:t>may</w:t>
      </w:r>
      <w:r>
        <w:rPr>
          <w:spacing w:val="-5"/>
        </w:rPr>
        <w:t> </w:t>
      </w:r>
      <w:r>
        <w:rPr/>
        <w:t>include</w:t>
      </w:r>
      <w:r>
        <w:rPr>
          <w:spacing w:val="-4"/>
        </w:rPr>
        <w:t> </w:t>
      </w:r>
      <w:r>
        <w:rPr/>
        <w:t>riparian</w:t>
      </w:r>
      <w:r>
        <w:rPr>
          <w:spacing w:val="-8"/>
        </w:rPr>
        <w:t> </w:t>
      </w:r>
      <w:r>
        <w:rPr/>
        <w:t>corridors</w:t>
      </w:r>
      <w:r>
        <w:rPr>
          <w:spacing w:val="-2"/>
        </w:rPr>
        <w:t> </w:t>
      </w:r>
      <w:r>
        <w:rPr/>
        <w:t>along</w:t>
      </w:r>
      <w:r>
        <w:rPr>
          <w:spacing w:val="-5"/>
        </w:rPr>
        <w:t> </w:t>
      </w:r>
      <w:r>
        <w:rPr/>
        <w:t>creeks</w:t>
      </w:r>
      <w:r>
        <w:rPr>
          <w:spacing w:val="-3"/>
        </w:rPr>
        <w:t> </w:t>
      </w:r>
      <w:r>
        <w:rPr/>
        <w:t>and rivers, wetlands, shrub-steppe, open ridges, and</w:t>
      </w:r>
      <w:r>
        <w:rPr>
          <w:spacing w:val="-10"/>
        </w:rPr>
        <w:t> </w:t>
      </w:r>
      <w:r>
        <w:rPr/>
        <w:t>hillsides.</w:t>
      </w:r>
    </w:p>
    <w:p>
      <w:pPr>
        <w:pStyle w:val="BodyText"/>
        <w:spacing w:before="120"/>
        <w:ind w:left="140" w:right="335" w:hanging="1"/>
        <w:jc w:val="both"/>
      </w:pPr>
      <w:r>
        <w:rPr>
          <w:b/>
        </w:rPr>
        <w:t>Mineral</w:t>
      </w:r>
      <w:r>
        <w:rPr>
          <w:b/>
          <w:spacing w:val="-9"/>
        </w:rPr>
        <w:t> </w:t>
      </w:r>
      <w:r>
        <w:rPr>
          <w:b/>
        </w:rPr>
        <w:t>Resource</w:t>
      </w:r>
      <w:r>
        <w:rPr>
          <w:b/>
          <w:spacing w:val="-10"/>
        </w:rPr>
        <w:t> </w:t>
      </w:r>
      <w:r>
        <w:rPr>
          <w:b/>
        </w:rPr>
        <w:t>(MRL)</w:t>
      </w:r>
      <w:r>
        <w:rPr>
          <w:b/>
          <w:spacing w:val="-8"/>
        </w:rPr>
        <w:t> </w:t>
      </w:r>
      <w:r>
        <w:rPr/>
        <w:t>-</w:t>
      </w:r>
      <w:r>
        <w:rPr>
          <w:spacing w:val="-9"/>
        </w:rPr>
        <w:t> </w:t>
      </w:r>
      <w:r>
        <w:rPr/>
        <w:t>This</w:t>
      </w:r>
      <w:r>
        <w:rPr>
          <w:spacing w:val="-8"/>
        </w:rPr>
        <w:t> </w:t>
      </w:r>
      <w:r>
        <w:rPr/>
        <w:t>classification</w:t>
      </w:r>
      <w:r>
        <w:rPr>
          <w:spacing w:val="-9"/>
        </w:rPr>
        <w:t> </w:t>
      </w:r>
      <w:r>
        <w:rPr/>
        <w:t>includes</w:t>
      </w:r>
      <w:r>
        <w:rPr>
          <w:spacing w:val="-6"/>
        </w:rPr>
        <w:t> </w:t>
      </w:r>
      <w:r>
        <w:rPr/>
        <w:t>lands</w:t>
      </w:r>
      <w:r>
        <w:rPr>
          <w:spacing w:val="-8"/>
        </w:rPr>
        <w:t> </w:t>
      </w:r>
      <w:r>
        <w:rPr/>
        <w:t>that</w:t>
      </w:r>
      <w:r>
        <w:rPr>
          <w:spacing w:val="-10"/>
        </w:rPr>
        <w:t> </w:t>
      </w:r>
      <w:r>
        <w:rPr/>
        <w:t>have</w:t>
      </w:r>
      <w:r>
        <w:rPr>
          <w:spacing w:val="-9"/>
        </w:rPr>
        <w:t> </w:t>
      </w:r>
      <w:r>
        <w:rPr/>
        <w:t>long-term</w:t>
      </w:r>
      <w:r>
        <w:rPr>
          <w:spacing w:val="-9"/>
        </w:rPr>
        <w:t> </w:t>
      </w:r>
      <w:r>
        <w:rPr/>
        <w:t>significance</w:t>
      </w:r>
      <w:r>
        <w:rPr>
          <w:spacing w:val="-6"/>
        </w:rPr>
        <w:t> </w:t>
      </w:r>
      <w:r>
        <w:rPr/>
        <w:t>for</w:t>
      </w:r>
      <w:r>
        <w:rPr>
          <w:spacing w:val="-8"/>
        </w:rPr>
        <w:t> </w:t>
      </w:r>
      <w:r>
        <w:rPr/>
        <w:t>the extraction of minerals on a commercially-viable basis and are not already compromised by on-site, immediate,</w:t>
      </w:r>
      <w:r>
        <w:rPr>
          <w:spacing w:val="-10"/>
        </w:rPr>
        <w:t> </w:t>
      </w:r>
      <w:r>
        <w:rPr/>
        <w:t>or</w:t>
      </w:r>
      <w:r>
        <w:rPr>
          <w:spacing w:val="-12"/>
        </w:rPr>
        <w:t> </w:t>
      </w:r>
      <w:r>
        <w:rPr/>
        <w:t>adjacent</w:t>
      </w:r>
      <w:r>
        <w:rPr>
          <w:spacing w:val="-10"/>
        </w:rPr>
        <w:t> </w:t>
      </w:r>
      <w:r>
        <w:rPr/>
        <w:t>urban</w:t>
      </w:r>
      <w:r>
        <w:rPr>
          <w:spacing w:val="-10"/>
        </w:rPr>
        <w:t> </w:t>
      </w:r>
      <w:r>
        <w:rPr/>
        <w:t>growth.</w:t>
      </w:r>
      <w:r>
        <w:rPr>
          <w:spacing w:val="-9"/>
        </w:rPr>
        <w:t> </w:t>
      </w:r>
      <w:r>
        <w:rPr/>
        <w:t>Mineral</w:t>
      </w:r>
      <w:r>
        <w:rPr>
          <w:spacing w:val="-12"/>
        </w:rPr>
        <w:t> </w:t>
      </w:r>
      <w:r>
        <w:rPr/>
        <w:t>Resource</w:t>
      </w:r>
      <w:r>
        <w:rPr>
          <w:spacing w:val="-11"/>
        </w:rPr>
        <w:t> </w:t>
      </w:r>
      <w:r>
        <w:rPr/>
        <w:t>designation</w:t>
      </w:r>
      <w:r>
        <w:rPr>
          <w:spacing w:val="-12"/>
        </w:rPr>
        <w:t> </w:t>
      </w:r>
      <w:r>
        <w:rPr/>
        <w:t>must</w:t>
      </w:r>
      <w:r>
        <w:rPr>
          <w:spacing w:val="-10"/>
        </w:rPr>
        <w:t> </w:t>
      </w:r>
      <w:r>
        <w:rPr/>
        <w:t>be</w:t>
      </w:r>
      <w:r>
        <w:rPr>
          <w:spacing w:val="-11"/>
        </w:rPr>
        <w:t> </w:t>
      </w:r>
      <w:r>
        <w:rPr/>
        <w:t>requested</w:t>
      </w:r>
      <w:r>
        <w:rPr>
          <w:spacing w:val="-9"/>
        </w:rPr>
        <w:t> </w:t>
      </w:r>
      <w:r>
        <w:rPr/>
        <w:t>by</w:t>
      </w:r>
      <w:r>
        <w:rPr>
          <w:spacing w:val="-11"/>
        </w:rPr>
        <w:t> </w:t>
      </w:r>
      <w:r>
        <w:rPr/>
        <w:t>the</w:t>
      </w:r>
      <w:r>
        <w:rPr>
          <w:spacing w:val="-9"/>
        </w:rPr>
        <w:t> </w:t>
      </w:r>
      <w:r>
        <w:rPr/>
        <w:t>owner of the property and/or of the mineral rights, or her/his designated</w:t>
      </w:r>
      <w:r>
        <w:rPr>
          <w:spacing w:val="-16"/>
        </w:rPr>
        <w:t> </w:t>
      </w:r>
      <w:r>
        <w:rPr/>
        <w:t>agent.</w:t>
      </w:r>
    </w:p>
    <w:p>
      <w:pPr>
        <w:pStyle w:val="BodyText"/>
        <w:spacing w:before="121"/>
        <w:ind w:left="140" w:right="335"/>
        <w:jc w:val="both"/>
      </w:pPr>
      <w:r>
        <w:rPr>
          <w:b/>
        </w:rPr>
        <w:t>Urban Reserve (UR) </w:t>
      </w:r>
      <w:r>
        <w:rPr/>
        <w:t>- The Urban Reserve designation is assigned to lands that are to be held in reserve during the 20-year planning period of the comprehensive plan. A significant amount of the land</w:t>
      </w:r>
      <w:r>
        <w:rPr>
          <w:spacing w:val="-2"/>
        </w:rPr>
        <w:t> </w:t>
      </w:r>
      <w:r>
        <w:rPr/>
        <w:t>in</w:t>
      </w:r>
      <w:r>
        <w:rPr>
          <w:spacing w:val="-2"/>
        </w:rPr>
        <w:t> </w:t>
      </w:r>
      <w:r>
        <w:rPr/>
        <w:t>this designation</w:t>
      </w:r>
      <w:r>
        <w:rPr>
          <w:spacing w:val="-5"/>
        </w:rPr>
        <w:t> </w:t>
      </w:r>
      <w:r>
        <w:rPr/>
        <w:t>is</w:t>
      </w:r>
      <w:r>
        <w:rPr>
          <w:spacing w:val="-5"/>
        </w:rPr>
        <w:t> </w:t>
      </w:r>
      <w:r>
        <w:rPr/>
        <w:t>in</w:t>
      </w:r>
      <w:r>
        <w:rPr>
          <w:spacing w:val="-2"/>
        </w:rPr>
        <w:t> </w:t>
      </w:r>
      <w:r>
        <w:rPr/>
        <w:t>agricultural</w:t>
      </w:r>
      <w:r>
        <w:rPr>
          <w:spacing w:val="-1"/>
        </w:rPr>
        <w:t> </w:t>
      </w:r>
      <w:r>
        <w:rPr/>
        <w:t>use.</w:t>
      </w:r>
      <w:r>
        <w:rPr>
          <w:spacing w:val="-4"/>
        </w:rPr>
        <w:t> </w:t>
      </w:r>
      <w:r>
        <w:rPr/>
        <w:t>Uses</w:t>
      </w:r>
      <w:r>
        <w:rPr>
          <w:spacing w:val="-2"/>
        </w:rPr>
        <w:t> </w:t>
      </w:r>
      <w:r>
        <w:rPr/>
        <w:t>of</w:t>
      </w:r>
      <w:r>
        <w:rPr>
          <w:spacing w:val="-1"/>
        </w:rPr>
        <w:t> </w:t>
      </w:r>
      <w:r>
        <w:rPr/>
        <w:t>land</w:t>
      </w:r>
      <w:r>
        <w:rPr>
          <w:spacing w:val="-2"/>
        </w:rPr>
        <w:t> </w:t>
      </w:r>
      <w:r>
        <w:rPr/>
        <w:t>designated</w:t>
      </w:r>
      <w:r>
        <w:rPr>
          <w:spacing w:val="-3"/>
        </w:rPr>
        <w:t> </w:t>
      </w:r>
      <w:r>
        <w:rPr/>
        <w:t>Urban</w:t>
      </w:r>
      <w:r>
        <w:rPr>
          <w:spacing w:val="-2"/>
        </w:rPr>
        <w:t> </w:t>
      </w:r>
      <w:r>
        <w:rPr/>
        <w:t>Reserve</w:t>
      </w:r>
      <w:r>
        <w:rPr>
          <w:spacing w:val="-3"/>
        </w:rPr>
        <w:t> </w:t>
      </w:r>
      <w:r>
        <w:rPr/>
        <w:t>are</w:t>
      </w:r>
      <w:r>
        <w:rPr>
          <w:spacing w:val="-4"/>
        </w:rPr>
        <w:t> </w:t>
      </w:r>
      <w:r>
        <w:rPr/>
        <w:t>intended</w:t>
      </w:r>
      <w:r>
        <w:rPr>
          <w:spacing w:val="-1"/>
        </w:rPr>
        <w:t> </w:t>
      </w:r>
      <w:r>
        <w:rPr/>
        <w:t>to be</w:t>
      </w:r>
      <w:r>
        <w:rPr>
          <w:spacing w:val="-9"/>
        </w:rPr>
        <w:t> </w:t>
      </w:r>
      <w:r>
        <w:rPr/>
        <w:t>temporary</w:t>
      </w:r>
      <w:r>
        <w:rPr>
          <w:spacing w:val="-9"/>
        </w:rPr>
        <w:t> </w:t>
      </w:r>
      <w:r>
        <w:rPr/>
        <w:t>to</w:t>
      </w:r>
      <w:r>
        <w:rPr>
          <w:spacing w:val="-9"/>
        </w:rPr>
        <w:t> </w:t>
      </w:r>
      <w:r>
        <w:rPr/>
        <w:t>provide</w:t>
      </w:r>
      <w:r>
        <w:rPr>
          <w:spacing w:val="-8"/>
        </w:rPr>
        <w:t> </w:t>
      </w:r>
      <w:r>
        <w:rPr/>
        <w:t>the</w:t>
      </w:r>
      <w:r>
        <w:rPr>
          <w:spacing w:val="-8"/>
        </w:rPr>
        <w:t> </w:t>
      </w:r>
      <w:r>
        <w:rPr/>
        <w:t>City</w:t>
      </w:r>
      <w:r>
        <w:rPr>
          <w:spacing w:val="-10"/>
        </w:rPr>
        <w:t> </w:t>
      </w:r>
      <w:r>
        <w:rPr/>
        <w:t>a</w:t>
      </w:r>
      <w:r>
        <w:rPr>
          <w:spacing w:val="-8"/>
        </w:rPr>
        <w:t> </w:t>
      </w:r>
      <w:r>
        <w:rPr/>
        <w:t>basis</w:t>
      </w:r>
      <w:r>
        <w:rPr>
          <w:spacing w:val="-7"/>
        </w:rPr>
        <w:t> </w:t>
      </w:r>
      <w:r>
        <w:rPr/>
        <w:t>to</w:t>
      </w:r>
      <w:r>
        <w:rPr>
          <w:spacing w:val="-9"/>
        </w:rPr>
        <w:t> </w:t>
      </w:r>
      <w:r>
        <w:rPr/>
        <w:t>evaluate</w:t>
      </w:r>
      <w:r>
        <w:rPr>
          <w:spacing w:val="-10"/>
        </w:rPr>
        <w:t> </w:t>
      </w:r>
      <w:r>
        <w:rPr/>
        <w:t>future</w:t>
      </w:r>
      <w:r>
        <w:rPr>
          <w:spacing w:val="-8"/>
        </w:rPr>
        <w:t> </w:t>
      </w:r>
      <w:r>
        <w:rPr/>
        <w:t>needs</w:t>
      </w:r>
      <w:r>
        <w:rPr>
          <w:spacing w:val="-8"/>
        </w:rPr>
        <w:t> </w:t>
      </w:r>
      <w:r>
        <w:rPr/>
        <w:t>for</w:t>
      </w:r>
      <w:r>
        <w:rPr>
          <w:spacing w:val="-8"/>
        </w:rPr>
        <w:t> </w:t>
      </w:r>
      <w:r>
        <w:rPr/>
        <w:t>additional</w:t>
      </w:r>
      <w:r>
        <w:rPr>
          <w:spacing w:val="-8"/>
        </w:rPr>
        <w:t> </w:t>
      </w:r>
      <w:r>
        <w:rPr/>
        <w:t>land</w:t>
      </w:r>
      <w:r>
        <w:rPr>
          <w:spacing w:val="-9"/>
        </w:rPr>
        <w:t> </w:t>
      </w:r>
      <w:r>
        <w:rPr/>
        <w:t>in</w:t>
      </w:r>
      <w:r>
        <w:rPr>
          <w:spacing w:val="-9"/>
        </w:rPr>
        <w:t> </w:t>
      </w:r>
      <w:r>
        <w:rPr/>
        <w:t>other</w:t>
      </w:r>
      <w:r>
        <w:rPr>
          <w:spacing w:val="-8"/>
        </w:rPr>
        <w:t> </w:t>
      </w:r>
      <w:r>
        <w:rPr/>
        <w:t>land</w:t>
      </w:r>
      <w:r>
        <w:rPr>
          <w:spacing w:val="-9"/>
        </w:rPr>
        <w:t> </w:t>
      </w:r>
      <w:r>
        <w:rPr/>
        <w:t>use designations.</w:t>
      </w:r>
    </w:p>
    <w:p>
      <w:pPr>
        <w:pStyle w:val="BodyText"/>
        <w:spacing w:before="119"/>
        <w:ind w:left="140"/>
        <w:jc w:val="both"/>
      </w:pPr>
      <w:r>
        <w:rPr/>
        <w:t>Table LU-1 indicates the land use distribution within the City and in the UGA.</w:t>
      </w:r>
    </w:p>
    <w:p>
      <w:pPr>
        <w:spacing w:after="0"/>
        <w:jc w:val="both"/>
        <w:sectPr>
          <w:pgSz w:w="12240" w:h="15840"/>
          <w:pgMar w:header="0" w:footer="1132" w:top="1360" w:bottom="1320" w:left="1300" w:right="1100"/>
        </w:sectPr>
      </w:pPr>
    </w:p>
    <w:p>
      <w:pPr>
        <w:spacing w:before="79"/>
        <w:ind w:left="355" w:right="0" w:firstLine="0"/>
        <w:jc w:val="left"/>
        <w:rPr>
          <w:rFonts w:ascii="Arial"/>
          <w:b/>
          <w:sz w:val="20"/>
        </w:rPr>
      </w:pPr>
      <w:r>
        <w:rPr>
          <w:rFonts w:ascii="Arial"/>
          <w:b/>
          <w:sz w:val="20"/>
        </w:rPr>
        <w:t>Table LU-1: Existing Land Use Acreage</w:t>
      </w:r>
    </w:p>
    <w:p>
      <w:pPr>
        <w:pStyle w:val="BodyText"/>
        <w:spacing w:before="6"/>
        <w:rPr>
          <w:rFonts w:ascii="Arial"/>
          <w:b/>
          <w:sz w:val="10"/>
        </w:rPr>
      </w:pPr>
    </w:p>
    <w:tbl>
      <w:tblPr>
        <w:tblW w:w="0" w:type="auto"/>
        <w:jc w:val="left"/>
        <w:tblInd w:w="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87"/>
        <w:gridCol w:w="1577"/>
        <w:gridCol w:w="1687"/>
        <w:gridCol w:w="1668"/>
        <w:gridCol w:w="1433"/>
      </w:tblGrid>
      <w:tr>
        <w:trPr>
          <w:trHeight w:val="806" w:hRule="atLeast"/>
        </w:trPr>
        <w:tc>
          <w:tcPr>
            <w:tcW w:w="2887" w:type="dxa"/>
            <w:shd w:val="clear" w:color="auto" w:fill="B8CCE3"/>
          </w:tcPr>
          <w:p>
            <w:pPr>
              <w:pStyle w:val="TableParagraph"/>
              <w:spacing w:before="119"/>
              <w:rPr>
                <w:b/>
                <w:sz w:val="22"/>
              </w:rPr>
            </w:pPr>
            <w:r>
              <w:rPr>
                <w:b/>
                <w:sz w:val="22"/>
              </w:rPr>
              <w:t>Land Use Designation</w:t>
            </w:r>
          </w:p>
        </w:tc>
        <w:tc>
          <w:tcPr>
            <w:tcW w:w="1577" w:type="dxa"/>
            <w:shd w:val="clear" w:color="auto" w:fill="B8CCE3"/>
          </w:tcPr>
          <w:p>
            <w:pPr>
              <w:pStyle w:val="TableParagraph"/>
              <w:spacing w:line="264" w:lineRule="auto" w:before="119"/>
              <w:ind w:left="108" w:right="361"/>
              <w:rPr>
                <w:b/>
                <w:sz w:val="22"/>
              </w:rPr>
            </w:pPr>
            <w:r>
              <w:rPr>
                <w:b/>
                <w:sz w:val="22"/>
              </w:rPr>
              <w:t>City Limits (acres)</w:t>
            </w:r>
          </w:p>
        </w:tc>
        <w:tc>
          <w:tcPr>
            <w:tcW w:w="1687" w:type="dxa"/>
            <w:shd w:val="clear" w:color="auto" w:fill="B8CCE3"/>
          </w:tcPr>
          <w:p>
            <w:pPr>
              <w:pStyle w:val="TableParagraph"/>
              <w:spacing w:line="264" w:lineRule="auto" w:before="119"/>
              <w:ind w:right="363"/>
              <w:rPr>
                <w:b/>
                <w:sz w:val="22"/>
              </w:rPr>
            </w:pPr>
            <w:r>
              <w:rPr>
                <w:b/>
                <w:sz w:val="22"/>
              </w:rPr>
              <w:t>Area within UGA(acres)</w:t>
            </w:r>
          </w:p>
        </w:tc>
        <w:tc>
          <w:tcPr>
            <w:tcW w:w="1668" w:type="dxa"/>
            <w:shd w:val="clear" w:color="auto" w:fill="B8CCE3"/>
          </w:tcPr>
          <w:p>
            <w:pPr>
              <w:pStyle w:val="TableParagraph"/>
              <w:spacing w:line="264" w:lineRule="auto" w:before="119"/>
              <w:ind w:left="105" w:right="636"/>
              <w:rPr>
                <w:b/>
                <w:sz w:val="14"/>
              </w:rPr>
            </w:pPr>
            <w:r>
              <w:rPr>
                <w:b/>
                <w:sz w:val="22"/>
              </w:rPr>
              <w:t>Total Acreage</w:t>
            </w:r>
            <w:r>
              <w:rPr>
                <w:b/>
                <w:position w:val="5"/>
                <w:sz w:val="14"/>
              </w:rPr>
              <w:t>1</w:t>
            </w:r>
          </w:p>
        </w:tc>
        <w:tc>
          <w:tcPr>
            <w:tcW w:w="1433" w:type="dxa"/>
            <w:shd w:val="clear" w:color="auto" w:fill="B8CCE3"/>
          </w:tcPr>
          <w:p>
            <w:pPr>
              <w:pStyle w:val="TableParagraph"/>
              <w:spacing w:before="119"/>
              <w:rPr>
                <w:b/>
                <w:sz w:val="22"/>
              </w:rPr>
            </w:pPr>
            <w:r>
              <w:rPr>
                <w:b/>
                <w:sz w:val="22"/>
              </w:rPr>
              <w:t>% of total</w:t>
            </w:r>
          </w:p>
        </w:tc>
      </w:tr>
      <w:tr>
        <w:trPr>
          <w:trHeight w:val="318" w:hRule="atLeast"/>
        </w:trPr>
        <w:tc>
          <w:tcPr>
            <w:tcW w:w="2887" w:type="dxa"/>
            <w:shd w:val="clear" w:color="auto" w:fill="D9D9D9"/>
          </w:tcPr>
          <w:p>
            <w:pPr>
              <w:pStyle w:val="TableParagraph"/>
              <w:spacing w:line="237" w:lineRule="exact" w:before="62"/>
              <w:rPr>
                <w:sz w:val="22"/>
              </w:rPr>
            </w:pPr>
            <w:r>
              <w:rPr>
                <w:sz w:val="22"/>
              </w:rPr>
              <w:t>Residential</w:t>
            </w:r>
          </w:p>
        </w:tc>
        <w:tc>
          <w:tcPr>
            <w:tcW w:w="1577" w:type="dxa"/>
            <w:shd w:val="clear" w:color="auto" w:fill="D9D9D9"/>
          </w:tcPr>
          <w:p>
            <w:pPr>
              <w:pStyle w:val="TableParagraph"/>
              <w:spacing w:before="0"/>
              <w:ind w:left="0"/>
              <w:rPr>
                <w:rFonts w:ascii="Times New Roman"/>
                <w:sz w:val="20"/>
              </w:rPr>
            </w:pPr>
          </w:p>
        </w:tc>
        <w:tc>
          <w:tcPr>
            <w:tcW w:w="1687" w:type="dxa"/>
            <w:shd w:val="clear" w:color="auto" w:fill="D9D9D9"/>
          </w:tcPr>
          <w:p>
            <w:pPr>
              <w:pStyle w:val="TableParagraph"/>
              <w:spacing w:before="0"/>
              <w:ind w:left="0"/>
              <w:rPr>
                <w:rFonts w:ascii="Times New Roman"/>
                <w:sz w:val="20"/>
              </w:rPr>
            </w:pPr>
          </w:p>
        </w:tc>
        <w:tc>
          <w:tcPr>
            <w:tcW w:w="1668" w:type="dxa"/>
            <w:shd w:val="clear" w:color="auto" w:fill="D9D9D9"/>
          </w:tcPr>
          <w:p>
            <w:pPr>
              <w:pStyle w:val="TableParagraph"/>
              <w:spacing w:before="0"/>
              <w:ind w:left="0"/>
              <w:rPr>
                <w:rFonts w:ascii="Times New Roman"/>
                <w:sz w:val="20"/>
              </w:rPr>
            </w:pPr>
          </w:p>
        </w:tc>
        <w:tc>
          <w:tcPr>
            <w:tcW w:w="1433" w:type="dxa"/>
            <w:shd w:val="clear" w:color="auto" w:fill="D9D9D9"/>
          </w:tcPr>
          <w:p>
            <w:pPr>
              <w:pStyle w:val="TableParagraph"/>
              <w:spacing w:before="0"/>
              <w:ind w:left="0"/>
              <w:rPr>
                <w:rFonts w:ascii="Times New Roman"/>
                <w:sz w:val="20"/>
              </w:rPr>
            </w:pPr>
          </w:p>
        </w:tc>
      </w:tr>
      <w:tr>
        <w:trPr>
          <w:trHeight w:val="328" w:hRule="atLeast"/>
        </w:trPr>
        <w:tc>
          <w:tcPr>
            <w:tcW w:w="2887" w:type="dxa"/>
          </w:tcPr>
          <w:p>
            <w:pPr>
              <w:pStyle w:val="TableParagraph"/>
              <w:spacing w:line="249" w:lineRule="exact"/>
              <w:ind w:left="0" w:right="252"/>
              <w:jc w:val="right"/>
              <w:rPr>
                <w:sz w:val="22"/>
              </w:rPr>
            </w:pPr>
            <w:r>
              <w:rPr>
                <w:sz w:val="22"/>
              </w:rPr>
              <w:t>Low Density Residential</w:t>
            </w:r>
          </w:p>
        </w:tc>
        <w:tc>
          <w:tcPr>
            <w:tcW w:w="1577" w:type="dxa"/>
          </w:tcPr>
          <w:p>
            <w:pPr>
              <w:pStyle w:val="TableParagraph"/>
              <w:spacing w:line="249" w:lineRule="exact"/>
              <w:ind w:left="108"/>
              <w:rPr>
                <w:sz w:val="22"/>
              </w:rPr>
            </w:pPr>
            <w:r>
              <w:rPr>
                <w:sz w:val="22"/>
              </w:rPr>
              <w:t>4,598</w:t>
            </w:r>
          </w:p>
        </w:tc>
        <w:tc>
          <w:tcPr>
            <w:tcW w:w="1687" w:type="dxa"/>
          </w:tcPr>
          <w:p>
            <w:pPr>
              <w:pStyle w:val="TableParagraph"/>
              <w:spacing w:line="249" w:lineRule="exact"/>
              <w:rPr>
                <w:sz w:val="22"/>
              </w:rPr>
            </w:pPr>
            <w:r>
              <w:rPr>
                <w:sz w:val="22"/>
              </w:rPr>
              <w:t>689</w:t>
            </w:r>
          </w:p>
        </w:tc>
        <w:tc>
          <w:tcPr>
            <w:tcW w:w="1668" w:type="dxa"/>
          </w:tcPr>
          <w:p>
            <w:pPr>
              <w:pStyle w:val="TableParagraph"/>
              <w:spacing w:line="249" w:lineRule="exact"/>
              <w:ind w:left="105"/>
              <w:rPr>
                <w:sz w:val="22"/>
              </w:rPr>
            </w:pPr>
            <w:r>
              <w:rPr>
                <w:sz w:val="22"/>
              </w:rPr>
              <w:t>5,287</w:t>
            </w:r>
          </w:p>
        </w:tc>
        <w:tc>
          <w:tcPr>
            <w:tcW w:w="1433" w:type="dxa"/>
          </w:tcPr>
          <w:p>
            <w:pPr>
              <w:pStyle w:val="TableParagraph"/>
              <w:spacing w:line="249" w:lineRule="exact"/>
              <w:rPr>
                <w:rFonts w:ascii="Calibri"/>
                <w:sz w:val="22"/>
              </w:rPr>
            </w:pPr>
            <w:r>
              <w:rPr>
                <w:rFonts w:ascii="Calibri"/>
                <w:sz w:val="22"/>
              </w:rPr>
              <w:t>18.15</w:t>
            </w:r>
          </w:p>
        </w:tc>
      </w:tr>
      <w:tr>
        <w:trPr>
          <w:trHeight w:val="328" w:hRule="atLeast"/>
        </w:trPr>
        <w:tc>
          <w:tcPr>
            <w:tcW w:w="2887" w:type="dxa"/>
          </w:tcPr>
          <w:p>
            <w:pPr>
              <w:pStyle w:val="TableParagraph"/>
              <w:spacing w:line="249" w:lineRule="exact"/>
              <w:ind w:left="0" w:right="201"/>
              <w:jc w:val="right"/>
              <w:rPr>
                <w:sz w:val="22"/>
              </w:rPr>
            </w:pPr>
            <w:r>
              <w:rPr>
                <w:sz w:val="22"/>
              </w:rPr>
              <w:t>Med. Density Residential</w:t>
            </w:r>
          </w:p>
        </w:tc>
        <w:tc>
          <w:tcPr>
            <w:tcW w:w="1577" w:type="dxa"/>
          </w:tcPr>
          <w:p>
            <w:pPr>
              <w:pStyle w:val="TableParagraph"/>
              <w:spacing w:line="249" w:lineRule="exact"/>
              <w:ind w:left="108"/>
              <w:rPr>
                <w:sz w:val="22"/>
              </w:rPr>
            </w:pPr>
            <w:r>
              <w:rPr>
                <w:sz w:val="22"/>
              </w:rPr>
              <w:t>1,427</w:t>
            </w:r>
          </w:p>
        </w:tc>
        <w:tc>
          <w:tcPr>
            <w:tcW w:w="1687" w:type="dxa"/>
          </w:tcPr>
          <w:p>
            <w:pPr>
              <w:pStyle w:val="TableParagraph"/>
              <w:spacing w:before="0"/>
              <w:ind w:left="0"/>
              <w:rPr>
                <w:rFonts w:ascii="Times New Roman"/>
                <w:sz w:val="20"/>
              </w:rPr>
            </w:pPr>
          </w:p>
        </w:tc>
        <w:tc>
          <w:tcPr>
            <w:tcW w:w="1668" w:type="dxa"/>
          </w:tcPr>
          <w:p>
            <w:pPr>
              <w:pStyle w:val="TableParagraph"/>
              <w:spacing w:line="244" w:lineRule="exact" w:before="64"/>
              <w:ind w:left="105"/>
              <w:rPr>
                <w:sz w:val="22"/>
              </w:rPr>
            </w:pPr>
            <w:r>
              <w:rPr>
                <w:sz w:val="22"/>
              </w:rPr>
              <w:t>1,427</w:t>
            </w:r>
          </w:p>
        </w:tc>
        <w:tc>
          <w:tcPr>
            <w:tcW w:w="1433" w:type="dxa"/>
          </w:tcPr>
          <w:p>
            <w:pPr>
              <w:pStyle w:val="TableParagraph"/>
              <w:spacing w:line="249" w:lineRule="exact"/>
              <w:rPr>
                <w:rFonts w:ascii="Calibri"/>
                <w:sz w:val="22"/>
              </w:rPr>
            </w:pPr>
            <w:r>
              <w:rPr>
                <w:rFonts w:ascii="Calibri"/>
                <w:sz w:val="22"/>
              </w:rPr>
              <w:t>4.90</w:t>
            </w:r>
          </w:p>
        </w:tc>
      </w:tr>
      <w:tr>
        <w:trPr>
          <w:trHeight w:val="328" w:hRule="atLeast"/>
        </w:trPr>
        <w:tc>
          <w:tcPr>
            <w:tcW w:w="2887" w:type="dxa"/>
          </w:tcPr>
          <w:p>
            <w:pPr>
              <w:pStyle w:val="TableParagraph"/>
              <w:spacing w:line="249" w:lineRule="exact"/>
              <w:ind w:left="0" w:right="213"/>
              <w:jc w:val="right"/>
              <w:rPr>
                <w:sz w:val="22"/>
              </w:rPr>
            </w:pPr>
            <w:r>
              <w:rPr>
                <w:sz w:val="22"/>
              </w:rPr>
              <w:t>High Density Residential</w:t>
            </w:r>
          </w:p>
        </w:tc>
        <w:tc>
          <w:tcPr>
            <w:tcW w:w="1577" w:type="dxa"/>
          </w:tcPr>
          <w:p>
            <w:pPr>
              <w:pStyle w:val="TableParagraph"/>
              <w:spacing w:line="249" w:lineRule="exact"/>
              <w:ind w:left="108"/>
              <w:rPr>
                <w:sz w:val="22"/>
              </w:rPr>
            </w:pPr>
            <w:r>
              <w:rPr>
                <w:sz w:val="22"/>
              </w:rPr>
              <w:t>530</w:t>
            </w:r>
          </w:p>
        </w:tc>
        <w:tc>
          <w:tcPr>
            <w:tcW w:w="1687" w:type="dxa"/>
          </w:tcPr>
          <w:p>
            <w:pPr>
              <w:pStyle w:val="TableParagraph"/>
              <w:spacing w:before="0"/>
              <w:ind w:left="0"/>
              <w:rPr>
                <w:rFonts w:ascii="Times New Roman"/>
                <w:sz w:val="20"/>
              </w:rPr>
            </w:pPr>
          </w:p>
        </w:tc>
        <w:tc>
          <w:tcPr>
            <w:tcW w:w="1668" w:type="dxa"/>
          </w:tcPr>
          <w:p>
            <w:pPr>
              <w:pStyle w:val="TableParagraph"/>
              <w:spacing w:line="242" w:lineRule="exact" w:before="66"/>
              <w:ind w:left="105"/>
              <w:rPr>
                <w:sz w:val="22"/>
              </w:rPr>
            </w:pPr>
            <w:r>
              <w:rPr>
                <w:sz w:val="22"/>
              </w:rPr>
              <w:t>530</w:t>
            </w:r>
          </w:p>
        </w:tc>
        <w:tc>
          <w:tcPr>
            <w:tcW w:w="1433" w:type="dxa"/>
          </w:tcPr>
          <w:p>
            <w:pPr>
              <w:pStyle w:val="TableParagraph"/>
              <w:spacing w:line="249" w:lineRule="exact"/>
              <w:ind w:left="208"/>
              <w:rPr>
                <w:rFonts w:ascii="Calibri"/>
                <w:sz w:val="22"/>
              </w:rPr>
            </w:pPr>
            <w:r>
              <w:rPr>
                <w:rFonts w:ascii="Calibri"/>
                <w:sz w:val="22"/>
              </w:rPr>
              <w:t>1.82</w:t>
            </w:r>
          </w:p>
        </w:tc>
      </w:tr>
      <w:tr>
        <w:trPr>
          <w:trHeight w:val="328" w:hRule="atLeast"/>
        </w:trPr>
        <w:tc>
          <w:tcPr>
            <w:tcW w:w="2887" w:type="dxa"/>
          </w:tcPr>
          <w:p>
            <w:pPr>
              <w:pStyle w:val="TableParagraph"/>
              <w:spacing w:line="249" w:lineRule="exact"/>
              <w:ind w:left="347"/>
              <w:rPr>
                <w:sz w:val="22"/>
              </w:rPr>
            </w:pPr>
            <w:r>
              <w:rPr>
                <w:sz w:val="22"/>
              </w:rPr>
              <w:t>Badger Mountain South</w:t>
            </w:r>
          </w:p>
        </w:tc>
        <w:tc>
          <w:tcPr>
            <w:tcW w:w="1577" w:type="dxa"/>
          </w:tcPr>
          <w:p>
            <w:pPr>
              <w:pStyle w:val="TableParagraph"/>
              <w:spacing w:line="249" w:lineRule="exact"/>
              <w:ind w:left="108"/>
              <w:rPr>
                <w:sz w:val="22"/>
              </w:rPr>
            </w:pPr>
            <w:r>
              <w:rPr>
                <w:sz w:val="22"/>
              </w:rPr>
              <w:t>1,431</w:t>
            </w:r>
          </w:p>
        </w:tc>
        <w:tc>
          <w:tcPr>
            <w:tcW w:w="1687" w:type="dxa"/>
          </w:tcPr>
          <w:p>
            <w:pPr>
              <w:pStyle w:val="TableParagraph"/>
              <w:spacing w:before="0"/>
              <w:ind w:left="0"/>
              <w:rPr>
                <w:rFonts w:ascii="Times New Roman"/>
                <w:sz w:val="20"/>
              </w:rPr>
            </w:pPr>
          </w:p>
        </w:tc>
        <w:tc>
          <w:tcPr>
            <w:tcW w:w="1668" w:type="dxa"/>
          </w:tcPr>
          <w:p>
            <w:pPr>
              <w:pStyle w:val="TableParagraph"/>
              <w:spacing w:line="242" w:lineRule="exact" w:before="66"/>
              <w:ind w:left="105"/>
              <w:rPr>
                <w:sz w:val="22"/>
              </w:rPr>
            </w:pPr>
            <w:r>
              <w:rPr>
                <w:sz w:val="22"/>
              </w:rPr>
              <w:t>1,431</w:t>
            </w:r>
          </w:p>
        </w:tc>
        <w:tc>
          <w:tcPr>
            <w:tcW w:w="1433" w:type="dxa"/>
          </w:tcPr>
          <w:p>
            <w:pPr>
              <w:pStyle w:val="TableParagraph"/>
              <w:spacing w:line="249" w:lineRule="exact"/>
              <w:ind w:left="208"/>
              <w:rPr>
                <w:rFonts w:ascii="Calibri"/>
                <w:sz w:val="22"/>
              </w:rPr>
            </w:pPr>
            <w:r>
              <w:rPr>
                <w:rFonts w:ascii="Calibri"/>
                <w:sz w:val="22"/>
              </w:rPr>
              <w:t>4.91</w:t>
            </w:r>
          </w:p>
        </w:tc>
      </w:tr>
      <w:tr>
        <w:trPr>
          <w:trHeight w:val="318" w:hRule="atLeast"/>
        </w:trPr>
        <w:tc>
          <w:tcPr>
            <w:tcW w:w="2887" w:type="dxa"/>
            <w:shd w:val="clear" w:color="auto" w:fill="D9D9D9"/>
          </w:tcPr>
          <w:p>
            <w:pPr>
              <w:pStyle w:val="TableParagraph"/>
              <w:spacing w:line="239" w:lineRule="exact"/>
              <w:rPr>
                <w:sz w:val="22"/>
              </w:rPr>
            </w:pPr>
            <w:r>
              <w:rPr>
                <w:sz w:val="22"/>
              </w:rPr>
              <w:t>Commercial</w:t>
            </w:r>
          </w:p>
        </w:tc>
        <w:tc>
          <w:tcPr>
            <w:tcW w:w="1577" w:type="dxa"/>
            <w:shd w:val="clear" w:color="auto" w:fill="D9D9D9"/>
          </w:tcPr>
          <w:p>
            <w:pPr>
              <w:pStyle w:val="TableParagraph"/>
              <w:spacing w:before="0"/>
              <w:ind w:left="0"/>
              <w:rPr>
                <w:rFonts w:ascii="Times New Roman"/>
                <w:sz w:val="20"/>
              </w:rPr>
            </w:pPr>
          </w:p>
        </w:tc>
        <w:tc>
          <w:tcPr>
            <w:tcW w:w="1687" w:type="dxa"/>
            <w:shd w:val="clear" w:color="auto" w:fill="D9D9D9"/>
          </w:tcPr>
          <w:p>
            <w:pPr>
              <w:pStyle w:val="TableParagraph"/>
              <w:spacing w:before="0"/>
              <w:ind w:left="0"/>
              <w:rPr>
                <w:rFonts w:ascii="Times New Roman"/>
                <w:sz w:val="20"/>
              </w:rPr>
            </w:pPr>
          </w:p>
        </w:tc>
        <w:tc>
          <w:tcPr>
            <w:tcW w:w="1668" w:type="dxa"/>
            <w:shd w:val="clear" w:color="auto" w:fill="D9D9D9"/>
          </w:tcPr>
          <w:p>
            <w:pPr>
              <w:pStyle w:val="TableParagraph"/>
              <w:spacing w:before="0"/>
              <w:ind w:left="0"/>
              <w:rPr>
                <w:rFonts w:ascii="Times New Roman"/>
                <w:sz w:val="20"/>
              </w:rPr>
            </w:pPr>
          </w:p>
        </w:tc>
        <w:tc>
          <w:tcPr>
            <w:tcW w:w="1433" w:type="dxa"/>
            <w:shd w:val="clear" w:color="auto" w:fill="D9D9D9"/>
          </w:tcPr>
          <w:p>
            <w:pPr>
              <w:pStyle w:val="TableParagraph"/>
              <w:spacing w:before="0"/>
              <w:ind w:left="0"/>
              <w:rPr>
                <w:rFonts w:ascii="Times New Roman"/>
                <w:sz w:val="20"/>
              </w:rPr>
            </w:pPr>
          </w:p>
        </w:tc>
      </w:tr>
      <w:tr>
        <w:trPr>
          <w:trHeight w:val="328" w:hRule="atLeast"/>
        </w:trPr>
        <w:tc>
          <w:tcPr>
            <w:tcW w:w="2887" w:type="dxa"/>
          </w:tcPr>
          <w:p>
            <w:pPr>
              <w:pStyle w:val="TableParagraph"/>
              <w:spacing w:line="249" w:lineRule="exact"/>
              <w:ind w:left="347"/>
              <w:rPr>
                <w:sz w:val="22"/>
              </w:rPr>
            </w:pPr>
            <w:r>
              <w:rPr>
                <w:sz w:val="22"/>
              </w:rPr>
              <w:t>Business Commerce</w:t>
            </w:r>
          </w:p>
        </w:tc>
        <w:tc>
          <w:tcPr>
            <w:tcW w:w="1577" w:type="dxa"/>
          </w:tcPr>
          <w:p>
            <w:pPr>
              <w:pStyle w:val="TableParagraph"/>
              <w:spacing w:line="249" w:lineRule="exact"/>
              <w:ind w:left="108"/>
              <w:rPr>
                <w:sz w:val="22"/>
              </w:rPr>
            </w:pPr>
            <w:r>
              <w:rPr>
                <w:sz w:val="22"/>
              </w:rPr>
              <w:t>28</w:t>
            </w:r>
          </w:p>
        </w:tc>
        <w:tc>
          <w:tcPr>
            <w:tcW w:w="1687" w:type="dxa"/>
          </w:tcPr>
          <w:p>
            <w:pPr>
              <w:pStyle w:val="TableParagraph"/>
              <w:spacing w:before="0"/>
              <w:ind w:left="0"/>
              <w:rPr>
                <w:rFonts w:ascii="Times New Roman"/>
                <w:sz w:val="20"/>
              </w:rPr>
            </w:pPr>
          </w:p>
        </w:tc>
        <w:tc>
          <w:tcPr>
            <w:tcW w:w="1668" w:type="dxa"/>
          </w:tcPr>
          <w:p>
            <w:pPr>
              <w:pStyle w:val="TableParagraph"/>
              <w:spacing w:line="244" w:lineRule="exact" w:before="64"/>
              <w:ind w:left="105"/>
              <w:rPr>
                <w:sz w:val="22"/>
              </w:rPr>
            </w:pPr>
            <w:r>
              <w:rPr>
                <w:sz w:val="22"/>
              </w:rPr>
              <w:t>28</w:t>
            </w:r>
          </w:p>
        </w:tc>
        <w:tc>
          <w:tcPr>
            <w:tcW w:w="1433" w:type="dxa"/>
          </w:tcPr>
          <w:p>
            <w:pPr>
              <w:pStyle w:val="TableParagraph"/>
              <w:spacing w:line="249" w:lineRule="exact"/>
              <w:ind w:left="208"/>
              <w:rPr>
                <w:rFonts w:ascii="Calibri"/>
                <w:sz w:val="22"/>
              </w:rPr>
            </w:pPr>
            <w:r>
              <w:rPr>
                <w:rFonts w:ascii="Calibri"/>
                <w:sz w:val="22"/>
              </w:rPr>
              <w:t>0.10</w:t>
            </w:r>
          </w:p>
        </w:tc>
      </w:tr>
      <w:tr>
        <w:trPr>
          <w:trHeight w:val="328" w:hRule="atLeast"/>
        </w:trPr>
        <w:tc>
          <w:tcPr>
            <w:tcW w:w="2887" w:type="dxa"/>
          </w:tcPr>
          <w:p>
            <w:pPr>
              <w:pStyle w:val="TableParagraph"/>
              <w:spacing w:line="249" w:lineRule="exact"/>
              <w:ind w:left="0" w:right="209"/>
              <w:jc w:val="right"/>
              <w:rPr>
                <w:sz w:val="22"/>
              </w:rPr>
            </w:pPr>
            <w:r>
              <w:rPr>
                <w:sz w:val="22"/>
              </w:rPr>
              <w:t>Central Business District</w:t>
            </w:r>
          </w:p>
        </w:tc>
        <w:tc>
          <w:tcPr>
            <w:tcW w:w="1577" w:type="dxa"/>
          </w:tcPr>
          <w:p>
            <w:pPr>
              <w:pStyle w:val="TableParagraph"/>
              <w:spacing w:line="249" w:lineRule="exact"/>
              <w:ind w:left="108"/>
              <w:rPr>
                <w:sz w:val="22"/>
              </w:rPr>
            </w:pPr>
            <w:r>
              <w:rPr>
                <w:sz w:val="22"/>
              </w:rPr>
              <w:t>222</w:t>
            </w:r>
          </w:p>
        </w:tc>
        <w:tc>
          <w:tcPr>
            <w:tcW w:w="1687" w:type="dxa"/>
          </w:tcPr>
          <w:p>
            <w:pPr>
              <w:pStyle w:val="TableParagraph"/>
              <w:spacing w:before="0"/>
              <w:ind w:left="0"/>
              <w:rPr>
                <w:rFonts w:ascii="Times New Roman"/>
                <w:sz w:val="20"/>
              </w:rPr>
            </w:pPr>
          </w:p>
        </w:tc>
        <w:tc>
          <w:tcPr>
            <w:tcW w:w="1668" w:type="dxa"/>
          </w:tcPr>
          <w:p>
            <w:pPr>
              <w:pStyle w:val="TableParagraph"/>
              <w:spacing w:line="244" w:lineRule="exact" w:before="64"/>
              <w:ind w:left="105"/>
              <w:rPr>
                <w:sz w:val="22"/>
              </w:rPr>
            </w:pPr>
            <w:r>
              <w:rPr>
                <w:sz w:val="22"/>
              </w:rPr>
              <w:t>222</w:t>
            </w:r>
          </w:p>
        </w:tc>
        <w:tc>
          <w:tcPr>
            <w:tcW w:w="1433" w:type="dxa"/>
          </w:tcPr>
          <w:p>
            <w:pPr>
              <w:pStyle w:val="TableParagraph"/>
              <w:spacing w:line="249" w:lineRule="exact"/>
              <w:ind w:left="208"/>
              <w:rPr>
                <w:rFonts w:ascii="Calibri"/>
                <w:sz w:val="22"/>
              </w:rPr>
            </w:pPr>
            <w:r>
              <w:rPr>
                <w:rFonts w:ascii="Calibri"/>
                <w:sz w:val="22"/>
              </w:rPr>
              <w:t>0.77</w:t>
            </w:r>
          </w:p>
        </w:tc>
      </w:tr>
      <w:tr>
        <w:trPr>
          <w:trHeight w:val="328" w:hRule="atLeast"/>
        </w:trPr>
        <w:tc>
          <w:tcPr>
            <w:tcW w:w="2887" w:type="dxa"/>
          </w:tcPr>
          <w:p>
            <w:pPr>
              <w:pStyle w:val="TableParagraph"/>
              <w:spacing w:line="249" w:lineRule="exact"/>
              <w:ind w:left="347"/>
              <w:rPr>
                <w:sz w:val="22"/>
              </w:rPr>
            </w:pPr>
            <w:r>
              <w:rPr>
                <w:sz w:val="22"/>
              </w:rPr>
              <w:t>Commercial</w:t>
            </w:r>
          </w:p>
        </w:tc>
        <w:tc>
          <w:tcPr>
            <w:tcW w:w="1577" w:type="dxa"/>
          </w:tcPr>
          <w:p>
            <w:pPr>
              <w:pStyle w:val="TableParagraph"/>
              <w:spacing w:line="249" w:lineRule="exact"/>
              <w:ind w:left="108"/>
              <w:rPr>
                <w:sz w:val="22"/>
              </w:rPr>
            </w:pPr>
            <w:r>
              <w:rPr>
                <w:sz w:val="22"/>
              </w:rPr>
              <w:t>1,046</w:t>
            </w:r>
          </w:p>
        </w:tc>
        <w:tc>
          <w:tcPr>
            <w:tcW w:w="1687" w:type="dxa"/>
          </w:tcPr>
          <w:p>
            <w:pPr>
              <w:pStyle w:val="TableParagraph"/>
              <w:spacing w:line="249" w:lineRule="exact"/>
              <w:rPr>
                <w:sz w:val="22"/>
              </w:rPr>
            </w:pPr>
            <w:r>
              <w:rPr>
                <w:sz w:val="22"/>
              </w:rPr>
              <w:t>16</w:t>
            </w:r>
          </w:p>
        </w:tc>
        <w:tc>
          <w:tcPr>
            <w:tcW w:w="1668" w:type="dxa"/>
          </w:tcPr>
          <w:p>
            <w:pPr>
              <w:pStyle w:val="TableParagraph"/>
              <w:spacing w:line="244" w:lineRule="exact" w:before="64"/>
              <w:ind w:left="105"/>
              <w:rPr>
                <w:sz w:val="22"/>
              </w:rPr>
            </w:pPr>
            <w:r>
              <w:rPr>
                <w:sz w:val="22"/>
              </w:rPr>
              <w:t>1,062</w:t>
            </w:r>
          </w:p>
        </w:tc>
        <w:tc>
          <w:tcPr>
            <w:tcW w:w="1433" w:type="dxa"/>
          </w:tcPr>
          <w:p>
            <w:pPr>
              <w:pStyle w:val="TableParagraph"/>
              <w:spacing w:line="249" w:lineRule="exact"/>
              <w:ind w:left="208"/>
              <w:rPr>
                <w:rFonts w:ascii="Calibri"/>
                <w:sz w:val="22"/>
              </w:rPr>
            </w:pPr>
            <w:r>
              <w:rPr>
                <w:rFonts w:ascii="Calibri"/>
                <w:sz w:val="22"/>
              </w:rPr>
              <w:t>3.7</w:t>
            </w:r>
          </w:p>
        </w:tc>
      </w:tr>
      <w:tr>
        <w:trPr>
          <w:trHeight w:val="328" w:hRule="atLeast"/>
        </w:trPr>
        <w:tc>
          <w:tcPr>
            <w:tcW w:w="2887" w:type="dxa"/>
          </w:tcPr>
          <w:p>
            <w:pPr>
              <w:pStyle w:val="TableParagraph"/>
              <w:spacing w:line="249" w:lineRule="exact"/>
              <w:ind w:left="347"/>
              <w:rPr>
                <w:sz w:val="22"/>
              </w:rPr>
            </w:pPr>
            <w:r>
              <w:rPr>
                <w:sz w:val="22"/>
              </w:rPr>
              <w:t>General Commercial</w:t>
            </w:r>
          </w:p>
        </w:tc>
        <w:tc>
          <w:tcPr>
            <w:tcW w:w="1577" w:type="dxa"/>
          </w:tcPr>
          <w:p>
            <w:pPr>
              <w:pStyle w:val="TableParagraph"/>
              <w:spacing w:line="249" w:lineRule="exact"/>
              <w:ind w:left="108"/>
              <w:rPr>
                <w:sz w:val="22"/>
              </w:rPr>
            </w:pPr>
            <w:r>
              <w:rPr>
                <w:sz w:val="22"/>
              </w:rPr>
              <w:t>79</w:t>
            </w:r>
          </w:p>
        </w:tc>
        <w:tc>
          <w:tcPr>
            <w:tcW w:w="1687" w:type="dxa"/>
          </w:tcPr>
          <w:p>
            <w:pPr>
              <w:pStyle w:val="TableParagraph"/>
              <w:spacing w:before="0"/>
              <w:ind w:left="0"/>
              <w:rPr>
                <w:rFonts w:ascii="Times New Roman"/>
                <w:sz w:val="20"/>
              </w:rPr>
            </w:pPr>
          </w:p>
        </w:tc>
        <w:tc>
          <w:tcPr>
            <w:tcW w:w="1668" w:type="dxa"/>
          </w:tcPr>
          <w:p>
            <w:pPr>
              <w:pStyle w:val="TableParagraph"/>
              <w:spacing w:line="242" w:lineRule="exact" w:before="66"/>
              <w:ind w:left="105"/>
              <w:rPr>
                <w:sz w:val="22"/>
              </w:rPr>
            </w:pPr>
            <w:r>
              <w:rPr>
                <w:sz w:val="22"/>
              </w:rPr>
              <w:t>79</w:t>
            </w:r>
          </w:p>
        </w:tc>
        <w:tc>
          <w:tcPr>
            <w:tcW w:w="1433" w:type="dxa"/>
          </w:tcPr>
          <w:p>
            <w:pPr>
              <w:pStyle w:val="TableParagraph"/>
              <w:spacing w:line="249" w:lineRule="exact"/>
              <w:ind w:left="208"/>
              <w:rPr>
                <w:rFonts w:ascii="Calibri"/>
                <w:sz w:val="22"/>
              </w:rPr>
            </w:pPr>
            <w:r>
              <w:rPr>
                <w:rFonts w:ascii="Calibri"/>
                <w:sz w:val="22"/>
              </w:rPr>
              <w:t>0.28</w:t>
            </w:r>
          </w:p>
        </w:tc>
      </w:tr>
      <w:tr>
        <w:trPr>
          <w:trHeight w:val="328" w:hRule="atLeast"/>
        </w:trPr>
        <w:tc>
          <w:tcPr>
            <w:tcW w:w="2887" w:type="dxa"/>
          </w:tcPr>
          <w:p>
            <w:pPr>
              <w:pStyle w:val="TableParagraph"/>
              <w:spacing w:line="249" w:lineRule="exact"/>
              <w:ind w:left="347"/>
              <w:rPr>
                <w:sz w:val="22"/>
              </w:rPr>
            </w:pPr>
            <w:r>
              <w:rPr>
                <w:sz w:val="22"/>
              </w:rPr>
              <w:t>Retail Regional</w:t>
            </w:r>
          </w:p>
        </w:tc>
        <w:tc>
          <w:tcPr>
            <w:tcW w:w="1577" w:type="dxa"/>
          </w:tcPr>
          <w:p>
            <w:pPr>
              <w:pStyle w:val="TableParagraph"/>
              <w:spacing w:line="249" w:lineRule="exact"/>
              <w:ind w:left="108"/>
              <w:rPr>
                <w:sz w:val="22"/>
              </w:rPr>
            </w:pPr>
            <w:r>
              <w:rPr>
                <w:sz w:val="22"/>
              </w:rPr>
              <w:t>31</w:t>
            </w:r>
          </w:p>
        </w:tc>
        <w:tc>
          <w:tcPr>
            <w:tcW w:w="1687" w:type="dxa"/>
          </w:tcPr>
          <w:p>
            <w:pPr>
              <w:pStyle w:val="TableParagraph"/>
              <w:spacing w:before="0"/>
              <w:ind w:left="0"/>
              <w:rPr>
                <w:rFonts w:ascii="Times New Roman"/>
                <w:sz w:val="20"/>
              </w:rPr>
            </w:pPr>
          </w:p>
        </w:tc>
        <w:tc>
          <w:tcPr>
            <w:tcW w:w="1668" w:type="dxa"/>
          </w:tcPr>
          <w:p>
            <w:pPr>
              <w:pStyle w:val="TableParagraph"/>
              <w:spacing w:line="242" w:lineRule="exact" w:before="66"/>
              <w:ind w:left="105"/>
              <w:rPr>
                <w:sz w:val="22"/>
              </w:rPr>
            </w:pPr>
            <w:r>
              <w:rPr>
                <w:sz w:val="22"/>
              </w:rPr>
              <w:t>31</w:t>
            </w:r>
          </w:p>
        </w:tc>
        <w:tc>
          <w:tcPr>
            <w:tcW w:w="1433" w:type="dxa"/>
          </w:tcPr>
          <w:p>
            <w:pPr>
              <w:pStyle w:val="TableParagraph"/>
              <w:spacing w:line="249" w:lineRule="exact"/>
              <w:ind w:left="208"/>
              <w:rPr>
                <w:rFonts w:ascii="Calibri"/>
                <w:sz w:val="22"/>
              </w:rPr>
            </w:pPr>
            <w:r>
              <w:rPr>
                <w:rFonts w:ascii="Calibri"/>
                <w:sz w:val="22"/>
              </w:rPr>
              <w:t>0.11</w:t>
            </w:r>
          </w:p>
        </w:tc>
      </w:tr>
      <w:tr>
        <w:trPr>
          <w:trHeight w:val="328" w:hRule="atLeast"/>
        </w:trPr>
        <w:tc>
          <w:tcPr>
            <w:tcW w:w="2887" w:type="dxa"/>
          </w:tcPr>
          <w:p>
            <w:pPr>
              <w:pStyle w:val="TableParagraph"/>
              <w:spacing w:line="249" w:lineRule="exact"/>
              <w:ind w:left="347"/>
              <w:rPr>
                <w:sz w:val="22"/>
              </w:rPr>
            </w:pPr>
            <w:r>
              <w:rPr>
                <w:sz w:val="22"/>
              </w:rPr>
              <w:t>Waterfront</w:t>
            </w:r>
          </w:p>
        </w:tc>
        <w:tc>
          <w:tcPr>
            <w:tcW w:w="1577" w:type="dxa"/>
          </w:tcPr>
          <w:p>
            <w:pPr>
              <w:pStyle w:val="TableParagraph"/>
              <w:spacing w:line="249" w:lineRule="exact"/>
              <w:ind w:left="108"/>
              <w:rPr>
                <w:sz w:val="22"/>
              </w:rPr>
            </w:pPr>
            <w:r>
              <w:rPr>
                <w:sz w:val="22"/>
              </w:rPr>
              <w:t>140</w:t>
            </w:r>
          </w:p>
        </w:tc>
        <w:tc>
          <w:tcPr>
            <w:tcW w:w="1687" w:type="dxa"/>
          </w:tcPr>
          <w:p>
            <w:pPr>
              <w:pStyle w:val="TableParagraph"/>
              <w:spacing w:before="0"/>
              <w:ind w:left="0"/>
              <w:rPr>
                <w:rFonts w:ascii="Times New Roman"/>
                <w:sz w:val="20"/>
              </w:rPr>
            </w:pPr>
          </w:p>
        </w:tc>
        <w:tc>
          <w:tcPr>
            <w:tcW w:w="1668" w:type="dxa"/>
          </w:tcPr>
          <w:p>
            <w:pPr>
              <w:pStyle w:val="TableParagraph"/>
              <w:spacing w:line="242" w:lineRule="exact" w:before="66"/>
              <w:ind w:left="105"/>
              <w:rPr>
                <w:sz w:val="22"/>
              </w:rPr>
            </w:pPr>
            <w:r>
              <w:rPr>
                <w:sz w:val="22"/>
              </w:rPr>
              <w:t>140</w:t>
            </w:r>
          </w:p>
        </w:tc>
        <w:tc>
          <w:tcPr>
            <w:tcW w:w="1433" w:type="dxa"/>
          </w:tcPr>
          <w:p>
            <w:pPr>
              <w:pStyle w:val="TableParagraph"/>
              <w:spacing w:line="249" w:lineRule="exact"/>
              <w:ind w:left="208"/>
              <w:rPr>
                <w:rFonts w:ascii="Calibri"/>
                <w:sz w:val="22"/>
              </w:rPr>
            </w:pPr>
            <w:r>
              <w:rPr>
                <w:rFonts w:ascii="Calibri"/>
                <w:sz w:val="22"/>
              </w:rPr>
              <w:t>0.49</w:t>
            </w:r>
          </w:p>
        </w:tc>
      </w:tr>
      <w:tr>
        <w:trPr>
          <w:trHeight w:val="328" w:hRule="atLeast"/>
        </w:trPr>
        <w:tc>
          <w:tcPr>
            <w:tcW w:w="2887" w:type="dxa"/>
          </w:tcPr>
          <w:p>
            <w:pPr>
              <w:pStyle w:val="TableParagraph"/>
              <w:spacing w:line="249" w:lineRule="exact"/>
              <w:ind w:left="359"/>
              <w:rPr>
                <w:sz w:val="22"/>
              </w:rPr>
            </w:pPr>
            <w:r>
              <w:rPr>
                <w:sz w:val="22"/>
              </w:rPr>
              <w:t>Commercial Recreation</w:t>
            </w:r>
          </w:p>
        </w:tc>
        <w:tc>
          <w:tcPr>
            <w:tcW w:w="1577" w:type="dxa"/>
          </w:tcPr>
          <w:p>
            <w:pPr>
              <w:pStyle w:val="TableParagraph"/>
              <w:spacing w:line="249" w:lineRule="exact"/>
              <w:ind w:left="108"/>
              <w:rPr>
                <w:sz w:val="22"/>
              </w:rPr>
            </w:pPr>
            <w:r>
              <w:rPr>
                <w:sz w:val="22"/>
              </w:rPr>
              <w:t>50</w:t>
            </w:r>
          </w:p>
        </w:tc>
        <w:tc>
          <w:tcPr>
            <w:tcW w:w="1687" w:type="dxa"/>
          </w:tcPr>
          <w:p>
            <w:pPr>
              <w:pStyle w:val="TableParagraph"/>
              <w:spacing w:before="0"/>
              <w:ind w:left="0"/>
              <w:rPr>
                <w:rFonts w:ascii="Times New Roman"/>
                <w:sz w:val="20"/>
              </w:rPr>
            </w:pPr>
          </w:p>
        </w:tc>
        <w:tc>
          <w:tcPr>
            <w:tcW w:w="1668" w:type="dxa"/>
          </w:tcPr>
          <w:p>
            <w:pPr>
              <w:pStyle w:val="TableParagraph"/>
              <w:spacing w:line="242" w:lineRule="exact" w:before="66"/>
              <w:ind w:left="105"/>
              <w:rPr>
                <w:sz w:val="22"/>
              </w:rPr>
            </w:pPr>
            <w:r>
              <w:rPr>
                <w:sz w:val="22"/>
              </w:rPr>
              <w:t>50</w:t>
            </w:r>
          </w:p>
        </w:tc>
        <w:tc>
          <w:tcPr>
            <w:tcW w:w="1433" w:type="dxa"/>
          </w:tcPr>
          <w:p>
            <w:pPr>
              <w:pStyle w:val="TableParagraph"/>
              <w:spacing w:line="249" w:lineRule="exact"/>
              <w:ind w:left="208"/>
              <w:rPr>
                <w:rFonts w:ascii="Calibri"/>
                <w:sz w:val="22"/>
              </w:rPr>
            </w:pPr>
            <w:r>
              <w:rPr>
                <w:rFonts w:ascii="Calibri"/>
                <w:sz w:val="22"/>
              </w:rPr>
              <w:t>0.17</w:t>
            </w:r>
          </w:p>
        </w:tc>
      </w:tr>
      <w:tr>
        <w:trPr>
          <w:trHeight w:val="318" w:hRule="atLeast"/>
        </w:trPr>
        <w:tc>
          <w:tcPr>
            <w:tcW w:w="2887" w:type="dxa"/>
            <w:shd w:val="clear" w:color="auto" w:fill="D9D9D9"/>
          </w:tcPr>
          <w:p>
            <w:pPr>
              <w:pStyle w:val="TableParagraph"/>
              <w:spacing w:line="237" w:lineRule="exact" w:before="62"/>
              <w:rPr>
                <w:sz w:val="22"/>
              </w:rPr>
            </w:pPr>
            <w:r>
              <w:rPr>
                <w:sz w:val="22"/>
              </w:rPr>
              <w:t>Public Lands/Open Space</w:t>
            </w:r>
          </w:p>
        </w:tc>
        <w:tc>
          <w:tcPr>
            <w:tcW w:w="1577" w:type="dxa"/>
            <w:shd w:val="clear" w:color="auto" w:fill="D9D9D9"/>
          </w:tcPr>
          <w:p>
            <w:pPr>
              <w:pStyle w:val="TableParagraph"/>
              <w:spacing w:before="0"/>
              <w:ind w:left="0"/>
              <w:rPr>
                <w:rFonts w:ascii="Times New Roman"/>
                <w:sz w:val="20"/>
              </w:rPr>
            </w:pPr>
          </w:p>
        </w:tc>
        <w:tc>
          <w:tcPr>
            <w:tcW w:w="1687" w:type="dxa"/>
            <w:shd w:val="clear" w:color="auto" w:fill="D9D9D9"/>
          </w:tcPr>
          <w:p>
            <w:pPr>
              <w:pStyle w:val="TableParagraph"/>
              <w:spacing w:before="0"/>
              <w:ind w:left="0"/>
              <w:rPr>
                <w:rFonts w:ascii="Times New Roman"/>
                <w:sz w:val="20"/>
              </w:rPr>
            </w:pPr>
          </w:p>
        </w:tc>
        <w:tc>
          <w:tcPr>
            <w:tcW w:w="1668" w:type="dxa"/>
            <w:shd w:val="clear" w:color="auto" w:fill="D9D9D9"/>
          </w:tcPr>
          <w:p>
            <w:pPr>
              <w:pStyle w:val="TableParagraph"/>
              <w:spacing w:before="0"/>
              <w:ind w:left="0"/>
              <w:rPr>
                <w:rFonts w:ascii="Times New Roman"/>
                <w:sz w:val="20"/>
              </w:rPr>
            </w:pPr>
          </w:p>
        </w:tc>
        <w:tc>
          <w:tcPr>
            <w:tcW w:w="1433" w:type="dxa"/>
            <w:shd w:val="clear" w:color="auto" w:fill="D9D9D9"/>
          </w:tcPr>
          <w:p>
            <w:pPr>
              <w:pStyle w:val="TableParagraph"/>
              <w:spacing w:before="0"/>
              <w:ind w:left="0"/>
              <w:rPr>
                <w:rFonts w:ascii="Times New Roman"/>
                <w:sz w:val="20"/>
              </w:rPr>
            </w:pPr>
          </w:p>
        </w:tc>
      </w:tr>
      <w:tr>
        <w:trPr>
          <w:trHeight w:val="328" w:hRule="atLeast"/>
        </w:trPr>
        <w:tc>
          <w:tcPr>
            <w:tcW w:w="2887" w:type="dxa"/>
          </w:tcPr>
          <w:p>
            <w:pPr>
              <w:pStyle w:val="TableParagraph"/>
              <w:spacing w:line="249" w:lineRule="exact"/>
              <w:ind w:left="347"/>
              <w:rPr>
                <w:sz w:val="22"/>
              </w:rPr>
            </w:pPr>
            <w:r>
              <w:rPr>
                <w:sz w:val="22"/>
              </w:rPr>
              <w:t>Developed Open Space</w:t>
            </w:r>
          </w:p>
        </w:tc>
        <w:tc>
          <w:tcPr>
            <w:tcW w:w="1577" w:type="dxa"/>
          </w:tcPr>
          <w:p>
            <w:pPr>
              <w:pStyle w:val="TableParagraph"/>
              <w:spacing w:line="249" w:lineRule="exact"/>
              <w:ind w:left="108"/>
              <w:rPr>
                <w:sz w:val="22"/>
              </w:rPr>
            </w:pPr>
            <w:r>
              <w:rPr>
                <w:sz w:val="22"/>
              </w:rPr>
              <w:t>2,170</w:t>
            </w:r>
          </w:p>
        </w:tc>
        <w:tc>
          <w:tcPr>
            <w:tcW w:w="1687" w:type="dxa"/>
          </w:tcPr>
          <w:p>
            <w:pPr>
              <w:pStyle w:val="TableParagraph"/>
              <w:spacing w:line="249" w:lineRule="exact"/>
              <w:rPr>
                <w:sz w:val="22"/>
              </w:rPr>
            </w:pPr>
            <w:r>
              <w:rPr>
                <w:sz w:val="22"/>
              </w:rPr>
              <w:t>144</w:t>
            </w:r>
          </w:p>
        </w:tc>
        <w:tc>
          <w:tcPr>
            <w:tcW w:w="1668" w:type="dxa"/>
          </w:tcPr>
          <w:p>
            <w:pPr>
              <w:pStyle w:val="TableParagraph"/>
              <w:spacing w:line="244" w:lineRule="exact" w:before="64"/>
              <w:ind w:left="105"/>
              <w:rPr>
                <w:sz w:val="22"/>
              </w:rPr>
            </w:pPr>
            <w:r>
              <w:rPr>
                <w:sz w:val="22"/>
              </w:rPr>
              <w:t>2,314</w:t>
            </w:r>
          </w:p>
        </w:tc>
        <w:tc>
          <w:tcPr>
            <w:tcW w:w="1433" w:type="dxa"/>
          </w:tcPr>
          <w:p>
            <w:pPr>
              <w:pStyle w:val="TableParagraph"/>
              <w:spacing w:line="249" w:lineRule="exact"/>
              <w:ind w:left="208"/>
              <w:rPr>
                <w:rFonts w:ascii="Calibri"/>
                <w:sz w:val="22"/>
              </w:rPr>
            </w:pPr>
            <w:r>
              <w:rPr>
                <w:rFonts w:ascii="Calibri"/>
                <w:sz w:val="22"/>
              </w:rPr>
              <w:t>7.62</w:t>
            </w:r>
          </w:p>
        </w:tc>
      </w:tr>
      <w:tr>
        <w:trPr>
          <w:trHeight w:val="328" w:hRule="atLeast"/>
        </w:trPr>
        <w:tc>
          <w:tcPr>
            <w:tcW w:w="2887" w:type="dxa"/>
          </w:tcPr>
          <w:p>
            <w:pPr>
              <w:pStyle w:val="TableParagraph"/>
              <w:spacing w:line="249" w:lineRule="exact"/>
              <w:ind w:left="347"/>
              <w:rPr>
                <w:sz w:val="22"/>
              </w:rPr>
            </w:pPr>
            <w:r>
              <w:rPr>
                <w:sz w:val="22"/>
              </w:rPr>
              <w:t>Natural Open Space</w:t>
            </w:r>
          </w:p>
        </w:tc>
        <w:tc>
          <w:tcPr>
            <w:tcW w:w="1577" w:type="dxa"/>
          </w:tcPr>
          <w:p>
            <w:pPr>
              <w:pStyle w:val="TableParagraph"/>
              <w:spacing w:line="249" w:lineRule="exact"/>
              <w:ind w:left="108"/>
              <w:rPr>
                <w:sz w:val="22"/>
              </w:rPr>
            </w:pPr>
            <w:r>
              <w:rPr>
                <w:sz w:val="22"/>
              </w:rPr>
              <w:t>2,154</w:t>
            </w:r>
          </w:p>
        </w:tc>
        <w:tc>
          <w:tcPr>
            <w:tcW w:w="1687" w:type="dxa"/>
          </w:tcPr>
          <w:p>
            <w:pPr>
              <w:pStyle w:val="TableParagraph"/>
              <w:spacing w:line="249" w:lineRule="exact"/>
              <w:rPr>
                <w:sz w:val="22"/>
              </w:rPr>
            </w:pPr>
            <w:r>
              <w:rPr>
                <w:sz w:val="22"/>
              </w:rPr>
              <w:t>322</w:t>
            </w:r>
          </w:p>
        </w:tc>
        <w:tc>
          <w:tcPr>
            <w:tcW w:w="1668" w:type="dxa"/>
          </w:tcPr>
          <w:p>
            <w:pPr>
              <w:pStyle w:val="TableParagraph"/>
              <w:spacing w:line="244" w:lineRule="exact" w:before="64"/>
              <w:ind w:left="105"/>
              <w:rPr>
                <w:sz w:val="22"/>
              </w:rPr>
            </w:pPr>
            <w:r>
              <w:rPr>
                <w:sz w:val="22"/>
              </w:rPr>
              <w:t>2,476</w:t>
            </w:r>
          </w:p>
        </w:tc>
        <w:tc>
          <w:tcPr>
            <w:tcW w:w="1433" w:type="dxa"/>
          </w:tcPr>
          <w:p>
            <w:pPr>
              <w:pStyle w:val="TableParagraph"/>
              <w:spacing w:line="249" w:lineRule="exact"/>
              <w:ind w:left="208"/>
              <w:rPr>
                <w:rFonts w:ascii="Calibri"/>
                <w:sz w:val="22"/>
              </w:rPr>
            </w:pPr>
            <w:r>
              <w:rPr>
                <w:rFonts w:ascii="Calibri"/>
                <w:sz w:val="22"/>
              </w:rPr>
              <w:t>8.52</w:t>
            </w:r>
          </w:p>
        </w:tc>
      </w:tr>
      <w:tr>
        <w:trPr>
          <w:trHeight w:val="328" w:hRule="atLeast"/>
        </w:trPr>
        <w:tc>
          <w:tcPr>
            <w:tcW w:w="2887" w:type="dxa"/>
            <w:shd w:val="clear" w:color="auto" w:fill="D9D9D9"/>
          </w:tcPr>
          <w:p>
            <w:pPr>
              <w:pStyle w:val="TableParagraph"/>
              <w:spacing w:line="249" w:lineRule="exact"/>
              <w:rPr>
                <w:sz w:val="22"/>
              </w:rPr>
            </w:pPr>
            <w:r>
              <w:rPr>
                <w:sz w:val="22"/>
              </w:rPr>
              <w:t>Public Lands/Facilities</w:t>
            </w:r>
          </w:p>
        </w:tc>
        <w:tc>
          <w:tcPr>
            <w:tcW w:w="1577" w:type="dxa"/>
            <w:shd w:val="clear" w:color="auto" w:fill="D9D9D9"/>
          </w:tcPr>
          <w:p>
            <w:pPr>
              <w:pStyle w:val="TableParagraph"/>
              <w:spacing w:before="0"/>
              <w:ind w:left="0"/>
              <w:rPr>
                <w:rFonts w:ascii="Times New Roman"/>
                <w:sz w:val="20"/>
              </w:rPr>
            </w:pPr>
          </w:p>
        </w:tc>
        <w:tc>
          <w:tcPr>
            <w:tcW w:w="1687" w:type="dxa"/>
            <w:shd w:val="clear" w:color="auto" w:fill="D9D9D9"/>
          </w:tcPr>
          <w:p>
            <w:pPr>
              <w:pStyle w:val="TableParagraph"/>
              <w:spacing w:before="0"/>
              <w:ind w:left="0"/>
              <w:rPr>
                <w:rFonts w:ascii="Times New Roman"/>
                <w:sz w:val="20"/>
              </w:rPr>
            </w:pPr>
          </w:p>
        </w:tc>
        <w:tc>
          <w:tcPr>
            <w:tcW w:w="1668" w:type="dxa"/>
            <w:shd w:val="clear" w:color="auto" w:fill="D9D9D9"/>
          </w:tcPr>
          <w:p>
            <w:pPr>
              <w:pStyle w:val="TableParagraph"/>
              <w:spacing w:before="0"/>
              <w:ind w:left="0"/>
              <w:rPr>
                <w:rFonts w:ascii="Times New Roman"/>
                <w:sz w:val="20"/>
              </w:rPr>
            </w:pPr>
          </w:p>
        </w:tc>
        <w:tc>
          <w:tcPr>
            <w:tcW w:w="1433" w:type="dxa"/>
            <w:shd w:val="clear" w:color="auto" w:fill="D9D9D9"/>
          </w:tcPr>
          <w:p>
            <w:pPr>
              <w:pStyle w:val="TableParagraph"/>
              <w:spacing w:before="0"/>
              <w:ind w:left="0"/>
              <w:rPr>
                <w:rFonts w:ascii="Times New Roman"/>
                <w:sz w:val="20"/>
              </w:rPr>
            </w:pPr>
          </w:p>
        </w:tc>
      </w:tr>
      <w:tr>
        <w:trPr>
          <w:trHeight w:val="328" w:hRule="atLeast"/>
        </w:trPr>
        <w:tc>
          <w:tcPr>
            <w:tcW w:w="2887" w:type="dxa"/>
          </w:tcPr>
          <w:p>
            <w:pPr>
              <w:pStyle w:val="TableParagraph"/>
              <w:spacing w:line="249" w:lineRule="exact"/>
              <w:ind w:left="347"/>
              <w:rPr>
                <w:sz w:val="14"/>
              </w:rPr>
            </w:pPr>
            <w:r>
              <w:rPr>
                <w:sz w:val="22"/>
              </w:rPr>
              <w:t>Public Facility</w:t>
            </w:r>
            <w:r>
              <w:rPr>
                <w:position w:val="5"/>
                <w:sz w:val="14"/>
              </w:rPr>
              <w:t>2</w:t>
            </w:r>
          </w:p>
        </w:tc>
        <w:tc>
          <w:tcPr>
            <w:tcW w:w="1577" w:type="dxa"/>
          </w:tcPr>
          <w:p>
            <w:pPr>
              <w:pStyle w:val="TableParagraph"/>
              <w:spacing w:line="249" w:lineRule="exact"/>
              <w:ind w:left="108"/>
              <w:rPr>
                <w:sz w:val="22"/>
              </w:rPr>
            </w:pPr>
            <w:r>
              <w:rPr>
                <w:sz w:val="22"/>
              </w:rPr>
              <w:t>1,014</w:t>
            </w:r>
          </w:p>
        </w:tc>
        <w:tc>
          <w:tcPr>
            <w:tcW w:w="1687" w:type="dxa"/>
          </w:tcPr>
          <w:p>
            <w:pPr>
              <w:pStyle w:val="TableParagraph"/>
              <w:spacing w:line="249" w:lineRule="exact"/>
              <w:rPr>
                <w:sz w:val="22"/>
              </w:rPr>
            </w:pPr>
            <w:r>
              <w:rPr>
                <w:sz w:val="22"/>
              </w:rPr>
              <w:t>27</w:t>
            </w:r>
          </w:p>
        </w:tc>
        <w:tc>
          <w:tcPr>
            <w:tcW w:w="1668" w:type="dxa"/>
          </w:tcPr>
          <w:p>
            <w:pPr>
              <w:pStyle w:val="TableParagraph"/>
              <w:spacing w:line="242" w:lineRule="exact" w:before="66"/>
              <w:ind w:left="105"/>
              <w:rPr>
                <w:sz w:val="22"/>
              </w:rPr>
            </w:pPr>
            <w:r>
              <w:rPr>
                <w:sz w:val="22"/>
              </w:rPr>
              <w:t>1,041</w:t>
            </w:r>
          </w:p>
        </w:tc>
        <w:tc>
          <w:tcPr>
            <w:tcW w:w="1433" w:type="dxa"/>
          </w:tcPr>
          <w:p>
            <w:pPr>
              <w:pStyle w:val="TableParagraph"/>
              <w:spacing w:line="249" w:lineRule="exact"/>
              <w:ind w:left="208"/>
              <w:rPr>
                <w:rFonts w:ascii="Calibri"/>
                <w:sz w:val="22"/>
              </w:rPr>
            </w:pPr>
            <w:r>
              <w:rPr>
                <w:rFonts w:ascii="Calibri"/>
                <w:sz w:val="22"/>
              </w:rPr>
              <w:t>3.63</w:t>
            </w:r>
          </w:p>
        </w:tc>
      </w:tr>
      <w:tr>
        <w:trPr>
          <w:trHeight w:val="318" w:hRule="atLeast"/>
        </w:trPr>
        <w:tc>
          <w:tcPr>
            <w:tcW w:w="2887" w:type="dxa"/>
            <w:shd w:val="clear" w:color="auto" w:fill="D9D9D9"/>
          </w:tcPr>
          <w:p>
            <w:pPr>
              <w:pStyle w:val="TableParagraph"/>
              <w:spacing w:line="239" w:lineRule="exact"/>
              <w:rPr>
                <w:sz w:val="22"/>
              </w:rPr>
            </w:pPr>
            <w:r>
              <w:rPr>
                <w:sz w:val="22"/>
              </w:rPr>
              <w:t>Industrial</w:t>
            </w:r>
          </w:p>
        </w:tc>
        <w:tc>
          <w:tcPr>
            <w:tcW w:w="1577" w:type="dxa"/>
            <w:shd w:val="clear" w:color="auto" w:fill="D9D9D9"/>
          </w:tcPr>
          <w:p>
            <w:pPr>
              <w:pStyle w:val="TableParagraph"/>
              <w:spacing w:before="0"/>
              <w:ind w:left="0"/>
              <w:rPr>
                <w:rFonts w:ascii="Times New Roman"/>
                <w:sz w:val="20"/>
              </w:rPr>
            </w:pPr>
          </w:p>
        </w:tc>
        <w:tc>
          <w:tcPr>
            <w:tcW w:w="1687" w:type="dxa"/>
            <w:shd w:val="clear" w:color="auto" w:fill="D9D9D9"/>
          </w:tcPr>
          <w:p>
            <w:pPr>
              <w:pStyle w:val="TableParagraph"/>
              <w:spacing w:before="0"/>
              <w:ind w:left="0"/>
              <w:rPr>
                <w:rFonts w:ascii="Times New Roman"/>
                <w:sz w:val="20"/>
              </w:rPr>
            </w:pPr>
          </w:p>
        </w:tc>
        <w:tc>
          <w:tcPr>
            <w:tcW w:w="1668" w:type="dxa"/>
            <w:shd w:val="clear" w:color="auto" w:fill="D9D9D9"/>
          </w:tcPr>
          <w:p>
            <w:pPr>
              <w:pStyle w:val="TableParagraph"/>
              <w:spacing w:before="0"/>
              <w:ind w:left="0"/>
              <w:rPr>
                <w:rFonts w:ascii="Times New Roman"/>
                <w:sz w:val="20"/>
              </w:rPr>
            </w:pPr>
          </w:p>
        </w:tc>
        <w:tc>
          <w:tcPr>
            <w:tcW w:w="1433" w:type="dxa"/>
            <w:shd w:val="clear" w:color="auto" w:fill="D9D9D9"/>
          </w:tcPr>
          <w:p>
            <w:pPr>
              <w:pStyle w:val="TableParagraph"/>
              <w:spacing w:before="0"/>
              <w:ind w:left="0"/>
              <w:rPr>
                <w:rFonts w:ascii="Times New Roman"/>
                <w:sz w:val="20"/>
              </w:rPr>
            </w:pPr>
          </w:p>
        </w:tc>
      </w:tr>
      <w:tr>
        <w:trPr>
          <w:trHeight w:val="328" w:hRule="atLeast"/>
        </w:trPr>
        <w:tc>
          <w:tcPr>
            <w:tcW w:w="2887" w:type="dxa"/>
          </w:tcPr>
          <w:p>
            <w:pPr>
              <w:pStyle w:val="TableParagraph"/>
              <w:spacing w:line="249" w:lineRule="exact"/>
              <w:ind w:left="347"/>
              <w:rPr>
                <w:sz w:val="22"/>
              </w:rPr>
            </w:pPr>
            <w:r>
              <w:rPr>
                <w:sz w:val="22"/>
              </w:rPr>
              <w:t>Business Research Park</w:t>
            </w:r>
          </w:p>
        </w:tc>
        <w:tc>
          <w:tcPr>
            <w:tcW w:w="1577" w:type="dxa"/>
          </w:tcPr>
          <w:p>
            <w:pPr>
              <w:pStyle w:val="TableParagraph"/>
              <w:spacing w:line="249" w:lineRule="exact"/>
              <w:ind w:left="108"/>
              <w:rPr>
                <w:sz w:val="22"/>
              </w:rPr>
            </w:pPr>
            <w:r>
              <w:rPr>
                <w:sz w:val="22"/>
              </w:rPr>
              <w:t>750</w:t>
            </w:r>
          </w:p>
        </w:tc>
        <w:tc>
          <w:tcPr>
            <w:tcW w:w="1687" w:type="dxa"/>
          </w:tcPr>
          <w:p>
            <w:pPr>
              <w:pStyle w:val="TableParagraph"/>
              <w:spacing w:line="249" w:lineRule="exact"/>
              <w:rPr>
                <w:sz w:val="22"/>
              </w:rPr>
            </w:pPr>
            <w:r>
              <w:rPr>
                <w:sz w:val="22"/>
              </w:rPr>
              <w:t>437</w:t>
            </w:r>
          </w:p>
        </w:tc>
        <w:tc>
          <w:tcPr>
            <w:tcW w:w="1668" w:type="dxa"/>
          </w:tcPr>
          <w:p>
            <w:pPr>
              <w:pStyle w:val="TableParagraph"/>
              <w:spacing w:line="244" w:lineRule="exact" w:before="64"/>
              <w:ind w:left="105"/>
              <w:rPr>
                <w:sz w:val="22"/>
              </w:rPr>
            </w:pPr>
            <w:r>
              <w:rPr>
                <w:sz w:val="22"/>
              </w:rPr>
              <w:t>1,187</w:t>
            </w:r>
          </w:p>
        </w:tc>
        <w:tc>
          <w:tcPr>
            <w:tcW w:w="1433" w:type="dxa"/>
          </w:tcPr>
          <w:p>
            <w:pPr>
              <w:pStyle w:val="TableParagraph"/>
              <w:spacing w:line="249" w:lineRule="exact"/>
              <w:ind w:left="208"/>
              <w:rPr>
                <w:rFonts w:ascii="Calibri"/>
                <w:sz w:val="22"/>
              </w:rPr>
            </w:pPr>
            <w:r>
              <w:rPr>
                <w:rFonts w:ascii="Calibri"/>
                <w:sz w:val="22"/>
              </w:rPr>
              <w:t>3.78</w:t>
            </w:r>
          </w:p>
        </w:tc>
      </w:tr>
      <w:tr>
        <w:trPr>
          <w:trHeight w:val="328" w:hRule="atLeast"/>
        </w:trPr>
        <w:tc>
          <w:tcPr>
            <w:tcW w:w="2887" w:type="dxa"/>
          </w:tcPr>
          <w:p>
            <w:pPr>
              <w:pStyle w:val="TableParagraph"/>
              <w:spacing w:line="249" w:lineRule="exact"/>
              <w:ind w:left="347"/>
              <w:rPr>
                <w:sz w:val="22"/>
              </w:rPr>
            </w:pPr>
            <w:r>
              <w:rPr>
                <w:sz w:val="22"/>
              </w:rPr>
              <w:t>Industrial</w:t>
            </w:r>
          </w:p>
        </w:tc>
        <w:tc>
          <w:tcPr>
            <w:tcW w:w="1577" w:type="dxa"/>
          </w:tcPr>
          <w:p>
            <w:pPr>
              <w:pStyle w:val="TableParagraph"/>
              <w:spacing w:line="249" w:lineRule="exact"/>
              <w:ind w:left="108"/>
              <w:rPr>
                <w:sz w:val="22"/>
              </w:rPr>
            </w:pPr>
            <w:r>
              <w:rPr>
                <w:sz w:val="22"/>
              </w:rPr>
              <w:t>5,374</w:t>
            </w:r>
          </w:p>
        </w:tc>
        <w:tc>
          <w:tcPr>
            <w:tcW w:w="1687" w:type="dxa"/>
          </w:tcPr>
          <w:p>
            <w:pPr>
              <w:pStyle w:val="TableParagraph"/>
              <w:spacing w:line="249" w:lineRule="exact"/>
              <w:rPr>
                <w:sz w:val="22"/>
              </w:rPr>
            </w:pPr>
            <w:r>
              <w:rPr>
                <w:sz w:val="22"/>
              </w:rPr>
              <w:t>1,050</w:t>
            </w:r>
          </w:p>
        </w:tc>
        <w:tc>
          <w:tcPr>
            <w:tcW w:w="1668" w:type="dxa"/>
          </w:tcPr>
          <w:p>
            <w:pPr>
              <w:pStyle w:val="TableParagraph"/>
              <w:spacing w:line="244" w:lineRule="exact" w:before="64"/>
              <w:ind w:left="105"/>
              <w:rPr>
                <w:sz w:val="22"/>
              </w:rPr>
            </w:pPr>
            <w:r>
              <w:rPr>
                <w:sz w:val="22"/>
              </w:rPr>
              <w:t>6,424</w:t>
            </w:r>
          </w:p>
        </w:tc>
        <w:tc>
          <w:tcPr>
            <w:tcW w:w="1433" w:type="dxa"/>
          </w:tcPr>
          <w:p>
            <w:pPr>
              <w:pStyle w:val="TableParagraph"/>
              <w:spacing w:line="249" w:lineRule="exact"/>
              <w:rPr>
                <w:rFonts w:ascii="Calibri"/>
                <w:sz w:val="22"/>
              </w:rPr>
            </w:pPr>
            <w:r>
              <w:rPr>
                <w:rFonts w:ascii="Calibri"/>
                <w:sz w:val="22"/>
              </w:rPr>
              <w:t>22.39</w:t>
            </w:r>
          </w:p>
        </w:tc>
      </w:tr>
      <w:tr>
        <w:trPr>
          <w:trHeight w:val="318" w:hRule="atLeast"/>
        </w:trPr>
        <w:tc>
          <w:tcPr>
            <w:tcW w:w="2887" w:type="dxa"/>
            <w:shd w:val="clear" w:color="auto" w:fill="D9D9D9"/>
          </w:tcPr>
          <w:p>
            <w:pPr>
              <w:pStyle w:val="TableParagraph"/>
              <w:spacing w:line="239" w:lineRule="exact"/>
              <w:rPr>
                <w:sz w:val="22"/>
              </w:rPr>
            </w:pPr>
            <w:r>
              <w:rPr>
                <w:sz w:val="22"/>
              </w:rPr>
              <w:t>Other Designations</w:t>
            </w:r>
          </w:p>
        </w:tc>
        <w:tc>
          <w:tcPr>
            <w:tcW w:w="1577" w:type="dxa"/>
            <w:shd w:val="clear" w:color="auto" w:fill="D9D9D9"/>
          </w:tcPr>
          <w:p>
            <w:pPr>
              <w:pStyle w:val="TableParagraph"/>
              <w:spacing w:before="0"/>
              <w:ind w:left="0"/>
              <w:rPr>
                <w:rFonts w:ascii="Times New Roman"/>
                <w:sz w:val="20"/>
              </w:rPr>
            </w:pPr>
          </w:p>
        </w:tc>
        <w:tc>
          <w:tcPr>
            <w:tcW w:w="1687" w:type="dxa"/>
            <w:shd w:val="clear" w:color="auto" w:fill="D9D9D9"/>
          </w:tcPr>
          <w:p>
            <w:pPr>
              <w:pStyle w:val="TableParagraph"/>
              <w:spacing w:before="0"/>
              <w:ind w:left="0"/>
              <w:rPr>
                <w:rFonts w:ascii="Times New Roman"/>
                <w:sz w:val="20"/>
              </w:rPr>
            </w:pPr>
          </w:p>
        </w:tc>
        <w:tc>
          <w:tcPr>
            <w:tcW w:w="1668" w:type="dxa"/>
            <w:shd w:val="clear" w:color="auto" w:fill="D9D9D9"/>
          </w:tcPr>
          <w:p>
            <w:pPr>
              <w:pStyle w:val="TableParagraph"/>
              <w:spacing w:line="239" w:lineRule="exact"/>
              <w:ind w:left="105"/>
              <w:rPr>
                <w:sz w:val="22"/>
              </w:rPr>
            </w:pPr>
            <w:r>
              <w:rPr>
                <w:w w:val="100"/>
                <w:sz w:val="22"/>
              </w:rPr>
              <w:t>0</w:t>
            </w:r>
          </w:p>
        </w:tc>
        <w:tc>
          <w:tcPr>
            <w:tcW w:w="1433" w:type="dxa"/>
            <w:shd w:val="clear" w:color="auto" w:fill="D9D9D9"/>
          </w:tcPr>
          <w:p>
            <w:pPr>
              <w:pStyle w:val="TableParagraph"/>
              <w:spacing w:before="0"/>
              <w:ind w:left="0"/>
              <w:rPr>
                <w:rFonts w:ascii="Times New Roman"/>
                <w:sz w:val="20"/>
              </w:rPr>
            </w:pPr>
          </w:p>
        </w:tc>
      </w:tr>
      <w:tr>
        <w:trPr>
          <w:trHeight w:val="328" w:hRule="atLeast"/>
        </w:trPr>
        <w:tc>
          <w:tcPr>
            <w:tcW w:w="2887" w:type="dxa"/>
          </w:tcPr>
          <w:p>
            <w:pPr>
              <w:pStyle w:val="TableParagraph"/>
              <w:spacing w:line="249" w:lineRule="exact"/>
              <w:ind w:left="347"/>
              <w:rPr>
                <w:sz w:val="22"/>
              </w:rPr>
            </w:pPr>
            <w:r>
              <w:rPr>
                <w:sz w:val="22"/>
              </w:rPr>
              <w:t>Agricultural</w:t>
            </w:r>
          </w:p>
        </w:tc>
        <w:tc>
          <w:tcPr>
            <w:tcW w:w="1577" w:type="dxa"/>
          </w:tcPr>
          <w:p>
            <w:pPr>
              <w:pStyle w:val="TableParagraph"/>
              <w:spacing w:line="249" w:lineRule="exact"/>
              <w:rPr>
                <w:sz w:val="22"/>
              </w:rPr>
            </w:pPr>
            <w:r>
              <w:rPr>
                <w:sz w:val="22"/>
              </w:rPr>
              <w:t>903</w:t>
            </w:r>
          </w:p>
        </w:tc>
        <w:tc>
          <w:tcPr>
            <w:tcW w:w="1687" w:type="dxa"/>
          </w:tcPr>
          <w:p>
            <w:pPr>
              <w:pStyle w:val="TableParagraph"/>
              <w:spacing w:before="0"/>
              <w:ind w:left="0"/>
              <w:rPr>
                <w:rFonts w:ascii="Times New Roman"/>
                <w:sz w:val="20"/>
              </w:rPr>
            </w:pPr>
          </w:p>
        </w:tc>
        <w:tc>
          <w:tcPr>
            <w:tcW w:w="1668" w:type="dxa"/>
          </w:tcPr>
          <w:p>
            <w:pPr>
              <w:pStyle w:val="TableParagraph"/>
              <w:spacing w:line="244" w:lineRule="exact" w:before="64"/>
              <w:ind w:left="105"/>
              <w:rPr>
                <w:sz w:val="22"/>
              </w:rPr>
            </w:pPr>
            <w:r>
              <w:rPr>
                <w:sz w:val="22"/>
              </w:rPr>
              <w:t>903</w:t>
            </w:r>
          </w:p>
        </w:tc>
        <w:tc>
          <w:tcPr>
            <w:tcW w:w="1433" w:type="dxa"/>
          </w:tcPr>
          <w:p>
            <w:pPr>
              <w:pStyle w:val="TableParagraph"/>
              <w:spacing w:line="249" w:lineRule="exact"/>
              <w:ind w:left="158"/>
              <w:rPr>
                <w:rFonts w:ascii="Calibri"/>
                <w:sz w:val="22"/>
              </w:rPr>
            </w:pPr>
            <w:r>
              <w:rPr>
                <w:rFonts w:ascii="Calibri"/>
                <w:sz w:val="22"/>
              </w:rPr>
              <w:t>3.15</w:t>
            </w:r>
          </w:p>
        </w:tc>
      </w:tr>
      <w:tr>
        <w:trPr>
          <w:trHeight w:val="328" w:hRule="atLeast"/>
        </w:trPr>
        <w:tc>
          <w:tcPr>
            <w:tcW w:w="2887" w:type="dxa"/>
          </w:tcPr>
          <w:p>
            <w:pPr>
              <w:pStyle w:val="TableParagraph"/>
              <w:spacing w:line="249" w:lineRule="exact"/>
              <w:ind w:left="347"/>
              <w:rPr>
                <w:sz w:val="22"/>
              </w:rPr>
            </w:pPr>
            <w:r>
              <w:rPr>
                <w:sz w:val="22"/>
              </w:rPr>
              <w:t>Residential Office</w:t>
            </w:r>
          </w:p>
        </w:tc>
        <w:tc>
          <w:tcPr>
            <w:tcW w:w="1577" w:type="dxa"/>
          </w:tcPr>
          <w:p>
            <w:pPr>
              <w:pStyle w:val="TableParagraph"/>
              <w:spacing w:line="249" w:lineRule="exact"/>
              <w:ind w:left="108"/>
              <w:rPr>
                <w:sz w:val="22"/>
              </w:rPr>
            </w:pPr>
            <w:r>
              <w:rPr>
                <w:sz w:val="22"/>
              </w:rPr>
              <w:t>21</w:t>
            </w:r>
          </w:p>
        </w:tc>
        <w:tc>
          <w:tcPr>
            <w:tcW w:w="1687" w:type="dxa"/>
          </w:tcPr>
          <w:p>
            <w:pPr>
              <w:pStyle w:val="TableParagraph"/>
              <w:spacing w:before="0"/>
              <w:ind w:left="0"/>
              <w:rPr>
                <w:rFonts w:ascii="Times New Roman"/>
                <w:sz w:val="20"/>
              </w:rPr>
            </w:pPr>
          </w:p>
        </w:tc>
        <w:tc>
          <w:tcPr>
            <w:tcW w:w="1668" w:type="dxa"/>
          </w:tcPr>
          <w:p>
            <w:pPr>
              <w:pStyle w:val="TableParagraph"/>
              <w:spacing w:line="244" w:lineRule="exact" w:before="64"/>
              <w:ind w:left="105"/>
              <w:rPr>
                <w:sz w:val="22"/>
              </w:rPr>
            </w:pPr>
            <w:r>
              <w:rPr>
                <w:sz w:val="22"/>
              </w:rPr>
              <w:t>21</w:t>
            </w:r>
          </w:p>
        </w:tc>
        <w:tc>
          <w:tcPr>
            <w:tcW w:w="1433" w:type="dxa"/>
          </w:tcPr>
          <w:p>
            <w:pPr>
              <w:pStyle w:val="TableParagraph"/>
              <w:spacing w:line="249" w:lineRule="exact"/>
              <w:ind w:left="158"/>
              <w:rPr>
                <w:rFonts w:ascii="Calibri"/>
                <w:sz w:val="22"/>
              </w:rPr>
            </w:pPr>
            <w:r>
              <w:rPr>
                <w:rFonts w:ascii="Calibri"/>
                <w:sz w:val="22"/>
              </w:rPr>
              <w:t>0.07</w:t>
            </w:r>
          </w:p>
        </w:tc>
      </w:tr>
      <w:tr>
        <w:trPr>
          <w:trHeight w:val="328" w:hRule="atLeast"/>
        </w:trPr>
        <w:tc>
          <w:tcPr>
            <w:tcW w:w="2887" w:type="dxa"/>
          </w:tcPr>
          <w:p>
            <w:pPr>
              <w:pStyle w:val="TableParagraph"/>
              <w:spacing w:line="249" w:lineRule="exact"/>
              <w:ind w:left="347"/>
              <w:rPr>
                <w:sz w:val="22"/>
              </w:rPr>
            </w:pPr>
            <w:r>
              <w:rPr>
                <w:sz w:val="22"/>
              </w:rPr>
              <w:t>Urban Reserve</w:t>
            </w:r>
          </w:p>
        </w:tc>
        <w:tc>
          <w:tcPr>
            <w:tcW w:w="1577" w:type="dxa"/>
          </w:tcPr>
          <w:p>
            <w:pPr>
              <w:pStyle w:val="TableParagraph"/>
              <w:spacing w:line="249" w:lineRule="exact"/>
              <w:ind w:left="108"/>
              <w:rPr>
                <w:sz w:val="22"/>
              </w:rPr>
            </w:pPr>
            <w:r>
              <w:rPr>
                <w:sz w:val="22"/>
              </w:rPr>
              <w:t>1,214</w:t>
            </w:r>
          </w:p>
        </w:tc>
        <w:tc>
          <w:tcPr>
            <w:tcW w:w="1687" w:type="dxa"/>
          </w:tcPr>
          <w:p>
            <w:pPr>
              <w:pStyle w:val="TableParagraph"/>
              <w:spacing w:before="0"/>
              <w:ind w:left="0"/>
              <w:rPr>
                <w:rFonts w:ascii="Times New Roman"/>
                <w:sz w:val="20"/>
              </w:rPr>
            </w:pPr>
          </w:p>
        </w:tc>
        <w:tc>
          <w:tcPr>
            <w:tcW w:w="1668" w:type="dxa"/>
          </w:tcPr>
          <w:p>
            <w:pPr>
              <w:pStyle w:val="TableParagraph"/>
              <w:spacing w:line="244" w:lineRule="exact" w:before="64"/>
              <w:ind w:left="105"/>
              <w:rPr>
                <w:sz w:val="22"/>
              </w:rPr>
            </w:pPr>
            <w:r>
              <w:rPr>
                <w:sz w:val="22"/>
              </w:rPr>
              <w:t>1,214</w:t>
            </w:r>
          </w:p>
        </w:tc>
        <w:tc>
          <w:tcPr>
            <w:tcW w:w="1433" w:type="dxa"/>
          </w:tcPr>
          <w:p>
            <w:pPr>
              <w:pStyle w:val="TableParagraph"/>
              <w:spacing w:line="249" w:lineRule="exact"/>
              <w:ind w:left="158"/>
              <w:rPr>
                <w:rFonts w:ascii="Calibri"/>
                <w:sz w:val="22"/>
              </w:rPr>
            </w:pPr>
            <w:r>
              <w:rPr>
                <w:rFonts w:ascii="Calibri"/>
                <w:sz w:val="22"/>
              </w:rPr>
              <w:t>4.23</w:t>
            </w:r>
          </w:p>
        </w:tc>
      </w:tr>
      <w:tr>
        <w:trPr>
          <w:trHeight w:val="318" w:hRule="atLeast"/>
        </w:trPr>
        <w:tc>
          <w:tcPr>
            <w:tcW w:w="2887" w:type="dxa"/>
            <w:shd w:val="clear" w:color="auto" w:fill="D9D9D9"/>
          </w:tcPr>
          <w:p>
            <w:pPr>
              <w:pStyle w:val="TableParagraph"/>
              <w:spacing w:line="239" w:lineRule="exact"/>
              <w:rPr>
                <w:sz w:val="22"/>
              </w:rPr>
            </w:pPr>
            <w:r>
              <w:rPr>
                <w:sz w:val="22"/>
              </w:rPr>
              <w:t>Public Service Lands</w:t>
            </w:r>
          </w:p>
        </w:tc>
        <w:tc>
          <w:tcPr>
            <w:tcW w:w="1577" w:type="dxa"/>
            <w:shd w:val="clear" w:color="auto" w:fill="D9D9D9"/>
          </w:tcPr>
          <w:p>
            <w:pPr>
              <w:pStyle w:val="TableParagraph"/>
              <w:spacing w:before="0"/>
              <w:ind w:left="0"/>
              <w:rPr>
                <w:rFonts w:ascii="Times New Roman"/>
                <w:sz w:val="20"/>
              </w:rPr>
            </w:pPr>
          </w:p>
        </w:tc>
        <w:tc>
          <w:tcPr>
            <w:tcW w:w="1687" w:type="dxa"/>
            <w:shd w:val="clear" w:color="auto" w:fill="D9D9D9"/>
          </w:tcPr>
          <w:p>
            <w:pPr>
              <w:pStyle w:val="TableParagraph"/>
              <w:spacing w:before="0"/>
              <w:ind w:left="0"/>
              <w:rPr>
                <w:rFonts w:ascii="Times New Roman"/>
                <w:sz w:val="20"/>
              </w:rPr>
            </w:pPr>
          </w:p>
        </w:tc>
        <w:tc>
          <w:tcPr>
            <w:tcW w:w="1668" w:type="dxa"/>
            <w:shd w:val="clear" w:color="auto" w:fill="D9D9D9"/>
          </w:tcPr>
          <w:p>
            <w:pPr>
              <w:pStyle w:val="TableParagraph"/>
              <w:spacing w:before="0"/>
              <w:ind w:left="0"/>
              <w:rPr>
                <w:rFonts w:ascii="Times New Roman"/>
                <w:sz w:val="20"/>
              </w:rPr>
            </w:pPr>
          </w:p>
        </w:tc>
        <w:tc>
          <w:tcPr>
            <w:tcW w:w="1433" w:type="dxa"/>
            <w:shd w:val="clear" w:color="auto" w:fill="D9D9D9"/>
          </w:tcPr>
          <w:p>
            <w:pPr>
              <w:pStyle w:val="TableParagraph"/>
              <w:spacing w:before="0"/>
              <w:ind w:left="0"/>
              <w:rPr>
                <w:rFonts w:ascii="Times New Roman"/>
                <w:sz w:val="20"/>
              </w:rPr>
            </w:pPr>
          </w:p>
        </w:tc>
      </w:tr>
      <w:tr>
        <w:trPr>
          <w:trHeight w:val="328" w:hRule="atLeast"/>
        </w:trPr>
        <w:tc>
          <w:tcPr>
            <w:tcW w:w="2887" w:type="dxa"/>
          </w:tcPr>
          <w:p>
            <w:pPr>
              <w:pStyle w:val="TableParagraph"/>
              <w:spacing w:line="249" w:lineRule="exact"/>
              <w:rPr>
                <w:sz w:val="22"/>
              </w:rPr>
            </w:pPr>
            <w:r>
              <w:rPr>
                <w:sz w:val="22"/>
              </w:rPr>
              <w:t>Rights of Way</w:t>
            </w:r>
          </w:p>
        </w:tc>
        <w:tc>
          <w:tcPr>
            <w:tcW w:w="1577" w:type="dxa"/>
          </w:tcPr>
          <w:p>
            <w:pPr>
              <w:pStyle w:val="TableParagraph"/>
              <w:spacing w:line="249" w:lineRule="exact"/>
              <w:ind w:left="108"/>
              <w:rPr>
                <w:sz w:val="22"/>
              </w:rPr>
            </w:pPr>
            <w:r>
              <w:rPr>
                <w:sz w:val="22"/>
              </w:rPr>
              <w:t>2,947</w:t>
            </w:r>
          </w:p>
        </w:tc>
        <w:tc>
          <w:tcPr>
            <w:tcW w:w="1687" w:type="dxa"/>
          </w:tcPr>
          <w:p>
            <w:pPr>
              <w:pStyle w:val="TableParagraph"/>
              <w:spacing w:line="249" w:lineRule="exact"/>
              <w:rPr>
                <w:sz w:val="22"/>
              </w:rPr>
            </w:pPr>
            <w:r>
              <w:rPr>
                <w:sz w:val="22"/>
              </w:rPr>
              <w:t>163</w:t>
            </w:r>
          </w:p>
        </w:tc>
        <w:tc>
          <w:tcPr>
            <w:tcW w:w="1668" w:type="dxa"/>
          </w:tcPr>
          <w:p>
            <w:pPr>
              <w:pStyle w:val="TableParagraph"/>
              <w:spacing w:line="244" w:lineRule="exact" w:before="64"/>
              <w:ind w:left="105"/>
              <w:rPr>
                <w:sz w:val="22"/>
              </w:rPr>
            </w:pPr>
            <w:r>
              <w:rPr>
                <w:sz w:val="22"/>
              </w:rPr>
              <w:t>3,110</w:t>
            </w:r>
          </w:p>
        </w:tc>
        <w:tc>
          <w:tcPr>
            <w:tcW w:w="1433" w:type="dxa"/>
          </w:tcPr>
          <w:p>
            <w:pPr>
              <w:pStyle w:val="TableParagraph"/>
              <w:spacing w:line="249" w:lineRule="exact"/>
              <w:rPr>
                <w:rFonts w:ascii="Calibri"/>
                <w:sz w:val="22"/>
              </w:rPr>
            </w:pPr>
            <w:r>
              <w:rPr>
                <w:rFonts w:ascii="Calibri"/>
                <w:sz w:val="22"/>
              </w:rPr>
              <w:t>10.84</w:t>
            </w:r>
          </w:p>
        </w:tc>
      </w:tr>
      <w:tr>
        <w:trPr>
          <w:trHeight w:val="316" w:hRule="atLeast"/>
        </w:trPr>
        <w:tc>
          <w:tcPr>
            <w:tcW w:w="2887" w:type="dxa"/>
          </w:tcPr>
          <w:p>
            <w:pPr>
              <w:pStyle w:val="TableParagraph"/>
              <w:spacing w:line="237" w:lineRule="exact"/>
              <w:rPr>
                <w:sz w:val="22"/>
              </w:rPr>
            </w:pPr>
            <w:r>
              <w:rPr>
                <w:sz w:val="22"/>
              </w:rPr>
              <w:t>Total</w:t>
            </w:r>
          </w:p>
        </w:tc>
        <w:tc>
          <w:tcPr>
            <w:tcW w:w="1577" w:type="dxa"/>
          </w:tcPr>
          <w:p>
            <w:pPr>
              <w:pStyle w:val="TableParagraph"/>
              <w:spacing w:line="237" w:lineRule="exact"/>
              <w:ind w:left="108"/>
              <w:rPr>
                <w:sz w:val="22"/>
              </w:rPr>
            </w:pPr>
            <w:r>
              <w:rPr>
                <w:sz w:val="22"/>
              </w:rPr>
              <w:t>25,846</w:t>
            </w:r>
          </w:p>
        </w:tc>
        <w:tc>
          <w:tcPr>
            <w:tcW w:w="1687" w:type="dxa"/>
          </w:tcPr>
          <w:p>
            <w:pPr>
              <w:pStyle w:val="TableParagraph"/>
              <w:spacing w:line="237" w:lineRule="exact"/>
              <w:rPr>
                <w:sz w:val="22"/>
              </w:rPr>
            </w:pPr>
            <w:r>
              <w:rPr>
                <w:sz w:val="22"/>
              </w:rPr>
              <w:t>2,848</w:t>
            </w:r>
          </w:p>
        </w:tc>
        <w:tc>
          <w:tcPr>
            <w:tcW w:w="1668" w:type="dxa"/>
          </w:tcPr>
          <w:p>
            <w:pPr>
              <w:pStyle w:val="TableParagraph"/>
              <w:spacing w:line="237" w:lineRule="exact"/>
              <w:ind w:left="105"/>
              <w:rPr>
                <w:sz w:val="22"/>
              </w:rPr>
            </w:pPr>
            <w:r>
              <w:rPr>
                <w:sz w:val="22"/>
              </w:rPr>
              <w:t>28,694</w:t>
            </w:r>
          </w:p>
        </w:tc>
        <w:tc>
          <w:tcPr>
            <w:tcW w:w="1433" w:type="dxa"/>
          </w:tcPr>
          <w:p>
            <w:pPr>
              <w:pStyle w:val="TableParagraph"/>
              <w:spacing w:line="237" w:lineRule="exact"/>
              <w:rPr>
                <w:sz w:val="22"/>
              </w:rPr>
            </w:pPr>
            <w:r>
              <w:rPr>
                <w:sz w:val="22"/>
              </w:rPr>
              <w:t>100.00%</w:t>
            </w:r>
          </w:p>
        </w:tc>
      </w:tr>
      <w:tr>
        <w:trPr>
          <w:trHeight w:val="885" w:hRule="atLeast"/>
        </w:trPr>
        <w:tc>
          <w:tcPr>
            <w:tcW w:w="9252" w:type="dxa"/>
            <w:gridSpan w:val="5"/>
          </w:tcPr>
          <w:p>
            <w:pPr>
              <w:pStyle w:val="TableParagraph"/>
              <w:rPr>
                <w:i/>
                <w:sz w:val="20"/>
              </w:rPr>
            </w:pPr>
            <w:r>
              <w:rPr>
                <w:i/>
                <w:position w:val="5"/>
                <w:sz w:val="13"/>
              </w:rPr>
              <w:t>1 </w:t>
            </w:r>
            <w:r>
              <w:rPr>
                <w:i/>
                <w:sz w:val="20"/>
              </w:rPr>
              <w:t>Does not include water area</w:t>
            </w:r>
          </w:p>
          <w:p>
            <w:pPr>
              <w:pStyle w:val="TableParagraph"/>
              <w:spacing w:before="61"/>
              <w:rPr>
                <w:i/>
                <w:sz w:val="20"/>
              </w:rPr>
            </w:pPr>
            <w:r>
              <w:rPr>
                <w:i/>
                <w:position w:val="5"/>
                <w:sz w:val="13"/>
              </w:rPr>
              <w:t>2 </w:t>
            </w:r>
            <w:r>
              <w:rPr>
                <w:i/>
                <w:sz w:val="20"/>
              </w:rPr>
              <w:t>Public facilities lands include public school sites, WSU campus, City owned facilities, and cemeteries</w:t>
            </w:r>
          </w:p>
          <w:p>
            <w:pPr>
              <w:pStyle w:val="TableParagraph"/>
              <w:spacing w:line="218" w:lineRule="exact" w:before="58"/>
              <w:rPr>
                <w:i/>
                <w:sz w:val="20"/>
              </w:rPr>
            </w:pPr>
            <w:r>
              <w:rPr>
                <w:i/>
                <w:position w:val="5"/>
                <w:sz w:val="13"/>
              </w:rPr>
              <w:t>3 </w:t>
            </w:r>
            <w:r>
              <w:rPr>
                <w:i/>
                <w:sz w:val="20"/>
              </w:rPr>
              <w:t>Includes proposed UGA expansion area related to Department of Energy land transfer</w:t>
            </w:r>
          </w:p>
        </w:tc>
      </w:tr>
    </w:tbl>
    <w:p>
      <w:pPr>
        <w:spacing w:after="0" w:line="218" w:lineRule="exact"/>
        <w:rPr>
          <w:sz w:val="20"/>
        </w:rPr>
        <w:sectPr>
          <w:pgSz w:w="12240" w:h="15840"/>
          <w:pgMar w:header="0" w:footer="1132" w:top="1480" w:bottom="1320" w:left="1300" w:right="1100"/>
        </w:sectPr>
      </w:pPr>
    </w:p>
    <w:p>
      <w:pPr>
        <w:pStyle w:val="Heading7"/>
        <w:ind w:left="140"/>
      </w:pPr>
      <w:bookmarkStart w:name="Section Three" w:id="74"/>
      <w:bookmarkEnd w:id="74"/>
      <w:r>
        <w:rPr/>
      </w:r>
      <w:bookmarkStart w:name="_bookmark35" w:id="75"/>
      <w:bookmarkEnd w:id="75"/>
      <w:r>
        <w:rPr/>
      </w:r>
      <w:r>
        <w:rPr>
          <w:color w:val="4F81BC"/>
        </w:rPr>
        <w:t>SECTION THREE</w:t>
      </w:r>
    </w:p>
    <w:p>
      <w:pPr>
        <w:pStyle w:val="Heading6"/>
        <w:ind w:left="139"/>
      </w:pPr>
      <w:bookmarkStart w:name="Population Trend" w:id="76"/>
      <w:bookmarkEnd w:id="76"/>
      <w:r>
        <w:rPr>
          <w:b w:val="0"/>
        </w:rPr>
      </w:r>
      <w:bookmarkStart w:name="_bookmark36" w:id="77"/>
      <w:bookmarkEnd w:id="77"/>
      <w:r>
        <w:rPr>
          <w:b w:val="0"/>
        </w:rPr>
      </w:r>
      <w:r>
        <w:rPr/>
        <w:t>POPULATION TREND</w:t>
      </w:r>
    </w:p>
    <w:p>
      <w:pPr>
        <w:pStyle w:val="BodyText"/>
        <w:spacing w:before="120"/>
        <w:ind w:left="139" w:right="335"/>
        <w:jc w:val="both"/>
      </w:pPr>
      <w:r>
        <w:rPr/>
        <w:t>Richland and the Tri-Cities area experienced strong growth from 1973 to 1981 due to the development</w:t>
      </w:r>
      <w:r>
        <w:rPr>
          <w:spacing w:val="-6"/>
        </w:rPr>
        <w:t> </w:t>
      </w:r>
      <w:r>
        <w:rPr/>
        <w:t>of</w:t>
      </w:r>
      <w:r>
        <w:rPr>
          <w:spacing w:val="-4"/>
        </w:rPr>
        <w:t> </w:t>
      </w:r>
      <w:r>
        <w:rPr/>
        <w:t>nuclear</w:t>
      </w:r>
      <w:r>
        <w:rPr>
          <w:spacing w:val="-5"/>
        </w:rPr>
        <w:t> </w:t>
      </w:r>
      <w:r>
        <w:rPr/>
        <w:t>power</w:t>
      </w:r>
      <w:r>
        <w:rPr>
          <w:spacing w:val="-5"/>
        </w:rPr>
        <w:t> </w:t>
      </w:r>
      <w:r>
        <w:rPr/>
        <w:t>plants</w:t>
      </w:r>
      <w:r>
        <w:rPr>
          <w:spacing w:val="-3"/>
        </w:rPr>
        <w:t> </w:t>
      </w:r>
      <w:r>
        <w:rPr/>
        <w:t>for</w:t>
      </w:r>
      <w:r>
        <w:rPr>
          <w:spacing w:val="-5"/>
        </w:rPr>
        <w:t> </w:t>
      </w:r>
      <w:r>
        <w:rPr/>
        <w:t>the</w:t>
      </w:r>
      <w:r>
        <w:rPr>
          <w:spacing w:val="-4"/>
        </w:rPr>
        <w:t> </w:t>
      </w:r>
      <w:r>
        <w:rPr/>
        <w:t>Washington</w:t>
      </w:r>
      <w:r>
        <w:rPr>
          <w:spacing w:val="-5"/>
        </w:rPr>
        <w:t> </w:t>
      </w:r>
      <w:r>
        <w:rPr/>
        <w:t>Public</w:t>
      </w:r>
      <w:r>
        <w:rPr>
          <w:spacing w:val="-3"/>
        </w:rPr>
        <w:t> </w:t>
      </w:r>
      <w:r>
        <w:rPr/>
        <w:t>Power</w:t>
      </w:r>
      <w:r>
        <w:rPr>
          <w:spacing w:val="-4"/>
        </w:rPr>
        <w:t> </w:t>
      </w:r>
      <w:r>
        <w:rPr/>
        <w:t>Supply</w:t>
      </w:r>
      <w:r>
        <w:rPr>
          <w:spacing w:val="-5"/>
        </w:rPr>
        <w:t> </w:t>
      </w:r>
      <w:r>
        <w:rPr/>
        <w:t>System.</w:t>
      </w:r>
      <w:r>
        <w:rPr>
          <w:spacing w:val="-2"/>
        </w:rPr>
        <w:t> </w:t>
      </w:r>
      <w:r>
        <w:rPr/>
        <w:t>In</w:t>
      </w:r>
      <w:r>
        <w:rPr>
          <w:spacing w:val="-5"/>
        </w:rPr>
        <w:t> </w:t>
      </w:r>
      <w:r>
        <w:rPr/>
        <w:t>the</w:t>
      </w:r>
      <w:r>
        <w:rPr>
          <w:spacing w:val="-4"/>
        </w:rPr>
        <w:t> </w:t>
      </w:r>
      <w:r>
        <w:rPr/>
        <w:t>1980s, however,</w:t>
      </w:r>
      <w:r>
        <w:rPr>
          <w:spacing w:val="-8"/>
        </w:rPr>
        <w:t> </w:t>
      </w:r>
      <w:r>
        <w:rPr/>
        <w:t>the</w:t>
      </w:r>
      <w:r>
        <w:rPr>
          <w:spacing w:val="-6"/>
        </w:rPr>
        <w:t> </w:t>
      </w:r>
      <w:r>
        <w:rPr/>
        <w:t>power</w:t>
      </w:r>
      <w:r>
        <w:rPr>
          <w:spacing w:val="-7"/>
        </w:rPr>
        <w:t> </w:t>
      </w:r>
      <w:r>
        <w:rPr/>
        <w:t>plant</w:t>
      </w:r>
      <w:r>
        <w:rPr>
          <w:spacing w:val="-8"/>
        </w:rPr>
        <w:t> </w:t>
      </w:r>
      <w:r>
        <w:rPr/>
        <w:t>program</w:t>
      </w:r>
      <w:r>
        <w:rPr>
          <w:spacing w:val="-6"/>
        </w:rPr>
        <w:t> </w:t>
      </w:r>
      <w:r>
        <w:rPr/>
        <w:t>was</w:t>
      </w:r>
      <w:r>
        <w:rPr>
          <w:spacing w:val="-6"/>
        </w:rPr>
        <w:t> </w:t>
      </w:r>
      <w:r>
        <w:rPr/>
        <w:t>discontinued,</w:t>
      </w:r>
      <w:r>
        <w:rPr>
          <w:spacing w:val="-8"/>
        </w:rPr>
        <w:t> </w:t>
      </w:r>
      <w:r>
        <w:rPr/>
        <w:t>as</w:t>
      </w:r>
      <w:r>
        <w:rPr>
          <w:spacing w:val="-6"/>
        </w:rPr>
        <w:t> </w:t>
      </w:r>
      <w:r>
        <w:rPr/>
        <w:t>was</w:t>
      </w:r>
      <w:r>
        <w:rPr>
          <w:spacing w:val="-6"/>
        </w:rPr>
        <w:t> </w:t>
      </w:r>
      <w:r>
        <w:rPr/>
        <w:t>the</w:t>
      </w:r>
      <w:r>
        <w:rPr>
          <w:spacing w:val="-6"/>
        </w:rPr>
        <w:t> </w:t>
      </w:r>
      <w:r>
        <w:rPr/>
        <w:t>federal</w:t>
      </w:r>
      <w:r>
        <w:rPr>
          <w:spacing w:val="-10"/>
        </w:rPr>
        <w:t> </w:t>
      </w:r>
      <w:r>
        <w:rPr/>
        <w:t>government’s</w:t>
      </w:r>
      <w:r>
        <w:rPr>
          <w:spacing w:val="-6"/>
        </w:rPr>
        <w:t> </w:t>
      </w:r>
      <w:r>
        <w:rPr/>
        <w:t>production</w:t>
      </w:r>
      <w:r>
        <w:rPr>
          <w:spacing w:val="-8"/>
        </w:rPr>
        <w:t> </w:t>
      </w:r>
      <w:r>
        <w:rPr/>
        <w:t>of nuclear material at the Hanford Site. These changes created a difficult economic period throughout Benton County and neighboring Franklin County as indicated in the reduced growth in 1990</w:t>
      </w:r>
      <w:r>
        <w:rPr>
          <w:spacing w:val="-25"/>
        </w:rPr>
        <w:t> </w:t>
      </w:r>
      <w:r>
        <w:rPr/>
        <w:t>data.</w:t>
      </w:r>
    </w:p>
    <w:p>
      <w:pPr>
        <w:pStyle w:val="BodyText"/>
        <w:spacing w:before="122"/>
        <w:ind w:left="140" w:right="333"/>
        <w:jc w:val="both"/>
      </w:pPr>
      <w:r>
        <w:rPr/>
        <w:t>With plutonium production discontinued at the Hanford Site, the federal government redefined its mission there. The new mission became environmental restoration or cleanup of the site, together with ongoing management of the hazardous wastes stored there. In association with these missions, areas near the Hanford Site has become a hub for research and development into energy, health, waste</w:t>
      </w:r>
      <w:r>
        <w:rPr>
          <w:spacing w:val="-14"/>
        </w:rPr>
        <w:t> </w:t>
      </w:r>
      <w:r>
        <w:rPr/>
        <w:t>management,</w:t>
      </w:r>
      <w:r>
        <w:rPr>
          <w:spacing w:val="-14"/>
        </w:rPr>
        <w:t> </w:t>
      </w:r>
      <w:r>
        <w:rPr/>
        <w:t>and</w:t>
      </w:r>
      <w:r>
        <w:rPr>
          <w:spacing w:val="-14"/>
        </w:rPr>
        <w:t> </w:t>
      </w:r>
      <w:r>
        <w:rPr/>
        <w:t>the</w:t>
      </w:r>
      <w:r>
        <w:rPr>
          <w:spacing w:val="-14"/>
        </w:rPr>
        <w:t> </w:t>
      </w:r>
      <w:r>
        <w:rPr/>
        <w:t>environment,</w:t>
      </w:r>
      <w:r>
        <w:rPr>
          <w:spacing w:val="-14"/>
        </w:rPr>
        <w:t> </w:t>
      </w:r>
      <w:r>
        <w:rPr/>
        <w:t>as</w:t>
      </w:r>
      <w:r>
        <w:rPr>
          <w:spacing w:val="-13"/>
        </w:rPr>
        <w:t> </w:t>
      </w:r>
      <w:r>
        <w:rPr/>
        <w:t>well</w:t>
      </w:r>
      <w:r>
        <w:rPr>
          <w:spacing w:val="-14"/>
        </w:rPr>
        <w:t> </w:t>
      </w:r>
      <w:r>
        <w:rPr/>
        <w:t>as</w:t>
      </w:r>
      <w:r>
        <w:rPr>
          <w:spacing w:val="-15"/>
        </w:rPr>
        <w:t> </w:t>
      </w:r>
      <w:r>
        <w:rPr/>
        <w:t>development</w:t>
      </w:r>
      <w:r>
        <w:rPr>
          <w:spacing w:val="-14"/>
        </w:rPr>
        <w:t> </w:t>
      </w:r>
      <w:r>
        <w:rPr/>
        <w:t>for</w:t>
      </w:r>
      <w:r>
        <w:rPr>
          <w:spacing w:val="-14"/>
        </w:rPr>
        <w:t> </w:t>
      </w:r>
      <w:r>
        <w:rPr/>
        <w:t>new</w:t>
      </w:r>
      <w:r>
        <w:rPr>
          <w:spacing w:val="-13"/>
        </w:rPr>
        <w:t> </w:t>
      </w:r>
      <w:r>
        <w:rPr/>
        <w:t>technologies</w:t>
      </w:r>
      <w:r>
        <w:rPr>
          <w:spacing w:val="-13"/>
        </w:rPr>
        <w:t> </w:t>
      </w:r>
      <w:r>
        <w:rPr/>
        <w:t>in</w:t>
      </w:r>
      <w:r>
        <w:rPr>
          <w:spacing w:val="-15"/>
        </w:rPr>
        <w:t> </w:t>
      </w:r>
      <w:r>
        <w:rPr/>
        <w:t>these</w:t>
      </w:r>
      <w:r>
        <w:rPr>
          <w:spacing w:val="-14"/>
        </w:rPr>
        <w:t> </w:t>
      </w:r>
      <w:r>
        <w:rPr/>
        <w:t>fields in the last two decades. As a result, population in Richland grew 13.87 percent in a decade in 2000, and 24.16 percent in a decade in 2010. Table LU-2 below indicates the historic population growth</w:t>
      </w:r>
      <w:r>
        <w:rPr>
          <w:spacing w:val="-36"/>
        </w:rPr>
        <w:t> </w:t>
      </w:r>
      <w:r>
        <w:rPr/>
        <w:t>in Richland and Benton</w:t>
      </w:r>
      <w:r>
        <w:rPr>
          <w:spacing w:val="-5"/>
        </w:rPr>
        <w:t> </w:t>
      </w:r>
      <w:r>
        <w:rPr/>
        <w:t>County.</w:t>
      </w:r>
    </w:p>
    <w:p>
      <w:pPr>
        <w:spacing w:before="118"/>
        <w:ind w:left="140" w:right="0" w:firstLine="0"/>
        <w:jc w:val="both"/>
        <w:rPr>
          <w:rFonts w:ascii="Arial"/>
          <w:b/>
          <w:sz w:val="20"/>
        </w:rPr>
      </w:pPr>
      <w:r>
        <w:rPr>
          <w:rFonts w:ascii="Arial"/>
          <w:b/>
          <w:sz w:val="20"/>
        </w:rPr>
        <w:t>Table LU-2: Historic Population Growth in Richland and Benton County</w:t>
      </w:r>
    </w:p>
    <w:p>
      <w:pPr>
        <w:pStyle w:val="BodyText"/>
        <w:spacing w:before="6"/>
        <w:rPr>
          <w:rFonts w:ascii="Arial"/>
          <w:b/>
          <w:sz w:val="10"/>
        </w:rPr>
      </w:pPr>
    </w:p>
    <w:tbl>
      <w:tblPr>
        <w:tblW w:w="0" w:type="auto"/>
        <w:jc w:val="left"/>
        <w:tblInd w:w="2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59"/>
        <w:gridCol w:w="1375"/>
        <w:gridCol w:w="1711"/>
        <w:gridCol w:w="1980"/>
        <w:gridCol w:w="2340"/>
      </w:tblGrid>
      <w:tr>
        <w:trPr>
          <w:trHeight w:val="688" w:hRule="atLeast"/>
        </w:trPr>
        <w:tc>
          <w:tcPr>
            <w:tcW w:w="1159" w:type="dxa"/>
            <w:shd w:val="clear" w:color="auto" w:fill="B8CCE3"/>
          </w:tcPr>
          <w:p>
            <w:pPr>
              <w:pStyle w:val="TableParagraph"/>
              <w:spacing w:before="10"/>
              <w:ind w:left="0"/>
              <w:rPr>
                <w:rFonts w:ascii="Arial"/>
                <w:b/>
                <w:sz w:val="22"/>
              </w:rPr>
            </w:pPr>
          </w:p>
          <w:p>
            <w:pPr>
              <w:pStyle w:val="TableParagraph"/>
              <w:spacing w:before="0"/>
              <w:rPr>
                <w:b/>
                <w:sz w:val="22"/>
              </w:rPr>
            </w:pPr>
            <w:r>
              <w:rPr>
                <w:b/>
                <w:sz w:val="22"/>
              </w:rPr>
              <w:t>Year</w:t>
            </w:r>
          </w:p>
        </w:tc>
        <w:tc>
          <w:tcPr>
            <w:tcW w:w="1375" w:type="dxa"/>
            <w:shd w:val="clear" w:color="auto" w:fill="B8CCE3"/>
          </w:tcPr>
          <w:p>
            <w:pPr>
              <w:pStyle w:val="TableParagraph"/>
              <w:spacing w:before="10"/>
              <w:ind w:left="0"/>
              <w:rPr>
                <w:rFonts w:ascii="Arial"/>
                <w:b/>
                <w:sz w:val="22"/>
              </w:rPr>
            </w:pPr>
          </w:p>
          <w:p>
            <w:pPr>
              <w:pStyle w:val="TableParagraph"/>
              <w:spacing w:before="0"/>
              <w:ind w:left="108"/>
              <w:rPr>
                <w:b/>
                <w:sz w:val="22"/>
              </w:rPr>
            </w:pPr>
            <w:r>
              <w:rPr>
                <w:b/>
                <w:sz w:val="22"/>
              </w:rPr>
              <w:t>Richland</w:t>
            </w:r>
          </w:p>
        </w:tc>
        <w:tc>
          <w:tcPr>
            <w:tcW w:w="1711" w:type="dxa"/>
            <w:shd w:val="clear" w:color="auto" w:fill="B8CCE3"/>
          </w:tcPr>
          <w:p>
            <w:pPr>
              <w:pStyle w:val="TableParagraph"/>
              <w:spacing w:line="280" w:lineRule="atLeast" w:before="97"/>
              <w:ind w:left="108" w:right="570"/>
              <w:rPr>
                <w:b/>
                <w:sz w:val="22"/>
              </w:rPr>
            </w:pPr>
            <w:r>
              <w:rPr>
                <w:b/>
                <w:sz w:val="22"/>
              </w:rPr>
              <w:t>% Change Richland</w:t>
            </w:r>
          </w:p>
        </w:tc>
        <w:tc>
          <w:tcPr>
            <w:tcW w:w="1980" w:type="dxa"/>
            <w:shd w:val="clear" w:color="auto" w:fill="B8CCE3"/>
          </w:tcPr>
          <w:p>
            <w:pPr>
              <w:pStyle w:val="TableParagraph"/>
              <w:spacing w:before="10"/>
              <w:ind w:left="0"/>
              <w:rPr>
                <w:rFonts w:ascii="Arial"/>
                <w:b/>
                <w:sz w:val="22"/>
              </w:rPr>
            </w:pPr>
          </w:p>
          <w:p>
            <w:pPr>
              <w:pStyle w:val="TableParagraph"/>
              <w:spacing w:before="0"/>
              <w:ind w:left="108"/>
              <w:rPr>
                <w:b/>
                <w:sz w:val="22"/>
              </w:rPr>
            </w:pPr>
            <w:r>
              <w:rPr>
                <w:b/>
                <w:sz w:val="22"/>
              </w:rPr>
              <w:t>Benton County</w:t>
            </w:r>
          </w:p>
        </w:tc>
        <w:tc>
          <w:tcPr>
            <w:tcW w:w="2340" w:type="dxa"/>
            <w:shd w:val="clear" w:color="auto" w:fill="B8CCE3"/>
          </w:tcPr>
          <w:p>
            <w:pPr>
              <w:pStyle w:val="TableParagraph"/>
              <w:spacing w:line="280" w:lineRule="atLeast" w:before="97"/>
              <w:ind w:left="108" w:right="420"/>
              <w:rPr>
                <w:b/>
                <w:sz w:val="22"/>
              </w:rPr>
            </w:pPr>
            <w:r>
              <w:rPr>
                <w:b/>
                <w:sz w:val="22"/>
              </w:rPr>
              <w:t>% Change Benton County</w:t>
            </w:r>
          </w:p>
        </w:tc>
      </w:tr>
      <w:tr>
        <w:trPr>
          <w:trHeight w:val="376" w:hRule="atLeast"/>
        </w:trPr>
        <w:tc>
          <w:tcPr>
            <w:tcW w:w="1159" w:type="dxa"/>
          </w:tcPr>
          <w:p>
            <w:pPr>
              <w:pStyle w:val="TableParagraph"/>
              <w:spacing w:before="88"/>
              <w:rPr>
                <w:sz w:val="22"/>
              </w:rPr>
            </w:pPr>
            <w:r>
              <w:rPr>
                <w:sz w:val="22"/>
              </w:rPr>
              <w:t>1950</w:t>
            </w:r>
          </w:p>
        </w:tc>
        <w:tc>
          <w:tcPr>
            <w:tcW w:w="1375" w:type="dxa"/>
          </w:tcPr>
          <w:p>
            <w:pPr>
              <w:pStyle w:val="TableParagraph"/>
              <w:spacing w:before="88"/>
              <w:ind w:left="108"/>
              <w:rPr>
                <w:sz w:val="22"/>
              </w:rPr>
            </w:pPr>
            <w:r>
              <w:rPr>
                <w:sz w:val="22"/>
              </w:rPr>
              <w:t>21,809</w:t>
            </w:r>
          </w:p>
        </w:tc>
        <w:tc>
          <w:tcPr>
            <w:tcW w:w="1711" w:type="dxa"/>
          </w:tcPr>
          <w:p>
            <w:pPr>
              <w:pStyle w:val="TableParagraph"/>
              <w:ind w:left="108"/>
              <w:rPr>
                <w:sz w:val="22"/>
              </w:rPr>
            </w:pPr>
            <w:r>
              <w:rPr>
                <w:sz w:val="22"/>
              </w:rPr>
              <w:t>n/a</w:t>
            </w:r>
          </w:p>
        </w:tc>
        <w:tc>
          <w:tcPr>
            <w:tcW w:w="1980" w:type="dxa"/>
          </w:tcPr>
          <w:p>
            <w:pPr>
              <w:pStyle w:val="TableParagraph"/>
              <w:spacing w:before="88"/>
              <w:ind w:left="108"/>
              <w:rPr>
                <w:sz w:val="22"/>
              </w:rPr>
            </w:pPr>
            <w:r>
              <w:rPr>
                <w:sz w:val="22"/>
              </w:rPr>
              <w:t>Data not available</w:t>
            </w:r>
          </w:p>
        </w:tc>
        <w:tc>
          <w:tcPr>
            <w:tcW w:w="2340" w:type="dxa"/>
          </w:tcPr>
          <w:p>
            <w:pPr>
              <w:pStyle w:val="TableParagraph"/>
              <w:ind w:left="108"/>
              <w:rPr>
                <w:sz w:val="22"/>
              </w:rPr>
            </w:pPr>
            <w:r>
              <w:rPr>
                <w:sz w:val="22"/>
              </w:rPr>
              <w:t>Data not available</w:t>
            </w:r>
          </w:p>
        </w:tc>
      </w:tr>
      <w:tr>
        <w:trPr>
          <w:trHeight w:val="318" w:hRule="atLeast"/>
        </w:trPr>
        <w:tc>
          <w:tcPr>
            <w:tcW w:w="1159" w:type="dxa"/>
          </w:tcPr>
          <w:p>
            <w:pPr>
              <w:pStyle w:val="TableParagraph"/>
              <w:spacing w:line="239" w:lineRule="exact"/>
              <w:rPr>
                <w:sz w:val="22"/>
              </w:rPr>
            </w:pPr>
            <w:r>
              <w:rPr>
                <w:sz w:val="22"/>
              </w:rPr>
              <w:t>1960</w:t>
            </w:r>
          </w:p>
        </w:tc>
        <w:tc>
          <w:tcPr>
            <w:tcW w:w="1375" w:type="dxa"/>
          </w:tcPr>
          <w:p>
            <w:pPr>
              <w:pStyle w:val="TableParagraph"/>
              <w:spacing w:line="239" w:lineRule="exact"/>
              <w:ind w:left="108"/>
              <w:rPr>
                <w:sz w:val="22"/>
              </w:rPr>
            </w:pPr>
            <w:r>
              <w:rPr>
                <w:sz w:val="22"/>
              </w:rPr>
              <w:t>23,548</w:t>
            </w:r>
          </w:p>
        </w:tc>
        <w:tc>
          <w:tcPr>
            <w:tcW w:w="1711" w:type="dxa"/>
          </w:tcPr>
          <w:p>
            <w:pPr>
              <w:pStyle w:val="TableParagraph"/>
              <w:spacing w:line="239" w:lineRule="exact"/>
              <w:ind w:left="108"/>
              <w:rPr>
                <w:sz w:val="22"/>
              </w:rPr>
            </w:pPr>
            <w:r>
              <w:rPr>
                <w:sz w:val="22"/>
              </w:rPr>
              <w:t>7.97%</w:t>
            </w:r>
          </w:p>
        </w:tc>
        <w:tc>
          <w:tcPr>
            <w:tcW w:w="1980" w:type="dxa"/>
          </w:tcPr>
          <w:p>
            <w:pPr>
              <w:pStyle w:val="TableParagraph"/>
              <w:spacing w:line="239" w:lineRule="exact"/>
              <w:ind w:left="108"/>
              <w:rPr>
                <w:sz w:val="22"/>
              </w:rPr>
            </w:pPr>
            <w:r>
              <w:rPr>
                <w:sz w:val="22"/>
              </w:rPr>
              <w:t>62,070</w:t>
            </w:r>
          </w:p>
        </w:tc>
        <w:tc>
          <w:tcPr>
            <w:tcW w:w="2340" w:type="dxa"/>
          </w:tcPr>
          <w:p>
            <w:pPr>
              <w:pStyle w:val="TableParagraph"/>
              <w:spacing w:line="239" w:lineRule="exact"/>
              <w:ind w:left="108"/>
              <w:rPr>
                <w:sz w:val="22"/>
              </w:rPr>
            </w:pPr>
            <w:r>
              <w:rPr>
                <w:sz w:val="22"/>
              </w:rPr>
              <w:t>Data not available</w:t>
            </w:r>
          </w:p>
        </w:tc>
      </w:tr>
      <w:tr>
        <w:trPr>
          <w:trHeight w:val="316" w:hRule="atLeast"/>
        </w:trPr>
        <w:tc>
          <w:tcPr>
            <w:tcW w:w="1159" w:type="dxa"/>
          </w:tcPr>
          <w:p>
            <w:pPr>
              <w:pStyle w:val="TableParagraph"/>
              <w:spacing w:line="237" w:lineRule="exact"/>
              <w:rPr>
                <w:sz w:val="22"/>
              </w:rPr>
            </w:pPr>
            <w:r>
              <w:rPr>
                <w:sz w:val="22"/>
              </w:rPr>
              <w:t>1970</w:t>
            </w:r>
          </w:p>
        </w:tc>
        <w:tc>
          <w:tcPr>
            <w:tcW w:w="1375" w:type="dxa"/>
          </w:tcPr>
          <w:p>
            <w:pPr>
              <w:pStyle w:val="TableParagraph"/>
              <w:spacing w:line="237" w:lineRule="exact"/>
              <w:ind w:left="108"/>
              <w:rPr>
                <w:sz w:val="22"/>
              </w:rPr>
            </w:pPr>
            <w:r>
              <w:rPr>
                <w:sz w:val="22"/>
              </w:rPr>
              <w:t>26,290</w:t>
            </w:r>
          </w:p>
        </w:tc>
        <w:tc>
          <w:tcPr>
            <w:tcW w:w="1711" w:type="dxa"/>
          </w:tcPr>
          <w:p>
            <w:pPr>
              <w:pStyle w:val="TableParagraph"/>
              <w:spacing w:line="237" w:lineRule="exact"/>
              <w:ind w:left="108"/>
              <w:rPr>
                <w:sz w:val="22"/>
              </w:rPr>
            </w:pPr>
            <w:r>
              <w:rPr>
                <w:sz w:val="22"/>
              </w:rPr>
              <w:t>11.64%</w:t>
            </w:r>
          </w:p>
        </w:tc>
        <w:tc>
          <w:tcPr>
            <w:tcW w:w="1980" w:type="dxa"/>
          </w:tcPr>
          <w:p>
            <w:pPr>
              <w:pStyle w:val="TableParagraph"/>
              <w:spacing w:line="237" w:lineRule="exact"/>
              <w:ind w:left="108"/>
              <w:rPr>
                <w:sz w:val="22"/>
              </w:rPr>
            </w:pPr>
            <w:r>
              <w:rPr>
                <w:sz w:val="22"/>
              </w:rPr>
              <w:t>67,540</w:t>
            </w:r>
          </w:p>
        </w:tc>
        <w:tc>
          <w:tcPr>
            <w:tcW w:w="2340" w:type="dxa"/>
          </w:tcPr>
          <w:p>
            <w:pPr>
              <w:pStyle w:val="TableParagraph"/>
              <w:spacing w:line="237" w:lineRule="exact"/>
              <w:ind w:left="108"/>
              <w:rPr>
                <w:sz w:val="22"/>
              </w:rPr>
            </w:pPr>
            <w:r>
              <w:rPr>
                <w:sz w:val="22"/>
              </w:rPr>
              <w:t>8.81%</w:t>
            </w:r>
          </w:p>
        </w:tc>
      </w:tr>
      <w:tr>
        <w:trPr>
          <w:trHeight w:val="318" w:hRule="atLeast"/>
        </w:trPr>
        <w:tc>
          <w:tcPr>
            <w:tcW w:w="1159" w:type="dxa"/>
          </w:tcPr>
          <w:p>
            <w:pPr>
              <w:pStyle w:val="TableParagraph"/>
              <w:spacing w:line="237" w:lineRule="exact" w:before="62"/>
              <w:rPr>
                <w:sz w:val="22"/>
              </w:rPr>
            </w:pPr>
            <w:r>
              <w:rPr>
                <w:sz w:val="22"/>
              </w:rPr>
              <w:t>1980</w:t>
            </w:r>
          </w:p>
        </w:tc>
        <w:tc>
          <w:tcPr>
            <w:tcW w:w="1375" w:type="dxa"/>
          </w:tcPr>
          <w:p>
            <w:pPr>
              <w:pStyle w:val="TableParagraph"/>
              <w:spacing w:line="237" w:lineRule="exact" w:before="62"/>
              <w:ind w:left="108"/>
              <w:rPr>
                <w:sz w:val="22"/>
              </w:rPr>
            </w:pPr>
            <w:r>
              <w:rPr>
                <w:sz w:val="22"/>
              </w:rPr>
              <w:t>33,578</w:t>
            </w:r>
          </w:p>
        </w:tc>
        <w:tc>
          <w:tcPr>
            <w:tcW w:w="1711" w:type="dxa"/>
          </w:tcPr>
          <w:p>
            <w:pPr>
              <w:pStyle w:val="TableParagraph"/>
              <w:spacing w:line="237" w:lineRule="exact" w:before="62"/>
              <w:ind w:left="108"/>
              <w:rPr>
                <w:sz w:val="22"/>
              </w:rPr>
            </w:pPr>
            <w:r>
              <w:rPr>
                <w:sz w:val="22"/>
              </w:rPr>
              <w:t>27.72%</w:t>
            </w:r>
          </w:p>
        </w:tc>
        <w:tc>
          <w:tcPr>
            <w:tcW w:w="1980" w:type="dxa"/>
          </w:tcPr>
          <w:p>
            <w:pPr>
              <w:pStyle w:val="TableParagraph"/>
              <w:spacing w:line="237" w:lineRule="exact" w:before="62"/>
              <w:ind w:left="108"/>
              <w:rPr>
                <w:sz w:val="22"/>
              </w:rPr>
            </w:pPr>
            <w:r>
              <w:rPr>
                <w:sz w:val="22"/>
              </w:rPr>
              <w:t>105,800</w:t>
            </w:r>
          </w:p>
        </w:tc>
        <w:tc>
          <w:tcPr>
            <w:tcW w:w="2340" w:type="dxa"/>
          </w:tcPr>
          <w:p>
            <w:pPr>
              <w:pStyle w:val="TableParagraph"/>
              <w:spacing w:line="237" w:lineRule="exact" w:before="62"/>
              <w:ind w:left="108"/>
              <w:rPr>
                <w:sz w:val="22"/>
              </w:rPr>
            </w:pPr>
            <w:r>
              <w:rPr>
                <w:sz w:val="22"/>
              </w:rPr>
              <w:t>56.65%</w:t>
            </w:r>
          </w:p>
        </w:tc>
      </w:tr>
      <w:tr>
        <w:trPr>
          <w:trHeight w:val="318" w:hRule="atLeast"/>
        </w:trPr>
        <w:tc>
          <w:tcPr>
            <w:tcW w:w="1159" w:type="dxa"/>
          </w:tcPr>
          <w:p>
            <w:pPr>
              <w:pStyle w:val="TableParagraph"/>
              <w:spacing w:line="239" w:lineRule="exact"/>
              <w:rPr>
                <w:sz w:val="22"/>
              </w:rPr>
            </w:pPr>
            <w:r>
              <w:rPr>
                <w:sz w:val="22"/>
              </w:rPr>
              <w:t>1990</w:t>
            </w:r>
          </w:p>
        </w:tc>
        <w:tc>
          <w:tcPr>
            <w:tcW w:w="1375" w:type="dxa"/>
          </w:tcPr>
          <w:p>
            <w:pPr>
              <w:pStyle w:val="TableParagraph"/>
              <w:spacing w:line="239" w:lineRule="exact"/>
              <w:ind w:left="108"/>
              <w:rPr>
                <w:sz w:val="22"/>
              </w:rPr>
            </w:pPr>
            <w:r>
              <w:rPr>
                <w:sz w:val="22"/>
              </w:rPr>
              <w:t>33,993</w:t>
            </w:r>
          </w:p>
        </w:tc>
        <w:tc>
          <w:tcPr>
            <w:tcW w:w="1711" w:type="dxa"/>
          </w:tcPr>
          <w:p>
            <w:pPr>
              <w:pStyle w:val="TableParagraph"/>
              <w:spacing w:line="239" w:lineRule="exact"/>
              <w:ind w:left="108"/>
              <w:rPr>
                <w:sz w:val="22"/>
              </w:rPr>
            </w:pPr>
            <w:r>
              <w:rPr>
                <w:sz w:val="22"/>
              </w:rPr>
              <w:t>1.24%</w:t>
            </w:r>
          </w:p>
        </w:tc>
        <w:tc>
          <w:tcPr>
            <w:tcW w:w="1980" w:type="dxa"/>
          </w:tcPr>
          <w:p>
            <w:pPr>
              <w:pStyle w:val="TableParagraph"/>
              <w:spacing w:line="239" w:lineRule="exact"/>
              <w:ind w:left="108"/>
              <w:rPr>
                <w:sz w:val="22"/>
              </w:rPr>
            </w:pPr>
            <w:r>
              <w:rPr>
                <w:sz w:val="22"/>
              </w:rPr>
              <w:t>112,560</w:t>
            </w:r>
          </w:p>
        </w:tc>
        <w:tc>
          <w:tcPr>
            <w:tcW w:w="2340" w:type="dxa"/>
          </w:tcPr>
          <w:p>
            <w:pPr>
              <w:pStyle w:val="TableParagraph"/>
              <w:spacing w:line="239" w:lineRule="exact"/>
              <w:ind w:left="108"/>
              <w:rPr>
                <w:sz w:val="22"/>
              </w:rPr>
            </w:pPr>
            <w:r>
              <w:rPr>
                <w:sz w:val="22"/>
              </w:rPr>
              <w:t>6.39%</w:t>
            </w:r>
          </w:p>
        </w:tc>
      </w:tr>
      <w:tr>
        <w:trPr>
          <w:trHeight w:val="316" w:hRule="atLeast"/>
        </w:trPr>
        <w:tc>
          <w:tcPr>
            <w:tcW w:w="1159" w:type="dxa"/>
          </w:tcPr>
          <w:p>
            <w:pPr>
              <w:pStyle w:val="TableParagraph"/>
              <w:spacing w:line="237" w:lineRule="exact"/>
              <w:rPr>
                <w:sz w:val="22"/>
              </w:rPr>
            </w:pPr>
            <w:r>
              <w:rPr>
                <w:sz w:val="22"/>
              </w:rPr>
              <w:t>2000</w:t>
            </w:r>
          </w:p>
        </w:tc>
        <w:tc>
          <w:tcPr>
            <w:tcW w:w="1375" w:type="dxa"/>
          </w:tcPr>
          <w:p>
            <w:pPr>
              <w:pStyle w:val="TableParagraph"/>
              <w:spacing w:line="237" w:lineRule="exact"/>
              <w:ind w:left="108"/>
              <w:rPr>
                <w:sz w:val="22"/>
              </w:rPr>
            </w:pPr>
            <w:r>
              <w:rPr>
                <w:sz w:val="22"/>
              </w:rPr>
              <w:t>38,708</w:t>
            </w:r>
          </w:p>
        </w:tc>
        <w:tc>
          <w:tcPr>
            <w:tcW w:w="1711" w:type="dxa"/>
          </w:tcPr>
          <w:p>
            <w:pPr>
              <w:pStyle w:val="TableParagraph"/>
              <w:spacing w:line="237" w:lineRule="exact"/>
              <w:ind w:left="108"/>
              <w:rPr>
                <w:sz w:val="22"/>
              </w:rPr>
            </w:pPr>
            <w:r>
              <w:rPr>
                <w:sz w:val="22"/>
              </w:rPr>
              <w:t>13.87%</w:t>
            </w:r>
          </w:p>
        </w:tc>
        <w:tc>
          <w:tcPr>
            <w:tcW w:w="1980" w:type="dxa"/>
          </w:tcPr>
          <w:p>
            <w:pPr>
              <w:pStyle w:val="TableParagraph"/>
              <w:spacing w:line="237" w:lineRule="exact"/>
              <w:ind w:left="108"/>
              <w:rPr>
                <w:sz w:val="22"/>
              </w:rPr>
            </w:pPr>
            <w:r>
              <w:rPr>
                <w:sz w:val="22"/>
              </w:rPr>
              <w:t>142,475</w:t>
            </w:r>
          </w:p>
        </w:tc>
        <w:tc>
          <w:tcPr>
            <w:tcW w:w="2340" w:type="dxa"/>
          </w:tcPr>
          <w:p>
            <w:pPr>
              <w:pStyle w:val="TableParagraph"/>
              <w:spacing w:line="237" w:lineRule="exact"/>
              <w:ind w:left="108"/>
              <w:rPr>
                <w:sz w:val="22"/>
              </w:rPr>
            </w:pPr>
            <w:r>
              <w:rPr>
                <w:sz w:val="22"/>
              </w:rPr>
              <w:t>26.58%</w:t>
            </w:r>
          </w:p>
        </w:tc>
      </w:tr>
      <w:tr>
        <w:trPr>
          <w:trHeight w:val="318" w:hRule="atLeast"/>
        </w:trPr>
        <w:tc>
          <w:tcPr>
            <w:tcW w:w="1159" w:type="dxa"/>
          </w:tcPr>
          <w:p>
            <w:pPr>
              <w:pStyle w:val="TableParagraph"/>
              <w:spacing w:line="239" w:lineRule="exact"/>
              <w:rPr>
                <w:sz w:val="22"/>
              </w:rPr>
            </w:pPr>
            <w:r>
              <w:rPr>
                <w:sz w:val="22"/>
              </w:rPr>
              <w:t>2010</w:t>
            </w:r>
          </w:p>
        </w:tc>
        <w:tc>
          <w:tcPr>
            <w:tcW w:w="1375" w:type="dxa"/>
          </w:tcPr>
          <w:p>
            <w:pPr>
              <w:pStyle w:val="TableParagraph"/>
              <w:spacing w:line="239" w:lineRule="exact"/>
              <w:ind w:left="108"/>
              <w:rPr>
                <w:sz w:val="22"/>
              </w:rPr>
            </w:pPr>
            <w:r>
              <w:rPr>
                <w:sz w:val="22"/>
              </w:rPr>
              <w:t>48,058</w:t>
            </w:r>
          </w:p>
        </w:tc>
        <w:tc>
          <w:tcPr>
            <w:tcW w:w="1711" w:type="dxa"/>
          </w:tcPr>
          <w:p>
            <w:pPr>
              <w:pStyle w:val="TableParagraph"/>
              <w:spacing w:line="239" w:lineRule="exact"/>
              <w:ind w:left="108"/>
              <w:rPr>
                <w:sz w:val="22"/>
              </w:rPr>
            </w:pPr>
            <w:r>
              <w:rPr>
                <w:sz w:val="22"/>
              </w:rPr>
              <w:t>24.16%</w:t>
            </w:r>
          </w:p>
        </w:tc>
        <w:tc>
          <w:tcPr>
            <w:tcW w:w="1980" w:type="dxa"/>
          </w:tcPr>
          <w:p>
            <w:pPr>
              <w:pStyle w:val="TableParagraph"/>
              <w:spacing w:line="239" w:lineRule="exact"/>
              <w:ind w:left="108"/>
              <w:rPr>
                <w:sz w:val="22"/>
              </w:rPr>
            </w:pPr>
            <w:r>
              <w:rPr>
                <w:sz w:val="22"/>
              </w:rPr>
              <w:t>175,177</w:t>
            </w:r>
          </w:p>
        </w:tc>
        <w:tc>
          <w:tcPr>
            <w:tcW w:w="2340" w:type="dxa"/>
          </w:tcPr>
          <w:p>
            <w:pPr>
              <w:pStyle w:val="TableParagraph"/>
              <w:spacing w:line="239" w:lineRule="exact"/>
              <w:ind w:left="108"/>
              <w:rPr>
                <w:sz w:val="22"/>
              </w:rPr>
            </w:pPr>
            <w:r>
              <w:rPr>
                <w:sz w:val="22"/>
              </w:rPr>
              <w:t>22.95%</w:t>
            </w:r>
          </w:p>
        </w:tc>
      </w:tr>
    </w:tbl>
    <w:p>
      <w:pPr>
        <w:pStyle w:val="BodyText"/>
        <w:spacing w:before="119"/>
        <w:ind w:left="140" w:right="335"/>
        <w:jc w:val="both"/>
      </w:pPr>
      <w:r>
        <w:rPr/>
        <w:t>Population in Richland has grown significantly in the last decade from 44,678 in 2007 to 53,410 in 2016.</w:t>
      </w:r>
      <w:r>
        <w:rPr>
          <w:spacing w:val="-11"/>
        </w:rPr>
        <w:t> </w:t>
      </w:r>
      <w:r>
        <w:rPr/>
        <w:t>Much</w:t>
      </w:r>
      <w:r>
        <w:rPr>
          <w:spacing w:val="-11"/>
        </w:rPr>
        <w:t> </w:t>
      </w:r>
      <w:r>
        <w:rPr/>
        <w:t>of</w:t>
      </w:r>
      <w:r>
        <w:rPr>
          <w:spacing w:val="-11"/>
        </w:rPr>
        <w:t> </w:t>
      </w:r>
      <w:r>
        <w:rPr/>
        <w:t>this</w:t>
      </w:r>
      <w:r>
        <w:rPr>
          <w:spacing w:val="-12"/>
        </w:rPr>
        <w:t> </w:t>
      </w:r>
      <w:r>
        <w:rPr/>
        <w:t>growth</w:t>
      </w:r>
      <w:r>
        <w:rPr>
          <w:spacing w:val="-13"/>
        </w:rPr>
        <w:t> </w:t>
      </w:r>
      <w:r>
        <w:rPr/>
        <w:t>can</w:t>
      </w:r>
      <w:r>
        <w:rPr>
          <w:spacing w:val="-12"/>
        </w:rPr>
        <w:t> </w:t>
      </w:r>
      <w:r>
        <w:rPr/>
        <w:t>be</w:t>
      </w:r>
      <w:r>
        <w:rPr>
          <w:spacing w:val="-11"/>
        </w:rPr>
        <w:t> </w:t>
      </w:r>
      <w:r>
        <w:rPr/>
        <w:t>linked</w:t>
      </w:r>
      <w:r>
        <w:rPr>
          <w:spacing w:val="-11"/>
        </w:rPr>
        <w:t> </w:t>
      </w:r>
      <w:r>
        <w:rPr/>
        <w:t>with</w:t>
      </w:r>
      <w:r>
        <w:rPr>
          <w:spacing w:val="-11"/>
        </w:rPr>
        <w:t> </w:t>
      </w:r>
      <w:r>
        <w:rPr/>
        <w:t>the</w:t>
      </w:r>
      <w:r>
        <w:rPr>
          <w:spacing w:val="-11"/>
        </w:rPr>
        <w:t> </w:t>
      </w:r>
      <w:r>
        <w:rPr/>
        <w:t>Department</w:t>
      </w:r>
      <w:r>
        <w:rPr>
          <w:spacing w:val="-11"/>
        </w:rPr>
        <w:t> </w:t>
      </w:r>
      <w:r>
        <w:rPr/>
        <w:t>of</w:t>
      </w:r>
      <w:r>
        <w:rPr>
          <w:spacing w:val="-11"/>
        </w:rPr>
        <w:t> </w:t>
      </w:r>
      <w:r>
        <w:rPr/>
        <w:t>Energy’s</w:t>
      </w:r>
      <w:r>
        <w:rPr>
          <w:spacing w:val="-10"/>
        </w:rPr>
        <w:t> </w:t>
      </w:r>
      <w:r>
        <w:rPr/>
        <w:t>nuclear</w:t>
      </w:r>
      <w:r>
        <w:rPr>
          <w:spacing w:val="-12"/>
        </w:rPr>
        <w:t> </w:t>
      </w:r>
      <w:r>
        <w:rPr/>
        <w:t>cleanup</w:t>
      </w:r>
      <w:r>
        <w:rPr>
          <w:spacing w:val="-11"/>
        </w:rPr>
        <w:t> </w:t>
      </w:r>
      <w:r>
        <w:rPr/>
        <w:t>and</w:t>
      </w:r>
      <w:r>
        <w:rPr>
          <w:spacing w:val="-12"/>
        </w:rPr>
        <w:t> </w:t>
      </w:r>
      <w:r>
        <w:rPr/>
        <w:t>related operations</w:t>
      </w:r>
      <w:r>
        <w:rPr>
          <w:spacing w:val="-11"/>
        </w:rPr>
        <w:t> </w:t>
      </w:r>
      <w:r>
        <w:rPr/>
        <w:t>at</w:t>
      </w:r>
      <w:r>
        <w:rPr>
          <w:spacing w:val="-12"/>
        </w:rPr>
        <w:t> </w:t>
      </w:r>
      <w:r>
        <w:rPr/>
        <w:t>the</w:t>
      </w:r>
      <w:r>
        <w:rPr>
          <w:spacing w:val="-11"/>
        </w:rPr>
        <w:t> </w:t>
      </w:r>
      <w:r>
        <w:rPr/>
        <w:t>Hanford</w:t>
      </w:r>
      <w:r>
        <w:rPr>
          <w:spacing w:val="-14"/>
        </w:rPr>
        <w:t> </w:t>
      </w:r>
      <w:r>
        <w:rPr/>
        <w:t>Site.</w:t>
      </w:r>
      <w:r>
        <w:rPr>
          <w:spacing w:val="-11"/>
        </w:rPr>
        <w:t> </w:t>
      </w:r>
      <w:r>
        <w:rPr/>
        <w:t>However,</w:t>
      </w:r>
      <w:r>
        <w:rPr>
          <w:spacing w:val="-11"/>
        </w:rPr>
        <w:t> </w:t>
      </w:r>
      <w:r>
        <w:rPr/>
        <w:t>the</w:t>
      </w:r>
      <w:r>
        <w:rPr>
          <w:spacing w:val="-11"/>
        </w:rPr>
        <w:t> </w:t>
      </w:r>
      <w:r>
        <w:rPr/>
        <w:t>economy</w:t>
      </w:r>
      <w:r>
        <w:rPr>
          <w:spacing w:val="-12"/>
        </w:rPr>
        <w:t> </w:t>
      </w:r>
      <w:r>
        <w:rPr/>
        <w:t>in</w:t>
      </w:r>
      <w:r>
        <w:rPr>
          <w:spacing w:val="-12"/>
        </w:rPr>
        <w:t> </w:t>
      </w:r>
      <w:r>
        <w:rPr/>
        <w:t>the</w:t>
      </w:r>
      <w:r>
        <w:rPr>
          <w:spacing w:val="-11"/>
        </w:rPr>
        <w:t> </w:t>
      </w:r>
      <w:r>
        <w:rPr/>
        <w:t>Tri-Cities</w:t>
      </w:r>
      <w:r>
        <w:rPr>
          <w:spacing w:val="-10"/>
        </w:rPr>
        <w:t> </w:t>
      </w:r>
      <w:r>
        <w:rPr/>
        <w:t>area</w:t>
      </w:r>
      <w:r>
        <w:rPr>
          <w:spacing w:val="-11"/>
        </w:rPr>
        <w:t> </w:t>
      </w:r>
      <w:r>
        <w:rPr/>
        <w:t>is</w:t>
      </w:r>
      <w:r>
        <w:rPr>
          <w:spacing w:val="-13"/>
        </w:rPr>
        <w:t> </w:t>
      </w:r>
      <w:r>
        <w:rPr/>
        <w:t>becoming</w:t>
      </w:r>
      <w:r>
        <w:rPr>
          <w:spacing w:val="-10"/>
        </w:rPr>
        <w:t> </w:t>
      </w:r>
      <w:r>
        <w:rPr/>
        <w:t>more</w:t>
      </w:r>
      <w:r>
        <w:rPr>
          <w:spacing w:val="-12"/>
        </w:rPr>
        <w:t> </w:t>
      </w:r>
      <w:r>
        <w:rPr/>
        <w:t>diverse with</w:t>
      </w:r>
      <w:r>
        <w:rPr>
          <w:spacing w:val="-7"/>
        </w:rPr>
        <w:t> </w:t>
      </w:r>
      <w:r>
        <w:rPr/>
        <w:t>the</w:t>
      </w:r>
      <w:r>
        <w:rPr>
          <w:spacing w:val="-10"/>
        </w:rPr>
        <w:t> </w:t>
      </w:r>
      <w:r>
        <w:rPr/>
        <w:t>growth</w:t>
      </w:r>
      <w:r>
        <w:rPr>
          <w:spacing w:val="-6"/>
        </w:rPr>
        <w:t> </w:t>
      </w:r>
      <w:r>
        <w:rPr/>
        <w:t>of</w:t>
      </w:r>
      <w:r>
        <w:rPr>
          <w:spacing w:val="-7"/>
        </w:rPr>
        <w:t> </w:t>
      </w:r>
      <w:r>
        <w:rPr/>
        <w:t>other</w:t>
      </w:r>
      <w:r>
        <w:rPr>
          <w:spacing w:val="-9"/>
        </w:rPr>
        <w:t> </w:t>
      </w:r>
      <w:r>
        <w:rPr/>
        <w:t>employment</w:t>
      </w:r>
      <w:r>
        <w:rPr>
          <w:spacing w:val="-10"/>
        </w:rPr>
        <w:t> </w:t>
      </w:r>
      <w:r>
        <w:rPr/>
        <w:t>sectors</w:t>
      </w:r>
      <w:r>
        <w:rPr>
          <w:spacing w:val="-9"/>
        </w:rPr>
        <w:t> </w:t>
      </w:r>
      <w:r>
        <w:rPr/>
        <w:t>such</w:t>
      </w:r>
      <w:r>
        <w:rPr>
          <w:spacing w:val="-6"/>
        </w:rPr>
        <w:t> </w:t>
      </w:r>
      <w:r>
        <w:rPr/>
        <w:t>as</w:t>
      </w:r>
      <w:r>
        <w:rPr>
          <w:spacing w:val="-7"/>
        </w:rPr>
        <w:t> </w:t>
      </w:r>
      <w:r>
        <w:rPr/>
        <w:t>healthcare</w:t>
      </w:r>
      <w:r>
        <w:rPr>
          <w:spacing w:val="-7"/>
        </w:rPr>
        <w:t> </w:t>
      </w:r>
      <w:r>
        <w:rPr/>
        <w:t>and</w:t>
      </w:r>
      <w:r>
        <w:rPr>
          <w:spacing w:val="-9"/>
        </w:rPr>
        <w:t> </w:t>
      </w:r>
      <w:r>
        <w:rPr/>
        <w:t>education.</w:t>
      </w:r>
      <w:r>
        <w:rPr>
          <w:spacing w:val="-7"/>
        </w:rPr>
        <w:t> </w:t>
      </w:r>
      <w:r>
        <w:rPr/>
        <w:t>It</w:t>
      </w:r>
      <w:r>
        <w:rPr>
          <w:spacing w:val="-7"/>
        </w:rPr>
        <w:t> </w:t>
      </w:r>
      <w:r>
        <w:rPr/>
        <w:t>appeared</w:t>
      </w:r>
      <w:r>
        <w:rPr>
          <w:spacing w:val="-10"/>
        </w:rPr>
        <w:t> </w:t>
      </w:r>
      <w:r>
        <w:rPr/>
        <w:t>from</w:t>
      </w:r>
      <w:r>
        <w:rPr>
          <w:spacing w:val="-6"/>
        </w:rPr>
        <w:t> </w:t>
      </w:r>
      <w:r>
        <w:rPr/>
        <w:t>the past</w:t>
      </w:r>
      <w:r>
        <w:rPr>
          <w:spacing w:val="-7"/>
        </w:rPr>
        <w:t> </w:t>
      </w:r>
      <w:r>
        <w:rPr/>
        <w:t>trends</w:t>
      </w:r>
      <w:r>
        <w:rPr>
          <w:spacing w:val="-4"/>
        </w:rPr>
        <w:t> </w:t>
      </w:r>
      <w:r>
        <w:rPr/>
        <w:t>that</w:t>
      </w:r>
      <w:r>
        <w:rPr>
          <w:spacing w:val="-9"/>
        </w:rPr>
        <w:t> </w:t>
      </w:r>
      <w:r>
        <w:rPr/>
        <w:t>many</w:t>
      </w:r>
      <w:r>
        <w:rPr>
          <w:spacing w:val="-7"/>
        </w:rPr>
        <w:t> </w:t>
      </w:r>
      <w:r>
        <w:rPr/>
        <w:t>of</w:t>
      </w:r>
      <w:r>
        <w:rPr>
          <w:spacing w:val="-6"/>
        </w:rPr>
        <w:t> </w:t>
      </w:r>
      <w:r>
        <w:rPr/>
        <w:t>the</w:t>
      </w:r>
      <w:r>
        <w:rPr>
          <w:spacing w:val="-5"/>
        </w:rPr>
        <w:t> </w:t>
      </w:r>
      <w:r>
        <w:rPr/>
        <w:t>individuals</w:t>
      </w:r>
      <w:r>
        <w:rPr>
          <w:spacing w:val="-5"/>
        </w:rPr>
        <w:t> </w:t>
      </w:r>
      <w:r>
        <w:rPr/>
        <w:t>retiring</w:t>
      </w:r>
      <w:r>
        <w:rPr>
          <w:spacing w:val="-5"/>
        </w:rPr>
        <w:t> </w:t>
      </w:r>
      <w:r>
        <w:rPr/>
        <w:t>from</w:t>
      </w:r>
      <w:r>
        <w:rPr>
          <w:spacing w:val="-5"/>
        </w:rPr>
        <w:t> </w:t>
      </w:r>
      <w:r>
        <w:rPr/>
        <w:t>Hanford</w:t>
      </w:r>
      <w:r>
        <w:rPr>
          <w:spacing w:val="-9"/>
        </w:rPr>
        <w:t> </w:t>
      </w:r>
      <w:r>
        <w:rPr/>
        <w:t>chose</w:t>
      </w:r>
      <w:r>
        <w:rPr>
          <w:spacing w:val="-5"/>
        </w:rPr>
        <w:t> </w:t>
      </w:r>
      <w:r>
        <w:rPr/>
        <w:t>to</w:t>
      </w:r>
      <w:r>
        <w:rPr>
          <w:spacing w:val="-6"/>
        </w:rPr>
        <w:t> </w:t>
      </w:r>
      <w:r>
        <w:rPr/>
        <w:t>stay</w:t>
      </w:r>
      <w:r>
        <w:rPr>
          <w:spacing w:val="-7"/>
        </w:rPr>
        <w:t> </w:t>
      </w:r>
      <w:r>
        <w:rPr/>
        <w:t>in</w:t>
      </w:r>
      <w:r>
        <w:rPr>
          <w:spacing w:val="-7"/>
        </w:rPr>
        <w:t> </w:t>
      </w:r>
      <w:r>
        <w:rPr/>
        <w:t>Richland</w:t>
      </w:r>
      <w:r>
        <w:rPr>
          <w:spacing w:val="-7"/>
        </w:rPr>
        <w:t> </w:t>
      </w:r>
      <w:r>
        <w:rPr/>
        <w:t>or</w:t>
      </w:r>
      <w:r>
        <w:rPr>
          <w:spacing w:val="-6"/>
        </w:rPr>
        <w:t> </w:t>
      </w:r>
      <w:r>
        <w:rPr/>
        <w:t>in</w:t>
      </w:r>
      <w:r>
        <w:rPr>
          <w:spacing w:val="-8"/>
        </w:rPr>
        <w:t> </w:t>
      </w:r>
      <w:r>
        <w:rPr/>
        <w:t>the</w:t>
      </w:r>
      <w:r>
        <w:rPr>
          <w:spacing w:val="-8"/>
        </w:rPr>
        <w:t> </w:t>
      </w:r>
      <w:r>
        <w:rPr/>
        <w:t>Tri- Cities area. Table ED-14 indicates about 28 percent of Richland’s population are 55 years or older, and 25 percent of the total population are 18 years or under. These contribute to Richland’s family- friendly environment and education sector</w:t>
      </w:r>
      <w:r>
        <w:rPr>
          <w:spacing w:val="-10"/>
        </w:rPr>
        <w:t> </w:t>
      </w:r>
      <w:r>
        <w:rPr/>
        <w:t>improvement.</w:t>
      </w:r>
    </w:p>
    <w:p>
      <w:pPr>
        <w:spacing w:after="0"/>
        <w:jc w:val="both"/>
        <w:sectPr>
          <w:pgSz w:w="12240" w:h="15840"/>
          <w:pgMar w:header="0" w:footer="1132" w:top="1420" w:bottom="1320" w:left="1300" w:right="1100"/>
        </w:sectPr>
      </w:pPr>
    </w:p>
    <w:p>
      <w:pPr>
        <w:spacing w:before="79"/>
        <w:ind w:left="140" w:right="0" w:firstLine="0"/>
        <w:jc w:val="both"/>
        <w:rPr>
          <w:rFonts w:ascii="Arial"/>
          <w:b/>
          <w:sz w:val="20"/>
        </w:rPr>
      </w:pPr>
      <w:r>
        <w:rPr/>
        <w:pict>
          <v:group style="position:absolute;margin-left:71.625pt;margin-top:21.093897pt;width:429.75pt;height:179.8pt;mso-position-horizontal-relative:page;mso-position-vertical-relative:paragraph;z-index:-251614208;mso-wrap-distance-left:0;mso-wrap-distance-right:0" coordorigin="1433,422" coordsize="8595,3596">
            <v:line style="position:absolute" from="9578,3171" to="9800,3171" stroked="true" strokeweight=".75pt" strokecolor="#858585">
              <v:stroke dashstyle="solid"/>
            </v:line>
            <v:line style="position:absolute" from="8834,3171" to="9281,3171" stroked="true" strokeweight=".75pt" strokecolor="#858585">
              <v:stroke dashstyle="solid"/>
            </v:line>
            <v:line style="position:absolute" from="8093,3171" to="8539,3171" stroked="true" strokeweight=".75pt" strokecolor="#858585">
              <v:stroke dashstyle="solid"/>
            </v:line>
            <v:line style="position:absolute" from="7351,3171" to="7798,3171" stroked="true" strokeweight=".75pt" strokecolor="#858585">
              <v:stroke dashstyle="solid"/>
            </v:line>
            <v:line style="position:absolute" from="6610,3171" to="7056,3171" stroked="true" strokeweight=".75pt" strokecolor="#858585">
              <v:stroke dashstyle="solid"/>
            </v:line>
            <v:line style="position:absolute" from="5868,3171" to="6312,3171" stroked="true" strokeweight=".75pt" strokecolor="#858585">
              <v:stroke dashstyle="solid"/>
            </v:line>
            <v:line style="position:absolute" from="5126,3171" to="5570,3171" stroked="true" strokeweight=".75pt" strokecolor="#858585">
              <v:stroke dashstyle="solid"/>
            </v:line>
            <v:line style="position:absolute" from="4385,3171" to="4829,3171" stroked="true" strokeweight=".75pt" strokecolor="#858585">
              <v:stroke dashstyle="solid"/>
            </v:line>
            <v:line style="position:absolute" from="3643,3171" to="4087,3171" stroked="true" strokeweight=".75pt" strokecolor="#858585">
              <v:stroke dashstyle="solid"/>
            </v:line>
            <v:line style="position:absolute" from="2899,3171" to="3346,3171" stroked="true" strokeweight=".75pt" strokecolor="#858585">
              <v:stroke dashstyle="solid"/>
            </v:line>
            <v:line style="position:absolute" from="2381,3171" to="2604,3171" stroked="true" strokeweight=".75pt" strokecolor="#858585">
              <v:stroke dashstyle="solid"/>
            </v:line>
            <v:line style="position:absolute" from="2899,2811" to="3346,2811" stroked="true" strokeweight=".75pt" strokecolor="#858585">
              <v:stroke dashstyle="solid"/>
            </v:line>
            <v:line style="position:absolute" from="2381,2811" to="2604,2811" stroked="true" strokeweight=".75pt" strokecolor="#858585">
              <v:stroke dashstyle="solid"/>
            </v:line>
            <v:rect style="position:absolute;left:2604;top:2688;width:296;height:844" filled="true" fillcolor="#4f81bc" stroked="false">
              <v:fill type="solid"/>
            </v:rect>
            <v:line style="position:absolute" from="3643,2811" to="4087,2811" stroked="true" strokeweight=".75pt" strokecolor="#858585">
              <v:stroke dashstyle="solid"/>
            </v:line>
            <v:line style="position:absolute" from="2381,2451" to="4087,2451" stroked="true" strokeweight=".75pt" strokecolor="#858585">
              <v:stroke dashstyle="solid"/>
            </v:line>
            <v:rect style="position:absolute;left:3345;top:2527;width:298;height:1004" filled="true" fillcolor="#4f81bc" stroked="false">
              <v:fill type="solid"/>
            </v:rect>
            <v:line style="position:absolute" from="4385,2811" to="4829,2811" stroked="true" strokeweight=".75pt" strokecolor="#858585">
              <v:stroke dashstyle="solid"/>
            </v:line>
            <v:line style="position:absolute" from="4385,2451" to="4829,2451" stroked="true" strokeweight=".75pt" strokecolor="#858585">
              <v:stroke dashstyle="solid"/>
            </v:line>
            <v:rect style="position:absolute;left:4087;top:2277;width:298;height:1254" filled="true" fillcolor="#4f81bc" stroked="false">
              <v:fill type="solid"/>
            </v:rect>
            <v:line style="position:absolute" from="5126,2811" to="5570,2811" stroked="true" strokeweight=".75pt" strokecolor="#858585">
              <v:stroke dashstyle="solid"/>
            </v:line>
            <v:line style="position:absolute" from="5126,2451" to="5570,2451" stroked="true" strokeweight=".75pt" strokecolor="#858585">
              <v:stroke dashstyle="solid"/>
            </v:line>
            <v:line style="position:absolute" from="5126,2091" to="5570,2091" stroked="true" strokeweight=".75pt" strokecolor="#858585">
              <v:stroke dashstyle="solid"/>
            </v:line>
            <v:line style="position:absolute" from="2381,2091" to="4829,2091" stroked="true" strokeweight=".75pt" strokecolor="#858585">
              <v:stroke dashstyle="solid"/>
            </v:line>
            <v:rect style="position:absolute;left:4828;top:2081;width:298;height:1451" filled="true" fillcolor="#4f81bc" stroked="false">
              <v:fill type="solid"/>
            </v:rect>
            <v:line style="position:absolute" from="5868,2811" to="6312,2811" stroked="true" strokeweight=".75pt" strokecolor="#858585">
              <v:stroke dashstyle="solid"/>
            </v:line>
            <v:line style="position:absolute" from="5868,2451" to="6312,2451" stroked="true" strokeweight=".75pt" strokecolor="#858585">
              <v:stroke dashstyle="solid"/>
            </v:line>
            <v:line style="position:absolute" from="5868,2091" to="6312,2091" stroked="true" strokeweight=".75pt" strokecolor="#858585">
              <v:stroke dashstyle="solid"/>
            </v:line>
            <v:rect style="position:absolute;left:5570;top:1893;width:298;height:1638" filled="true" fillcolor="#4f81bc" stroked="false">
              <v:fill type="solid"/>
            </v:rect>
            <v:line style="position:absolute" from="6610,2811" to="7056,2811" stroked="true" strokeweight=".75pt" strokecolor="#858585">
              <v:stroke dashstyle="solid"/>
            </v:line>
            <v:line style="position:absolute" from="6610,2451" to="7056,2451" stroked="true" strokeweight=".75pt" strokecolor="#858585">
              <v:stroke dashstyle="solid"/>
            </v:line>
            <v:line style="position:absolute" from="6610,2091" to="7056,2091" stroked="true" strokeweight=".75pt" strokecolor="#858585">
              <v:stroke dashstyle="solid"/>
            </v:line>
            <v:line style="position:absolute" from="2381,1731" to="7056,1731" stroked="true" strokeweight=".75pt" strokecolor="#858585">
              <v:stroke dashstyle="solid"/>
            </v:line>
            <v:rect style="position:absolute;left:6312;top:1749;width:298;height:1782" filled="true" fillcolor="#4f81bc" stroked="false">
              <v:fill type="solid"/>
            </v:rect>
            <v:line style="position:absolute" from="7351,2811" to="7798,2811" stroked="true" strokeweight=".75pt" strokecolor="#858585">
              <v:stroke dashstyle="solid"/>
            </v:line>
            <v:line style="position:absolute" from="7351,2451" to="7798,2451" stroked="true" strokeweight=".75pt" strokecolor="#858585">
              <v:stroke dashstyle="solid"/>
            </v:line>
            <v:line style="position:absolute" from="7351,2091" to="7798,2091" stroked="true" strokeweight=".75pt" strokecolor="#858585">
              <v:stroke dashstyle="solid"/>
            </v:line>
            <v:line style="position:absolute" from="7351,1731" to="7798,1731" stroked="true" strokeweight=".75pt" strokecolor="#858585">
              <v:stroke dashstyle="solid"/>
            </v:line>
            <v:rect style="position:absolute;left:7056;top:1521;width:296;height:2010" filled="true" fillcolor="#4f81bc" stroked="false">
              <v:fill type="solid"/>
            </v:rect>
            <v:line style="position:absolute" from="8093,2811" to="8539,2811" stroked="true" strokeweight=".75pt" strokecolor="#858585">
              <v:stroke dashstyle="solid"/>
            </v:line>
            <v:line style="position:absolute" from="8093,2451" to="8539,2451" stroked="true" strokeweight=".75pt" strokecolor="#858585">
              <v:stroke dashstyle="solid"/>
            </v:line>
            <v:line style="position:absolute" from="8093,2091" to="8539,2091" stroked="true" strokeweight=".75pt" strokecolor="#858585">
              <v:stroke dashstyle="solid"/>
            </v:line>
            <v:line style="position:absolute" from="8093,1731" to="8539,1731" stroked="true" strokeweight=".75pt" strokecolor="#858585">
              <v:stroke dashstyle="solid"/>
            </v:line>
            <v:line style="position:absolute" from="8093,1371" to="8539,1371" stroked="true" strokeweight=".75pt" strokecolor="#858585">
              <v:stroke dashstyle="solid"/>
            </v:line>
            <v:line style="position:absolute" from="2381,1371" to="7798,1371" stroked="true" strokeweight=".75pt" strokecolor="#858585">
              <v:stroke dashstyle="solid"/>
            </v:line>
            <v:rect style="position:absolute;left:7797;top:1353;width:296;height:2178" filled="true" fillcolor="#4f81bc" stroked="false">
              <v:fill type="solid"/>
            </v:rect>
            <v:line style="position:absolute" from="8834,2811" to="9281,2811" stroked="true" strokeweight=".75pt" strokecolor="#858585">
              <v:stroke dashstyle="solid"/>
            </v:line>
            <v:line style="position:absolute" from="8834,2451" to="9281,2451" stroked="true" strokeweight=".75pt" strokecolor="#858585">
              <v:stroke dashstyle="solid"/>
            </v:line>
            <v:line style="position:absolute" from="8834,2091" to="9281,2091" stroked="true" strokeweight=".75pt" strokecolor="#858585">
              <v:stroke dashstyle="solid"/>
            </v:line>
            <v:line style="position:absolute" from="8834,1731" to="9281,1731" stroked="true" strokeweight=".75pt" strokecolor="#858585">
              <v:stroke dashstyle="solid"/>
            </v:line>
            <v:line style="position:absolute" from="8834,1371" to="9281,1371" stroked="true" strokeweight=".75pt" strokecolor="#858585">
              <v:stroke dashstyle="solid"/>
            </v:line>
            <v:rect style="position:absolute;left:8539;top:1176;width:296;height:2356" filled="true" fillcolor="#4f81bc" stroked="false">
              <v:fill type="solid"/>
            </v:rect>
            <v:line style="position:absolute" from="9578,2811" to="9800,2811" stroked="true" strokeweight=".75pt" strokecolor="#858585">
              <v:stroke dashstyle="solid"/>
            </v:line>
            <v:line style="position:absolute" from="9578,2451" to="9800,2451" stroked="true" strokeweight=".75pt" strokecolor="#858585">
              <v:stroke dashstyle="solid"/>
            </v:line>
            <v:line style="position:absolute" from="9578,2091" to="9800,2091" stroked="true" strokeweight=".75pt" strokecolor="#858585">
              <v:stroke dashstyle="solid"/>
            </v:line>
            <v:line style="position:absolute" from="9578,1731" to="9800,1731" stroked="true" strokeweight=".75pt" strokecolor="#858585">
              <v:stroke dashstyle="solid"/>
            </v:line>
            <v:line style="position:absolute" from="9578,1371" to="9800,1371" stroked="true" strokeweight=".75pt" strokecolor="#858585">
              <v:stroke dashstyle="solid"/>
            </v:line>
            <v:rect style="position:absolute;left:9280;top:1116;width:298;height:2416" filled="true" fillcolor="#4f81bc" stroked="false">
              <v:fill type="solid"/>
            </v:rect>
            <v:line style="position:absolute" from="2381,1011" to="9800,1011" stroked="true" strokeweight=".75pt" strokecolor="#858585">
              <v:stroke dashstyle="solid"/>
            </v:line>
            <v:line style="position:absolute" from="2381,649" to="9800,649" stroked="true" strokeweight=".75pt" strokecolor="#858585">
              <v:stroke dashstyle="solid"/>
            </v:line>
            <v:line style="position:absolute" from="2381,3531" to="2381,649" stroked="true" strokeweight=".75pt" strokecolor="#858585">
              <v:stroke dashstyle="solid"/>
            </v:line>
            <v:line style="position:absolute" from="2320,3531" to="2381,3531" stroked="true" strokeweight=".75pt" strokecolor="#858585">
              <v:stroke dashstyle="solid"/>
            </v:line>
            <v:line style="position:absolute" from="2320,3171" to="2381,3171" stroked="true" strokeweight=".75pt" strokecolor="#858585">
              <v:stroke dashstyle="solid"/>
            </v:line>
            <v:line style="position:absolute" from="2320,2811" to="2381,2811" stroked="true" strokeweight=".75pt" strokecolor="#858585">
              <v:stroke dashstyle="solid"/>
            </v:line>
            <v:line style="position:absolute" from="2320,2451" to="2381,2451" stroked="true" strokeweight=".75pt" strokecolor="#858585">
              <v:stroke dashstyle="solid"/>
            </v:line>
            <v:line style="position:absolute" from="2320,2091" to="2381,2091" stroked="true" strokeweight=".75pt" strokecolor="#858585">
              <v:stroke dashstyle="solid"/>
            </v:line>
            <v:line style="position:absolute" from="2320,1731" to="2381,1731" stroked="true" strokeweight=".75pt" strokecolor="#858585">
              <v:stroke dashstyle="solid"/>
            </v:line>
            <v:line style="position:absolute" from="2320,1371" to="2381,1371" stroked="true" strokeweight=".75pt" strokecolor="#858585">
              <v:stroke dashstyle="solid"/>
            </v:line>
            <v:line style="position:absolute" from="2320,1011" to="2381,1011" stroked="true" strokeweight=".75pt" strokecolor="#858585">
              <v:stroke dashstyle="solid"/>
            </v:line>
            <v:line style="position:absolute" from="2320,649" to="2381,649" stroked="true" strokeweight=".75pt" strokecolor="#858585">
              <v:stroke dashstyle="solid"/>
            </v:line>
            <v:line style="position:absolute" from="2381,3531" to="9800,3531" stroked="true" strokeweight=".75pt" strokecolor="#858585">
              <v:stroke dashstyle="solid"/>
            </v:line>
            <v:line style="position:absolute" from="2381,3531" to="2381,3592" stroked="true" strokeweight=".75pt" strokecolor="#858585">
              <v:stroke dashstyle="solid"/>
            </v:line>
            <v:line style="position:absolute" from="3122,3531" to="3122,3592" stroked="true" strokeweight=".75pt" strokecolor="#858585">
              <v:stroke dashstyle="solid"/>
            </v:line>
            <v:line style="position:absolute" from="3864,3531" to="3864,3592" stroked="true" strokeweight=".75pt" strokecolor="#858585">
              <v:stroke dashstyle="solid"/>
            </v:line>
            <v:line style="position:absolute" from="4606,3531" to="4606,3592" stroked="true" strokeweight=".75pt" strokecolor="#858585">
              <v:stroke dashstyle="solid"/>
            </v:line>
            <v:line style="position:absolute" from="5350,3531" to="5350,3592" stroked="true" strokeweight=".75pt" strokecolor="#858585">
              <v:stroke dashstyle="solid"/>
            </v:line>
            <v:line style="position:absolute" from="6091,3531" to="6091,3592" stroked="true" strokeweight=".75pt" strokecolor="#858585">
              <v:stroke dashstyle="solid"/>
            </v:line>
            <v:line style="position:absolute" from="6833,3531" to="6833,3592" stroked="true" strokeweight=".75pt" strokecolor="#858585">
              <v:stroke dashstyle="solid"/>
            </v:line>
            <v:line style="position:absolute" from="7574,3531" to="7574,3592" stroked="true" strokeweight=".75pt" strokecolor="#858585">
              <v:stroke dashstyle="solid"/>
            </v:line>
            <v:line style="position:absolute" from="8316,3531" to="8316,3592" stroked="true" strokeweight=".75pt" strokecolor="#858585">
              <v:stroke dashstyle="solid"/>
            </v:line>
            <v:line style="position:absolute" from="9058,3531" to="9058,3592" stroked="true" strokeweight=".75pt" strokecolor="#858585">
              <v:stroke dashstyle="solid"/>
            </v:line>
            <v:line style="position:absolute" from="9800,3531" to="9800,3592" stroked="true" strokeweight=".75pt" strokecolor="#858585">
              <v:stroke dashstyle="solid"/>
            </v:line>
            <v:rect style="position:absolute;left:1440;top:429;width:8580;height:3581" filled="false" stroked="true" strokeweight=".75pt" strokecolor="#858585">
              <v:stroke dashstyle="solid"/>
            </v:rect>
            <v:shape style="position:absolute;left:1569;top:529;width:656;height:3108" type="#_x0000_t202" filled="false" stroked="false">
              <v:textbox inset="0,0,0,0">
                <w:txbxContent>
                  <w:p>
                    <w:pPr>
                      <w:spacing w:line="226" w:lineRule="exact" w:before="0"/>
                      <w:ind w:left="0" w:right="0" w:firstLine="0"/>
                      <w:jc w:val="left"/>
                      <w:rPr>
                        <w:rFonts w:ascii="Franklin Gothic Book"/>
                        <w:sz w:val="20"/>
                      </w:rPr>
                    </w:pPr>
                    <w:r>
                      <w:rPr>
                        <w:rFonts w:ascii="Franklin Gothic Book"/>
                        <w:sz w:val="20"/>
                      </w:rPr>
                      <w:t>56,000</w:t>
                    </w:r>
                  </w:p>
                  <w:p>
                    <w:pPr>
                      <w:spacing w:before="133"/>
                      <w:ind w:left="0" w:right="0" w:firstLine="0"/>
                      <w:jc w:val="left"/>
                      <w:rPr>
                        <w:rFonts w:ascii="Franklin Gothic Book"/>
                        <w:sz w:val="20"/>
                      </w:rPr>
                    </w:pPr>
                    <w:r>
                      <w:rPr>
                        <w:rFonts w:ascii="Franklin Gothic Book"/>
                        <w:sz w:val="20"/>
                      </w:rPr>
                      <w:t>54,000</w:t>
                    </w:r>
                  </w:p>
                  <w:p>
                    <w:pPr>
                      <w:spacing w:before="133"/>
                      <w:ind w:left="0" w:right="0" w:firstLine="0"/>
                      <w:jc w:val="left"/>
                      <w:rPr>
                        <w:rFonts w:ascii="Franklin Gothic Book"/>
                        <w:sz w:val="20"/>
                      </w:rPr>
                    </w:pPr>
                    <w:r>
                      <w:rPr>
                        <w:rFonts w:ascii="Franklin Gothic Book"/>
                        <w:sz w:val="20"/>
                      </w:rPr>
                      <w:t>52,000</w:t>
                    </w:r>
                  </w:p>
                  <w:p>
                    <w:pPr>
                      <w:spacing w:before="134"/>
                      <w:ind w:left="0" w:right="0" w:firstLine="0"/>
                      <w:jc w:val="left"/>
                      <w:rPr>
                        <w:rFonts w:ascii="Franklin Gothic Book"/>
                        <w:sz w:val="20"/>
                      </w:rPr>
                    </w:pPr>
                    <w:r>
                      <w:rPr>
                        <w:rFonts w:ascii="Franklin Gothic Book"/>
                        <w:sz w:val="20"/>
                      </w:rPr>
                      <w:t>50,000</w:t>
                    </w:r>
                  </w:p>
                  <w:p>
                    <w:pPr>
                      <w:spacing w:before="133"/>
                      <w:ind w:left="0" w:right="0" w:firstLine="0"/>
                      <w:jc w:val="left"/>
                      <w:rPr>
                        <w:rFonts w:ascii="Franklin Gothic Book"/>
                        <w:sz w:val="20"/>
                      </w:rPr>
                    </w:pPr>
                    <w:r>
                      <w:rPr>
                        <w:rFonts w:ascii="Franklin Gothic Book"/>
                        <w:sz w:val="20"/>
                      </w:rPr>
                      <w:t>48,000</w:t>
                    </w:r>
                  </w:p>
                  <w:p>
                    <w:pPr>
                      <w:spacing w:before="134"/>
                      <w:ind w:left="0" w:right="0" w:firstLine="0"/>
                      <w:jc w:val="left"/>
                      <w:rPr>
                        <w:rFonts w:ascii="Franklin Gothic Book"/>
                        <w:sz w:val="20"/>
                      </w:rPr>
                    </w:pPr>
                    <w:r>
                      <w:rPr>
                        <w:rFonts w:ascii="Franklin Gothic Book"/>
                        <w:sz w:val="20"/>
                      </w:rPr>
                      <w:t>46,000</w:t>
                    </w:r>
                  </w:p>
                  <w:p>
                    <w:pPr>
                      <w:spacing w:before="133"/>
                      <w:ind w:left="0" w:right="0" w:firstLine="0"/>
                      <w:jc w:val="left"/>
                      <w:rPr>
                        <w:rFonts w:ascii="Franklin Gothic Book"/>
                        <w:sz w:val="20"/>
                      </w:rPr>
                    </w:pPr>
                    <w:r>
                      <w:rPr>
                        <w:rFonts w:ascii="Franklin Gothic Book"/>
                        <w:sz w:val="20"/>
                      </w:rPr>
                      <w:t>44,000</w:t>
                    </w:r>
                  </w:p>
                  <w:p>
                    <w:pPr>
                      <w:spacing w:before="133"/>
                      <w:ind w:left="0" w:right="0" w:firstLine="0"/>
                      <w:jc w:val="left"/>
                      <w:rPr>
                        <w:rFonts w:ascii="Franklin Gothic Book"/>
                        <w:sz w:val="20"/>
                      </w:rPr>
                    </w:pPr>
                    <w:r>
                      <w:rPr>
                        <w:rFonts w:ascii="Franklin Gothic Book"/>
                        <w:sz w:val="20"/>
                      </w:rPr>
                      <w:t>42,000</w:t>
                    </w:r>
                  </w:p>
                  <w:p>
                    <w:pPr>
                      <w:spacing w:before="134"/>
                      <w:ind w:left="0" w:right="0" w:firstLine="0"/>
                      <w:jc w:val="left"/>
                      <w:rPr>
                        <w:rFonts w:ascii="Franklin Gothic Book"/>
                        <w:sz w:val="20"/>
                      </w:rPr>
                    </w:pPr>
                    <w:r>
                      <w:rPr>
                        <w:rFonts w:ascii="Franklin Gothic Book"/>
                        <w:sz w:val="20"/>
                      </w:rPr>
                      <w:t>40,000</w:t>
                    </w:r>
                  </w:p>
                </w:txbxContent>
              </v:textbox>
              <w10:wrap type="none"/>
            </v:shape>
            <v:shape style="position:absolute;left:8366;top:799;width:1400;height:286" type="#_x0000_t202" filled="false" stroked="false">
              <v:textbox inset="0,0,0,0">
                <w:txbxContent>
                  <w:p>
                    <w:pPr>
                      <w:spacing w:line="237" w:lineRule="auto" w:before="0"/>
                      <w:ind w:left="0" w:right="0" w:firstLine="0"/>
                      <w:jc w:val="left"/>
                      <w:rPr>
                        <w:rFonts w:ascii="Franklin Gothic Book"/>
                        <w:sz w:val="20"/>
                      </w:rPr>
                    </w:pPr>
                    <w:r>
                      <w:rPr>
                        <w:rFonts w:ascii="Franklin Gothic Book"/>
                        <w:position w:val="-5"/>
                        <w:sz w:val="20"/>
                      </w:rPr>
                      <w:t>53,080 </w:t>
                    </w:r>
                    <w:r>
                      <w:rPr>
                        <w:rFonts w:ascii="Franklin Gothic Book"/>
                        <w:sz w:val="20"/>
                      </w:rPr>
                      <w:t>53,410</w:t>
                    </w:r>
                  </w:p>
                </w:txbxContent>
              </v:textbox>
              <w10:wrap type="none"/>
            </v:shape>
            <v:shape style="position:absolute;left:6882;top:1206;width:658;height:226" type="#_x0000_t202" filled="false" stroked="false">
              <v:textbox inset="0,0,0,0">
                <w:txbxContent>
                  <w:p>
                    <w:pPr>
                      <w:spacing w:line="226" w:lineRule="exact" w:before="0"/>
                      <w:ind w:left="0" w:right="0" w:firstLine="0"/>
                      <w:jc w:val="left"/>
                      <w:rPr>
                        <w:rFonts w:ascii="Franklin Gothic Book"/>
                        <w:sz w:val="20"/>
                      </w:rPr>
                    </w:pPr>
                    <w:r>
                      <w:rPr>
                        <w:rFonts w:ascii="Franklin Gothic Book"/>
                        <w:sz w:val="20"/>
                      </w:rPr>
                      <w:t>51,150</w:t>
                    </w:r>
                  </w:p>
                </w:txbxContent>
              </v:textbox>
              <w10:wrap type="none"/>
            </v:shape>
            <v:shape style="position:absolute;left:7624;top:1036;width:658;height:226" type="#_x0000_t202" filled="false" stroked="false">
              <v:textbox inset="0,0,0,0">
                <w:txbxContent>
                  <w:p>
                    <w:pPr>
                      <w:spacing w:line="226" w:lineRule="exact" w:before="0"/>
                      <w:ind w:left="0" w:right="0" w:firstLine="0"/>
                      <w:jc w:val="left"/>
                      <w:rPr>
                        <w:rFonts w:ascii="Franklin Gothic Book"/>
                        <w:sz w:val="20"/>
                      </w:rPr>
                    </w:pPr>
                    <w:r>
                      <w:rPr>
                        <w:rFonts w:ascii="Franklin Gothic Book"/>
                        <w:sz w:val="20"/>
                      </w:rPr>
                      <w:t>52,090</w:t>
                    </w:r>
                  </w:p>
                </w:txbxContent>
              </v:textbox>
              <w10:wrap type="none"/>
            </v:shape>
            <v:shape style="position:absolute;left:2516;top:3654;width:7167;height:226" type="#_x0000_t202" filled="false" stroked="false">
              <v:textbox inset="0,0,0,0">
                <w:txbxContent>
                  <w:p>
                    <w:pPr>
                      <w:tabs>
                        <w:tab w:pos="741" w:val="left" w:leader="none"/>
                        <w:tab w:pos="1483" w:val="left" w:leader="none"/>
                        <w:tab w:pos="2225" w:val="left" w:leader="none"/>
                        <w:tab w:pos="2967" w:val="left" w:leader="none"/>
                        <w:tab w:pos="3709" w:val="left" w:leader="none"/>
                        <w:tab w:pos="4450" w:val="left" w:leader="none"/>
                        <w:tab w:pos="5192" w:val="left" w:leader="none"/>
                        <w:tab w:pos="5934" w:val="left" w:leader="none"/>
                        <w:tab w:pos="6676" w:val="left" w:leader="none"/>
                      </w:tabs>
                      <w:spacing w:line="226" w:lineRule="exact" w:before="0"/>
                      <w:ind w:left="0" w:right="0" w:firstLine="0"/>
                      <w:jc w:val="left"/>
                      <w:rPr>
                        <w:rFonts w:ascii="Franklin Gothic Book"/>
                        <w:sz w:val="20"/>
                      </w:rPr>
                    </w:pPr>
                    <w:r>
                      <w:rPr>
                        <w:rFonts w:ascii="Franklin Gothic Book"/>
                        <w:sz w:val="20"/>
                      </w:rPr>
                      <w:t>2007</w:t>
                      <w:tab/>
                      <w:t>2008</w:t>
                      <w:tab/>
                      <w:t>2009</w:t>
                      <w:tab/>
                      <w:t>2010</w:t>
                      <w:tab/>
                      <w:t>2011</w:t>
                      <w:tab/>
                      <w:t>2012</w:t>
                      <w:tab/>
                      <w:t>2013</w:t>
                      <w:tab/>
                      <w:t>2014</w:t>
                      <w:tab/>
                      <w:t>2015</w:t>
                      <w:tab/>
                      <w:t>2016</w:t>
                    </w:r>
                  </w:p>
                </w:txbxContent>
              </v:textbox>
              <w10:wrap type="none"/>
            </v:shape>
            <v:shape style="position:absolute;left:3173;top:2209;width:658;height:226" type="#_x0000_t202" filled="false" stroked="false">
              <v:textbox inset="0,0,0,0">
                <w:txbxContent>
                  <w:p>
                    <w:pPr>
                      <w:spacing w:line="226" w:lineRule="exact" w:before="0"/>
                      <w:ind w:left="0" w:right="0" w:firstLine="0"/>
                      <w:jc w:val="left"/>
                      <w:rPr>
                        <w:rFonts w:ascii="Franklin Gothic Book"/>
                        <w:sz w:val="20"/>
                      </w:rPr>
                    </w:pPr>
                    <w:r>
                      <w:rPr>
                        <w:rFonts w:ascii="Franklin Gothic Book"/>
                        <w:sz w:val="20"/>
                      </w:rPr>
                      <w:t>45,580</w:t>
                    </w:r>
                  </w:p>
                </w:txbxContent>
              </v:textbox>
              <w10:wrap type="none"/>
            </v:shape>
            <v:shape style="position:absolute;left:2431;top:2371;width:658;height:226" type="#_x0000_t202" filled="false" stroked="false">
              <v:textbox inset="0,0,0,0">
                <w:txbxContent>
                  <w:p>
                    <w:pPr>
                      <w:spacing w:line="226" w:lineRule="exact" w:before="0"/>
                      <w:ind w:left="0" w:right="0" w:firstLine="0"/>
                      <w:jc w:val="left"/>
                      <w:rPr>
                        <w:rFonts w:ascii="Franklin Gothic Book"/>
                        <w:sz w:val="20"/>
                      </w:rPr>
                    </w:pPr>
                    <w:r>
                      <w:rPr>
                        <w:rFonts w:ascii="Franklin Gothic Book"/>
                        <w:sz w:val="20"/>
                      </w:rPr>
                      <w:t>44,678</w:t>
                    </w:r>
                  </w:p>
                </w:txbxContent>
              </v:textbox>
              <w10:wrap type="none"/>
            </v:shape>
            <v:shape style="position:absolute;left:3915;top:1961;width:658;height:226" type="#_x0000_t202" filled="false" stroked="false">
              <v:textbox inset="0,0,0,0">
                <w:txbxContent>
                  <w:p>
                    <w:pPr>
                      <w:spacing w:line="226" w:lineRule="exact" w:before="0"/>
                      <w:ind w:left="0" w:right="0" w:firstLine="0"/>
                      <w:jc w:val="left"/>
                      <w:rPr>
                        <w:rFonts w:ascii="Franklin Gothic Book"/>
                        <w:sz w:val="20"/>
                      </w:rPr>
                    </w:pPr>
                    <w:r>
                      <w:rPr>
                        <w:rFonts w:ascii="Franklin Gothic Book"/>
                        <w:sz w:val="20"/>
                      </w:rPr>
                      <w:t>46,957</w:t>
                    </w:r>
                  </w:p>
                </w:txbxContent>
              </v:textbox>
              <w10:wrap type="none"/>
            </v:shape>
            <v:shape style="position:absolute;left:4657;top:1762;width:658;height:226" type="#_x0000_t202" filled="false" stroked="false">
              <v:textbox inset="0,0,0,0">
                <w:txbxContent>
                  <w:p>
                    <w:pPr>
                      <w:spacing w:line="226" w:lineRule="exact" w:before="0"/>
                      <w:ind w:left="0" w:right="0" w:firstLine="0"/>
                      <w:jc w:val="left"/>
                      <w:rPr>
                        <w:rFonts w:ascii="Franklin Gothic Book"/>
                        <w:sz w:val="20"/>
                      </w:rPr>
                    </w:pPr>
                    <w:r>
                      <w:rPr>
                        <w:rFonts w:ascii="Franklin Gothic Book"/>
                        <w:sz w:val="20"/>
                      </w:rPr>
                      <w:t>48,058</w:t>
                    </w:r>
                  </w:p>
                </w:txbxContent>
              </v:textbox>
              <w10:wrap type="none"/>
            </v:shape>
            <v:shape style="position:absolute;left:2388;top:1378;width:5410;height:345" type="#_x0000_t202" filled="false" stroked="false">
              <v:textbox inset="0,0,0,0">
                <w:txbxContent>
                  <w:p>
                    <w:pPr>
                      <w:spacing w:line="139" w:lineRule="auto" w:before="72"/>
                      <w:ind w:left="3010" w:right="0" w:firstLine="0"/>
                      <w:jc w:val="left"/>
                      <w:rPr>
                        <w:rFonts w:ascii="Franklin Gothic Book"/>
                        <w:sz w:val="20"/>
                      </w:rPr>
                    </w:pPr>
                    <w:r>
                      <w:rPr>
                        <w:rFonts w:ascii="Franklin Gothic Book"/>
                        <w:position w:val="-13"/>
                        <w:sz w:val="20"/>
                      </w:rPr>
                      <w:t>49,090 </w:t>
                    </w:r>
                    <w:r>
                      <w:rPr>
                        <w:rFonts w:ascii="Franklin Gothic Book"/>
                        <w:sz w:val="20"/>
                      </w:rPr>
                      <w:t>49,890</w:t>
                    </w:r>
                  </w:p>
                </w:txbxContent>
              </v:textbox>
              <w10:wrap type="none"/>
            </v:shape>
            <w10:wrap type="topAndBottom"/>
          </v:group>
        </w:pict>
      </w:r>
      <w:bookmarkStart w:name="_bookmark37" w:id="78"/>
      <w:bookmarkEnd w:id="78"/>
      <w:r>
        <w:rPr/>
      </w:r>
      <w:r>
        <w:rPr>
          <w:rFonts w:ascii="Arial"/>
          <w:b/>
          <w:sz w:val="20"/>
        </w:rPr>
        <w:t>Figure LU-1: Population Growth in Richland in the Last 10 Years</w:t>
      </w:r>
    </w:p>
    <w:p>
      <w:pPr>
        <w:pStyle w:val="BodyText"/>
        <w:spacing w:before="102"/>
        <w:ind w:left="139" w:right="335"/>
        <w:jc w:val="both"/>
      </w:pPr>
      <w:r>
        <w:rPr/>
        <w:t>As discussed in the Economic Development section, Richland’s median household income is the highest</w:t>
      </w:r>
      <w:r>
        <w:rPr>
          <w:spacing w:val="-7"/>
        </w:rPr>
        <w:t> </w:t>
      </w:r>
      <w:r>
        <w:rPr/>
        <w:t>in</w:t>
      </w:r>
      <w:r>
        <w:rPr>
          <w:spacing w:val="-7"/>
        </w:rPr>
        <w:t> </w:t>
      </w:r>
      <w:r>
        <w:rPr/>
        <w:t>the</w:t>
      </w:r>
      <w:r>
        <w:rPr>
          <w:spacing w:val="-8"/>
        </w:rPr>
        <w:t> </w:t>
      </w:r>
      <w:r>
        <w:rPr/>
        <w:t>Tri-Cities,</w:t>
      </w:r>
      <w:r>
        <w:rPr>
          <w:spacing w:val="-6"/>
        </w:rPr>
        <w:t> </w:t>
      </w:r>
      <w:r>
        <w:rPr/>
        <w:t>$70,806</w:t>
      </w:r>
      <w:r>
        <w:rPr>
          <w:spacing w:val="-8"/>
        </w:rPr>
        <w:t> </w:t>
      </w:r>
      <w:r>
        <w:rPr/>
        <w:t>in</w:t>
      </w:r>
      <w:r>
        <w:rPr>
          <w:spacing w:val="-7"/>
        </w:rPr>
        <w:t> </w:t>
      </w:r>
      <w:r>
        <w:rPr/>
        <w:t>2017,</w:t>
      </w:r>
      <w:r>
        <w:rPr>
          <w:spacing w:val="-6"/>
        </w:rPr>
        <w:t> </w:t>
      </w:r>
      <w:r>
        <w:rPr/>
        <w:t>with</w:t>
      </w:r>
      <w:r>
        <w:rPr>
          <w:spacing w:val="-5"/>
        </w:rPr>
        <w:t> </w:t>
      </w:r>
      <w:r>
        <w:rPr/>
        <w:t>Kennewick</w:t>
      </w:r>
      <w:r>
        <w:rPr>
          <w:spacing w:val="-7"/>
        </w:rPr>
        <w:t> </w:t>
      </w:r>
      <w:r>
        <w:rPr/>
        <w:t>at</w:t>
      </w:r>
      <w:r>
        <w:rPr>
          <w:spacing w:val="-6"/>
        </w:rPr>
        <w:t> </w:t>
      </w:r>
      <w:r>
        <w:rPr/>
        <w:t>$52,831</w:t>
      </w:r>
      <w:r>
        <w:rPr>
          <w:spacing w:val="-6"/>
        </w:rPr>
        <w:t> </w:t>
      </w:r>
      <w:r>
        <w:rPr/>
        <w:t>and</w:t>
      </w:r>
      <w:r>
        <w:rPr>
          <w:spacing w:val="-7"/>
        </w:rPr>
        <w:t> </w:t>
      </w:r>
      <w:r>
        <w:rPr/>
        <w:t>Pasco</w:t>
      </w:r>
      <w:r>
        <w:rPr>
          <w:spacing w:val="-5"/>
        </w:rPr>
        <w:t> </w:t>
      </w:r>
      <w:r>
        <w:rPr/>
        <w:t>at</w:t>
      </w:r>
      <w:r>
        <w:rPr>
          <w:spacing w:val="-6"/>
        </w:rPr>
        <w:t> </w:t>
      </w:r>
      <w:r>
        <w:rPr/>
        <w:t>$53,950</w:t>
      </w:r>
      <w:r>
        <w:rPr>
          <w:spacing w:val="-7"/>
        </w:rPr>
        <w:t> </w:t>
      </w:r>
      <w:r>
        <w:rPr/>
        <w:t>(TRIDEC, 2017). Over 95 percent of the residents in Richland are high school graduates or graduates with</w:t>
      </w:r>
      <w:bookmarkStart w:name="Population Forecast" w:id="79"/>
      <w:bookmarkEnd w:id="79"/>
      <w:r>
        <w:rPr/>
      </w:r>
      <w:bookmarkStart w:name="_bookmark38" w:id="80"/>
      <w:bookmarkEnd w:id="80"/>
      <w:r>
        <w:rPr/>
      </w:r>
      <w:r>
        <w:rPr/>
        <w:t> higher degrees (US Census,</w:t>
      </w:r>
      <w:r>
        <w:rPr>
          <w:spacing w:val="-3"/>
        </w:rPr>
        <w:t> </w:t>
      </w:r>
      <w:r>
        <w:rPr/>
        <w:t>2015).</w:t>
      </w:r>
    </w:p>
    <w:p>
      <w:pPr>
        <w:pStyle w:val="Heading6"/>
        <w:jc w:val="both"/>
      </w:pPr>
      <w:r>
        <w:rPr/>
        <w:t>POPULATION FORECAST</w:t>
      </w:r>
    </w:p>
    <w:p>
      <w:pPr>
        <w:spacing w:before="202"/>
        <w:ind w:left="140" w:right="0" w:firstLine="0"/>
        <w:jc w:val="left"/>
        <w:rPr>
          <w:b/>
          <w:sz w:val="24"/>
        </w:rPr>
      </w:pPr>
      <w:bookmarkStart w:name="Washington GMA Requirements" w:id="81"/>
      <w:bookmarkEnd w:id="81"/>
      <w:r>
        <w:rPr/>
      </w:r>
      <w:r>
        <w:rPr>
          <w:b/>
          <w:sz w:val="24"/>
        </w:rPr>
        <w:t>WASHINGTON GMA REQUIREMENTS</w:t>
      </w:r>
    </w:p>
    <w:p>
      <w:pPr>
        <w:pStyle w:val="BodyText"/>
        <w:spacing w:before="120"/>
        <w:ind w:left="139" w:right="332"/>
        <w:jc w:val="both"/>
      </w:pPr>
      <w:r>
        <w:rPr/>
        <w:t>The Washington State GMA requires the Land Use Element to include population densities and estimates of future growth (RCW 36.70A.070(1)). The Benton County CWPP contains several provisions addressing population growth and capacity. They include agreement or cooperation in determining the following:</w:t>
      </w:r>
    </w:p>
    <w:p>
      <w:pPr>
        <w:pStyle w:val="ListParagraph"/>
        <w:numPr>
          <w:ilvl w:val="0"/>
          <w:numId w:val="2"/>
        </w:numPr>
        <w:tabs>
          <w:tab w:pos="861" w:val="left" w:leader="none"/>
        </w:tabs>
        <w:spacing w:line="240" w:lineRule="auto" w:before="60" w:after="0"/>
        <w:ind w:left="860" w:right="0" w:hanging="362"/>
        <w:jc w:val="both"/>
        <w:rPr>
          <w:sz w:val="22"/>
        </w:rPr>
      </w:pPr>
      <w:r>
        <w:rPr>
          <w:sz w:val="22"/>
        </w:rPr>
        <w:t>The portion of the 20-year population forecast allocated to the City of</w:t>
      </w:r>
      <w:r>
        <w:rPr>
          <w:spacing w:val="-18"/>
          <w:sz w:val="22"/>
        </w:rPr>
        <w:t> </w:t>
      </w:r>
      <w:r>
        <w:rPr>
          <w:sz w:val="22"/>
        </w:rPr>
        <w:t>Richland.</w:t>
      </w:r>
    </w:p>
    <w:p>
      <w:pPr>
        <w:pStyle w:val="ListParagraph"/>
        <w:numPr>
          <w:ilvl w:val="0"/>
          <w:numId w:val="2"/>
        </w:numPr>
        <w:tabs>
          <w:tab w:pos="861" w:val="left" w:leader="none"/>
        </w:tabs>
        <w:spacing w:line="240" w:lineRule="auto" w:before="59" w:after="0"/>
        <w:ind w:left="860" w:right="0" w:hanging="361"/>
        <w:jc w:val="both"/>
        <w:rPr>
          <w:sz w:val="22"/>
        </w:rPr>
      </w:pPr>
      <w:r>
        <w:rPr>
          <w:sz w:val="22"/>
        </w:rPr>
        <w:t>The boundaries of the urban growth</w:t>
      </w:r>
      <w:r>
        <w:rPr>
          <w:spacing w:val="-10"/>
          <w:sz w:val="22"/>
        </w:rPr>
        <w:t> </w:t>
      </w:r>
      <w:r>
        <w:rPr>
          <w:sz w:val="22"/>
        </w:rPr>
        <w:t>area.</w:t>
      </w:r>
    </w:p>
    <w:p>
      <w:pPr>
        <w:pStyle w:val="ListParagraph"/>
        <w:numPr>
          <w:ilvl w:val="0"/>
          <w:numId w:val="2"/>
        </w:numPr>
        <w:tabs>
          <w:tab w:pos="861" w:val="left" w:leader="none"/>
        </w:tabs>
        <w:spacing w:line="240" w:lineRule="auto" w:before="61" w:after="0"/>
        <w:ind w:left="860" w:right="335" w:hanging="361"/>
        <w:jc w:val="both"/>
        <w:rPr>
          <w:sz w:val="22"/>
        </w:rPr>
      </w:pPr>
      <w:r>
        <w:rPr>
          <w:sz w:val="22"/>
        </w:rPr>
        <w:t>The amount of land necessary to provide sufficient service capacity to meet projected populations at urban densities and service</w:t>
      </w:r>
      <w:r>
        <w:rPr>
          <w:spacing w:val="-9"/>
          <w:sz w:val="22"/>
        </w:rPr>
        <w:t> </w:t>
      </w:r>
      <w:r>
        <w:rPr>
          <w:sz w:val="22"/>
        </w:rPr>
        <w:t>standards.</w:t>
      </w:r>
    </w:p>
    <w:p>
      <w:pPr>
        <w:pStyle w:val="ListParagraph"/>
        <w:numPr>
          <w:ilvl w:val="0"/>
          <w:numId w:val="2"/>
        </w:numPr>
        <w:tabs>
          <w:tab w:pos="861" w:val="left" w:leader="none"/>
        </w:tabs>
        <w:spacing w:line="240" w:lineRule="auto" w:before="61" w:after="0"/>
        <w:ind w:left="860" w:right="0" w:hanging="361"/>
        <w:jc w:val="both"/>
        <w:rPr>
          <w:sz w:val="22"/>
        </w:rPr>
      </w:pPr>
      <w:bookmarkStart w:name="Forecast" w:id="82"/>
      <w:bookmarkEnd w:id="82"/>
      <w:r>
        <w:rPr/>
      </w:r>
      <w:bookmarkStart w:name="Forecast" w:id="83"/>
      <w:bookmarkEnd w:id="83"/>
      <w:r>
        <w:rPr>
          <w:sz w:val="22"/>
        </w:rPr>
        <w:t>Co</w:t>
      </w:r>
      <w:r>
        <w:rPr>
          <w:sz w:val="22"/>
        </w:rPr>
        <w:t>nsistency with Benton County</w:t>
      </w:r>
      <w:r>
        <w:rPr>
          <w:spacing w:val="-6"/>
          <w:sz w:val="22"/>
        </w:rPr>
        <w:t> </w:t>
      </w:r>
      <w:r>
        <w:rPr>
          <w:sz w:val="22"/>
        </w:rPr>
        <w:t>CWPP.</w:t>
      </w:r>
    </w:p>
    <w:p>
      <w:pPr>
        <w:spacing w:before="200"/>
        <w:ind w:left="140" w:right="0" w:firstLine="0"/>
        <w:jc w:val="left"/>
        <w:rPr>
          <w:b/>
          <w:sz w:val="24"/>
        </w:rPr>
      </w:pPr>
      <w:r>
        <w:rPr>
          <w:b/>
          <w:sz w:val="24"/>
        </w:rPr>
        <w:t>FORECAST</w:t>
      </w:r>
    </w:p>
    <w:p>
      <w:pPr>
        <w:pStyle w:val="BodyText"/>
        <w:spacing w:before="119"/>
        <w:ind w:left="140" w:right="333"/>
        <w:jc w:val="both"/>
      </w:pPr>
      <w:r>
        <w:rPr/>
        <w:t>Based on the 2016 estimate of Office of Financial Management (OFM), Richland and its UGA contain a population of 54,733 (53,410 within City limits, 1,323 in the UGA). Benton County’s county-wide allocation and projected population for Richland are 76,533 for the year 2035, and 81,366 for the year 2040.</w:t>
      </w:r>
    </w:p>
    <w:p>
      <w:pPr>
        <w:pStyle w:val="BodyText"/>
        <w:spacing w:before="120"/>
        <w:ind w:left="139" w:right="334"/>
        <w:jc w:val="both"/>
      </w:pPr>
      <w:r>
        <w:rPr/>
        <w:t>The current population and the additional 20-year projected population equals 78,431 persons in the year 2037. The projected additional population that will be added to the City during the next twenty years, per consultation between the cities and Benton County and based upon the official projections from the OFM, is 23,699 persons.</w:t>
      </w:r>
    </w:p>
    <w:p>
      <w:pPr>
        <w:spacing w:after="0"/>
        <w:jc w:val="both"/>
        <w:sectPr>
          <w:pgSz w:w="12240" w:h="15840"/>
          <w:pgMar w:header="0" w:footer="1132" w:top="1360" w:bottom="1320" w:left="1300" w:right="1100"/>
        </w:sectPr>
      </w:pPr>
    </w:p>
    <w:p>
      <w:pPr>
        <w:spacing w:before="79"/>
        <w:ind w:left="140" w:right="0" w:firstLine="0"/>
        <w:jc w:val="left"/>
        <w:rPr>
          <w:rFonts w:ascii="Arial" w:hAnsi="Arial"/>
          <w:b/>
          <w:sz w:val="20"/>
        </w:rPr>
      </w:pPr>
      <w:r>
        <w:rPr/>
        <w:pict>
          <v:group style="position:absolute;margin-left:71.625pt;margin-top:21.093897pt;width:468.75pt;height:254.25pt;mso-position-horizontal-relative:page;mso-position-vertical-relative:paragraph;z-index:-268327936" coordorigin="1433,422" coordsize="9375,5085">
            <v:shape style="position:absolute;left:2647;top:648;width:7786;height:3910" type="#_x0000_t75" stroked="false">
              <v:imagedata r:id="rId45" o:title=""/>
            </v:shape>
            <v:rect style="position:absolute;left:4914;top:5156;width:103;height:103" filled="true" fillcolor="#4571a7" stroked="false">
              <v:fill type="solid"/>
            </v:rect>
            <v:rect style="position:absolute;left:6015;top:5156;width:103;height:103" filled="true" fillcolor="#bebebe" stroked="false">
              <v:fill type="solid"/>
            </v:rect>
            <v:rect style="position:absolute;left:1440;top:429;width:9360;height:5070" filled="false" stroked="true" strokeweight=".75pt" strokecolor="#000000">
              <v:stroke dashstyle="solid"/>
            </v:rect>
            <v:shape style="position:absolute;left:1755;top:865;width:774;height:2438" type="#_x0000_t202" filled="false" stroked="false">
              <v:textbox inset="0,0,0,0">
                <w:txbxContent>
                  <w:p>
                    <w:pPr>
                      <w:spacing w:line="226" w:lineRule="exact" w:before="0"/>
                      <w:ind w:left="0" w:right="0" w:firstLine="0"/>
                      <w:jc w:val="left"/>
                      <w:rPr>
                        <w:rFonts w:ascii="Franklin Gothic Book"/>
                        <w:sz w:val="20"/>
                      </w:rPr>
                    </w:pPr>
                    <w:r>
                      <w:rPr>
                        <w:rFonts w:ascii="Franklin Gothic Book"/>
                        <w:sz w:val="20"/>
                      </w:rPr>
                      <w:t>400,000</w:t>
                    </w:r>
                  </w:p>
                  <w:p>
                    <w:pPr>
                      <w:spacing w:line="240" w:lineRule="auto" w:before="0"/>
                      <w:rPr>
                        <w:rFonts w:ascii="Franklin Gothic Book"/>
                        <w:sz w:val="19"/>
                      </w:rPr>
                    </w:pPr>
                  </w:p>
                  <w:p>
                    <w:pPr>
                      <w:spacing w:before="0"/>
                      <w:ind w:left="0" w:right="0" w:firstLine="0"/>
                      <w:jc w:val="left"/>
                      <w:rPr>
                        <w:rFonts w:ascii="Franklin Gothic Book"/>
                        <w:sz w:val="20"/>
                      </w:rPr>
                    </w:pPr>
                    <w:r>
                      <w:rPr>
                        <w:rFonts w:ascii="Franklin Gothic Book"/>
                        <w:sz w:val="20"/>
                      </w:rPr>
                      <w:t>350,000</w:t>
                    </w:r>
                  </w:p>
                  <w:p>
                    <w:pPr>
                      <w:spacing w:line="240" w:lineRule="auto" w:before="0"/>
                      <w:rPr>
                        <w:rFonts w:ascii="Franklin Gothic Book"/>
                        <w:sz w:val="19"/>
                      </w:rPr>
                    </w:pPr>
                  </w:p>
                  <w:p>
                    <w:pPr>
                      <w:spacing w:before="0"/>
                      <w:ind w:left="0" w:right="0" w:firstLine="0"/>
                      <w:jc w:val="left"/>
                      <w:rPr>
                        <w:rFonts w:ascii="Franklin Gothic Book"/>
                        <w:sz w:val="20"/>
                      </w:rPr>
                    </w:pPr>
                    <w:r>
                      <w:rPr>
                        <w:rFonts w:ascii="Franklin Gothic Book"/>
                        <w:sz w:val="20"/>
                      </w:rPr>
                      <w:t>300,000</w:t>
                    </w:r>
                  </w:p>
                  <w:p>
                    <w:pPr>
                      <w:spacing w:line="240" w:lineRule="auto" w:before="0"/>
                      <w:rPr>
                        <w:rFonts w:ascii="Franklin Gothic Book"/>
                        <w:sz w:val="19"/>
                      </w:rPr>
                    </w:pPr>
                  </w:p>
                  <w:p>
                    <w:pPr>
                      <w:spacing w:before="0"/>
                      <w:ind w:left="0" w:right="0" w:firstLine="0"/>
                      <w:jc w:val="left"/>
                      <w:rPr>
                        <w:rFonts w:ascii="Franklin Gothic Book"/>
                        <w:sz w:val="20"/>
                      </w:rPr>
                    </w:pPr>
                    <w:r>
                      <w:rPr>
                        <w:rFonts w:ascii="Franklin Gothic Book"/>
                        <w:sz w:val="20"/>
                      </w:rPr>
                      <w:t>250,000</w:t>
                    </w:r>
                  </w:p>
                  <w:p>
                    <w:pPr>
                      <w:spacing w:line="240" w:lineRule="auto" w:before="0"/>
                      <w:rPr>
                        <w:rFonts w:ascii="Franklin Gothic Book"/>
                        <w:sz w:val="19"/>
                      </w:rPr>
                    </w:pPr>
                  </w:p>
                  <w:p>
                    <w:pPr>
                      <w:spacing w:before="1"/>
                      <w:ind w:left="0" w:right="0" w:firstLine="0"/>
                      <w:jc w:val="left"/>
                      <w:rPr>
                        <w:rFonts w:ascii="Franklin Gothic Book"/>
                        <w:sz w:val="20"/>
                      </w:rPr>
                    </w:pPr>
                    <w:r>
                      <w:rPr>
                        <w:rFonts w:ascii="Franklin Gothic Book"/>
                        <w:sz w:val="20"/>
                      </w:rPr>
                      <w:t>200,000</w:t>
                    </w:r>
                  </w:p>
                  <w:p>
                    <w:pPr>
                      <w:spacing w:line="240" w:lineRule="auto" w:before="0"/>
                      <w:rPr>
                        <w:rFonts w:ascii="Franklin Gothic Book"/>
                        <w:sz w:val="19"/>
                      </w:rPr>
                    </w:pPr>
                  </w:p>
                  <w:p>
                    <w:pPr>
                      <w:spacing w:before="0"/>
                      <w:ind w:left="0" w:right="0" w:firstLine="0"/>
                      <w:jc w:val="left"/>
                      <w:rPr>
                        <w:rFonts w:ascii="Franklin Gothic Book"/>
                        <w:sz w:val="20"/>
                      </w:rPr>
                    </w:pPr>
                    <w:r>
                      <w:rPr>
                        <w:rFonts w:ascii="Franklin Gothic Book"/>
                        <w:sz w:val="20"/>
                      </w:rPr>
                      <w:t>150,000</w:t>
                    </w:r>
                  </w:p>
                </w:txbxContent>
              </v:textbox>
              <w10:wrap type="none"/>
            </v:shape>
            <v:shape style="position:absolute;left:7199;top:2318;width:2946;height:1032" type="#_x0000_t202" filled="false" stroked="false">
              <v:textbox inset="0,0,0,0">
                <w:txbxContent>
                  <w:p>
                    <w:pPr>
                      <w:spacing w:line="226" w:lineRule="exact" w:before="0"/>
                      <w:ind w:left="2170" w:right="0" w:firstLine="0"/>
                      <w:jc w:val="left"/>
                      <w:rPr>
                        <w:rFonts w:ascii="Franklin Gothic Book"/>
                        <w:sz w:val="20"/>
                      </w:rPr>
                    </w:pPr>
                    <w:r>
                      <w:rPr>
                        <w:rFonts w:ascii="Franklin Gothic Book"/>
                        <w:sz w:val="20"/>
                      </w:rPr>
                      <w:t>290,592</w:t>
                    </w:r>
                  </w:p>
                  <w:p>
                    <w:pPr>
                      <w:spacing w:before="11"/>
                      <w:ind w:left="1438" w:right="0" w:firstLine="0"/>
                      <w:jc w:val="left"/>
                      <w:rPr>
                        <w:rFonts w:ascii="Franklin Gothic Book"/>
                        <w:sz w:val="20"/>
                      </w:rPr>
                    </w:pPr>
                    <w:r>
                      <w:rPr>
                        <w:rFonts w:ascii="Franklin Gothic Book"/>
                        <w:sz w:val="20"/>
                      </w:rPr>
                      <w:t>256,072</w:t>
                    </w:r>
                  </w:p>
                  <w:p>
                    <w:pPr>
                      <w:spacing w:before="12"/>
                      <w:ind w:left="705" w:right="0" w:firstLine="0"/>
                      <w:jc w:val="left"/>
                      <w:rPr>
                        <w:rFonts w:ascii="Franklin Gothic Book"/>
                        <w:sz w:val="20"/>
                      </w:rPr>
                    </w:pPr>
                    <w:r>
                      <w:rPr>
                        <w:rFonts w:ascii="Franklin Gothic Book"/>
                        <w:sz w:val="20"/>
                      </w:rPr>
                      <w:t>221,552</w:t>
                    </w:r>
                  </w:p>
                  <w:p>
                    <w:pPr>
                      <w:spacing w:before="102"/>
                      <w:ind w:left="0" w:right="0" w:firstLine="0"/>
                      <w:jc w:val="left"/>
                      <w:rPr>
                        <w:rFonts w:ascii="Franklin Gothic Book"/>
                        <w:sz w:val="20"/>
                      </w:rPr>
                    </w:pPr>
                    <w:r>
                      <w:rPr>
                        <w:rFonts w:ascii="Franklin Gothic Book"/>
                        <w:sz w:val="20"/>
                      </w:rPr>
                      <w:t>175,177</w:t>
                    </w:r>
                  </w:p>
                </w:txbxContent>
              </v:textbox>
              <w10:wrap type="none"/>
            </v:shape>
            <v:shape style="position:absolute;left:1755;top:3350;width:5461;height:838" type="#_x0000_t202" filled="false" stroked="false">
              <v:textbox inset="0,0,0,0">
                <w:txbxContent>
                  <w:p>
                    <w:pPr>
                      <w:spacing w:line="200" w:lineRule="exact" w:before="0"/>
                      <w:ind w:left="4685" w:right="0" w:firstLine="0"/>
                      <w:jc w:val="left"/>
                      <w:rPr>
                        <w:rFonts w:ascii="Franklin Gothic Book"/>
                        <w:sz w:val="20"/>
                      </w:rPr>
                    </w:pPr>
                    <w:r>
                      <w:rPr>
                        <w:rFonts w:ascii="Franklin Gothic Book"/>
                        <w:sz w:val="20"/>
                      </w:rPr>
                      <w:t>142,475</w:t>
                    </w:r>
                  </w:p>
                  <w:p>
                    <w:pPr>
                      <w:tabs>
                        <w:tab w:pos="3220" w:val="left" w:leader="none"/>
                      </w:tabs>
                      <w:spacing w:line="230" w:lineRule="exact" w:before="0"/>
                      <w:ind w:left="0" w:right="0" w:firstLine="0"/>
                      <w:jc w:val="left"/>
                      <w:rPr>
                        <w:rFonts w:ascii="Franklin Gothic Book"/>
                        <w:sz w:val="20"/>
                      </w:rPr>
                    </w:pPr>
                    <w:r>
                      <w:rPr>
                        <w:rFonts w:ascii="Franklin Gothic Book"/>
                        <w:sz w:val="20"/>
                      </w:rPr>
                      <w:t>100,000</w:t>
                      <w:tab/>
                    </w:r>
                    <w:r>
                      <w:rPr>
                        <w:rFonts w:ascii="Franklin Gothic Book"/>
                        <w:position w:val="-2"/>
                        <w:sz w:val="20"/>
                      </w:rPr>
                      <w:t>105,800</w:t>
                    </w:r>
                    <w:r>
                      <w:rPr>
                        <w:rFonts w:ascii="Franklin Gothic Book"/>
                        <w:sz w:val="20"/>
                      </w:rPr>
                      <w:t>112,560</w:t>
                    </w:r>
                  </w:p>
                  <w:p>
                    <w:pPr>
                      <w:tabs>
                        <w:tab w:pos="1816" w:val="left" w:leader="none"/>
                      </w:tabs>
                      <w:spacing w:before="10"/>
                      <w:ind w:left="117" w:right="0" w:firstLine="0"/>
                      <w:jc w:val="left"/>
                      <w:rPr>
                        <w:rFonts w:ascii="Franklin Gothic Book"/>
                        <w:sz w:val="20"/>
                      </w:rPr>
                    </w:pPr>
                    <w:r>
                      <w:rPr>
                        <w:rFonts w:ascii="Franklin Gothic Book"/>
                        <w:position w:val="-16"/>
                        <w:sz w:val="20"/>
                      </w:rPr>
                      <w:t>50,000</w:t>
                      <w:tab/>
                    </w:r>
                    <w:r>
                      <w:rPr>
                        <w:rFonts w:ascii="Franklin Gothic Book"/>
                        <w:position w:val="-4"/>
                        <w:sz w:val="20"/>
                      </w:rPr>
                      <w:t>62,070</w:t>
                    </w:r>
                    <w:r>
                      <w:rPr>
                        <w:rFonts w:ascii="Franklin Gothic Book"/>
                        <w:spacing w:val="44"/>
                        <w:position w:val="-4"/>
                        <w:sz w:val="20"/>
                      </w:rPr>
                      <w:t> </w:t>
                    </w:r>
                    <w:r>
                      <w:rPr>
                        <w:rFonts w:ascii="Franklin Gothic Book"/>
                        <w:sz w:val="20"/>
                      </w:rPr>
                      <w:t>67,540</w:t>
                    </w:r>
                  </w:p>
                </w:txbxContent>
              </v:textbox>
              <w10:wrap type="none"/>
            </v:shape>
            <v:shape style="position:absolute;left:8697;top:3963;width:1391;height:269" type="#_x0000_t202" filled="false" stroked="false">
              <v:textbox inset="0,0,0,0">
                <w:txbxContent>
                  <w:p>
                    <w:pPr>
                      <w:spacing w:line="266" w:lineRule="exact" w:before="0"/>
                      <w:ind w:left="0" w:right="0" w:firstLine="0"/>
                      <w:jc w:val="left"/>
                      <w:rPr>
                        <w:rFonts w:ascii="Franklin Gothic Book"/>
                        <w:sz w:val="20"/>
                      </w:rPr>
                    </w:pPr>
                    <w:r>
                      <w:rPr>
                        <w:rFonts w:ascii="Franklin Gothic Book"/>
                        <w:position w:val="-3"/>
                        <w:sz w:val="20"/>
                      </w:rPr>
                      <w:t>71,700 </w:t>
                    </w:r>
                    <w:r>
                      <w:rPr>
                        <w:rFonts w:ascii="Franklin Gothic Book"/>
                        <w:sz w:val="20"/>
                      </w:rPr>
                      <w:t>81,366</w:t>
                    </w:r>
                  </w:p>
                </w:txbxContent>
              </v:textbox>
              <w10:wrap type="none"/>
            </v:shape>
            <v:shape style="position:absolute;left:2391;top:4227;width:1106;height:641" type="#_x0000_t202" filled="false" stroked="false">
              <v:textbox inset="0,0,0,0">
                <w:txbxContent>
                  <w:p>
                    <w:pPr>
                      <w:spacing w:line="201" w:lineRule="exact" w:before="0"/>
                      <w:ind w:left="447" w:right="0" w:firstLine="0"/>
                      <w:jc w:val="left"/>
                      <w:rPr>
                        <w:rFonts w:ascii="Franklin Gothic Book"/>
                        <w:sz w:val="20"/>
                      </w:rPr>
                    </w:pPr>
                    <w:r>
                      <w:rPr>
                        <w:rFonts w:ascii="Franklin Gothic Book"/>
                        <w:sz w:val="20"/>
                      </w:rPr>
                      <w:t>21,809</w:t>
                    </w:r>
                  </w:p>
                  <w:p>
                    <w:pPr>
                      <w:spacing w:line="202" w:lineRule="exact" w:before="0"/>
                      <w:ind w:left="0" w:right="0" w:firstLine="0"/>
                      <w:jc w:val="left"/>
                      <w:rPr>
                        <w:rFonts w:ascii="Franklin Gothic Book"/>
                        <w:sz w:val="20"/>
                      </w:rPr>
                    </w:pPr>
                    <w:r>
                      <w:rPr>
                        <w:rFonts w:ascii="Franklin Gothic Book"/>
                        <w:w w:val="99"/>
                        <w:sz w:val="20"/>
                      </w:rPr>
                      <w:t>0</w:t>
                    </w:r>
                  </w:p>
                  <w:p>
                    <w:pPr>
                      <w:spacing w:before="10"/>
                      <w:ind w:left="424" w:right="0" w:firstLine="0"/>
                      <w:jc w:val="left"/>
                      <w:rPr>
                        <w:rFonts w:ascii="Franklin Gothic Book"/>
                        <w:sz w:val="20"/>
                      </w:rPr>
                    </w:pPr>
                    <w:r>
                      <w:rPr>
                        <w:rFonts w:ascii="Franklin Gothic Book"/>
                        <w:sz w:val="20"/>
                      </w:rPr>
                      <w:t>1950</w:t>
                    </w:r>
                  </w:p>
                </w:txbxContent>
              </v:textbox>
              <w10:wrap type="none"/>
            </v:shape>
            <v:shape style="position:absolute;left:5060;top:5086;width:2358;height:226" type="#_x0000_t202" filled="false" stroked="false">
              <v:textbox inset="0,0,0,0">
                <w:txbxContent>
                  <w:p>
                    <w:pPr>
                      <w:tabs>
                        <w:tab w:pos="1100" w:val="left" w:leader="none"/>
                      </w:tabs>
                      <w:spacing w:line="226" w:lineRule="exact" w:before="0"/>
                      <w:ind w:left="0" w:right="0" w:firstLine="0"/>
                      <w:jc w:val="left"/>
                      <w:rPr>
                        <w:rFonts w:ascii="Franklin Gothic Book"/>
                        <w:sz w:val="20"/>
                      </w:rPr>
                    </w:pPr>
                    <w:r>
                      <w:rPr>
                        <w:rFonts w:ascii="Franklin Gothic Book"/>
                        <w:sz w:val="20"/>
                      </w:rPr>
                      <w:t>Richland</w:t>
                      <w:tab/>
                      <w:t>Benton</w:t>
                    </w:r>
                    <w:r>
                      <w:rPr>
                        <w:rFonts w:ascii="Franklin Gothic Book"/>
                        <w:spacing w:val="-5"/>
                        <w:sz w:val="20"/>
                      </w:rPr>
                      <w:t> </w:t>
                    </w:r>
                    <w:r>
                      <w:rPr>
                        <w:rFonts w:ascii="Franklin Gothic Book"/>
                        <w:sz w:val="20"/>
                      </w:rPr>
                      <w:t>County</w:t>
                    </w:r>
                  </w:p>
                </w:txbxContent>
              </v:textbox>
              <w10:wrap type="none"/>
            </v:shape>
            <w10:wrap type="none"/>
          </v:group>
        </w:pict>
      </w:r>
      <w:bookmarkStart w:name="_bookmark39" w:id="84"/>
      <w:bookmarkEnd w:id="84"/>
      <w:r>
        <w:rPr/>
      </w:r>
      <w:r>
        <w:rPr>
          <w:rFonts w:ascii="Arial" w:hAnsi="Arial"/>
          <w:b/>
          <w:sz w:val="20"/>
        </w:rPr>
        <w:t>Figure LU-2: Richland and Benton County’s Population Forecast</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16"/>
        </w:rPr>
      </w:pPr>
    </w:p>
    <w:tbl>
      <w:tblPr>
        <w:tblW w:w="0" w:type="auto"/>
        <w:jc w:val="left"/>
        <w:tblInd w:w="2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7"/>
        <w:gridCol w:w="733"/>
        <w:gridCol w:w="733"/>
        <w:gridCol w:w="733"/>
        <w:gridCol w:w="638"/>
        <w:gridCol w:w="733"/>
        <w:gridCol w:w="733"/>
        <w:gridCol w:w="733"/>
        <w:gridCol w:w="652"/>
      </w:tblGrid>
      <w:tr>
        <w:trPr>
          <w:trHeight w:val="370" w:hRule="atLeast"/>
        </w:trPr>
        <w:tc>
          <w:tcPr>
            <w:tcW w:w="747" w:type="dxa"/>
          </w:tcPr>
          <w:p>
            <w:pPr>
              <w:pStyle w:val="TableParagraph"/>
              <w:spacing w:before="45"/>
              <w:ind w:left="73"/>
              <w:rPr>
                <w:rFonts w:ascii="Franklin Gothic Book"/>
                <w:sz w:val="20"/>
              </w:rPr>
            </w:pPr>
            <w:r>
              <w:rPr>
                <w:rFonts w:ascii="Franklin Gothic Book"/>
                <w:sz w:val="20"/>
              </w:rPr>
              <w:t>23,548</w:t>
            </w:r>
          </w:p>
        </w:tc>
        <w:tc>
          <w:tcPr>
            <w:tcW w:w="733" w:type="dxa"/>
          </w:tcPr>
          <w:p>
            <w:pPr>
              <w:pStyle w:val="TableParagraph"/>
              <w:spacing w:before="33"/>
              <w:ind w:left="58"/>
              <w:rPr>
                <w:rFonts w:ascii="Franklin Gothic Book"/>
                <w:sz w:val="20"/>
              </w:rPr>
            </w:pPr>
            <w:r>
              <w:rPr>
                <w:rFonts w:ascii="Franklin Gothic Book"/>
                <w:sz w:val="20"/>
              </w:rPr>
              <w:t>26,290</w:t>
            </w:r>
          </w:p>
        </w:tc>
        <w:tc>
          <w:tcPr>
            <w:tcW w:w="733" w:type="dxa"/>
          </w:tcPr>
          <w:p>
            <w:pPr>
              <w:pStyle w:val="TableParagraph"/>
              <w:spacing w:before="1"/>
              <w:ind w:left="57"/>
              <w:rPr>
                <w:rFonts w:ascii="Franklin Gothic Book"/>
                <w:sz w:val="20"/>
              </w:rPr>
            </w:pPr>
            <w:r>
              <w:rPr>
                <w:rFonts w:ascii="Franklin Gothic Book"/>
                <w:sz w:val="20"/>
              </w:rPr>
              <w:t>33,578</w:t>
            </w:r>
          </w:p>
        </w:tc>
        <w:tc>
          <w:tcPr>
            <w:tcW w:w="733" w:type="dxa"/>
          </w:tcPr>
          <w:p>
            <w:pPr>
              <w:pStyle w:val="TableParagraph"/>
              <w:spacing w:line="226" w:lineRule="exact" w:before="0"/>
              <w:ind w:left="56"/>
              <w:rPr>
                <w:rFonts w:ascii="Franklin Gothic Book"/>
                <w:sz w:val="20"/>
              </w:rPr>
            </w:pPr>
            <w:r>
              <w:rPr>
                <w:rFonts w:ascii="Franklin Gothic Book"/>
                <w:sz w:val="20"/>
              </w:rPr>
              <w:t>33,993</w:t>
            </w:r>
          </w:p>
        </w:tc>
        <w:tc>
          <w:tcPr>
            <w:tcW w:w="2837" w:type="dxa"/>
            <w:gridSpan w:val="4"/>
          </w:tcPr>
          <w:p>
            <w:pPr>
              <w:pStyle w:val="TableParagraph"/>
              <w:spacing w:line="74" w:lineRule="auto" w:before="0"/>
              <w:ind w:left="56"/>
              <w:rPr>
                <w:rFonts w:ascii="Franklin Gothic Book"/>
                <w:sz w:val="20"/>
              </w:rPr>
            </w:pPr>
            <w:r>
              <w:rPr>
                <w:rFonts w:ascii="Franklin Gothic Book"/>
                <w:position w:val="-9"/>
                <w:sz w:val="20"/>
              </w:rPr>
              <w:t>38,708 </w:t>
            </w:r>
            <w:r>
              <w:rPr>
                <w:rFonts w:ascii="Franklin Gothic Book"/>
                <w:position w:val="-5"/>
                <w:sz w:val="20"/>
              </w:rPr>
              <w:t>48,058 </w:t>
            </w:r>
            <w:r>
              <w:rPr>
                <w:rFonts w:ascii="Franklin Gothic Book"/>
                <w:sz w:val="20"/>
              </w:rPr>
              <w:t>62,035</w:t>
            </w:r>
          </w:p>
        </w:tc>
        <w:tc>
          <w:tcPr>
            <w:tcW w:w="652" w:type="dxa"/>
          </w:tcPr>
          <w:p>
            <w:pPr>
              <w:pStyle w:val="TableParagraph"/>
              <w:spacing w:before="0"/>
              <w:ind w:left="0"/>
              <w:rPr>
                <w:rFonts w:ascii="Times New Roman"/>
                <w:sz w:val="20"/>
              </w:rPr>
            </w:pPr>
          </w:p>
        </w:tc>
      </w:tr>
      <w:tr>
        <w:trPr>
          <w:trHeight w:val="323" w:hRule="atLeast"/>
        </w:trPr>
        <w:tc>
          <w:tcPr>
            <w:tcW w:w="747" w:type="dxa"/>
          </w:tcPr>
          <w:p>
            <w:pPr>
              <w:pStyle w:val="TableParagraph"/>
              <w:spacing w:line="207" w:lineRule="exact" w:before="97"/>
              <w:ind w:left="50"/>
              <w:rPr>
                <w:rFonts w:ascii="Franklin Gothic Book"/>
                <w:sz w:val="20"/>
              </w:rPr>
            </w:pPr>
            <w:r>
              <w:rPr>
                <w:rFonts w:ascii="Franklin Gothic Book"/>
                <w:sz w:val="20"/>
              </w:rPr>
              <w:t>1960</w:t>
            </w:r>
          </w:p>
        </w:tc>
        <w:tc>
          <w:tcPr>
            <w:tcW w:w="733" w:type="dxa"/>
          </w:tcPr>
          <w:p>
            <w:pPr>
              <w:pStyle w:val="TableParagraph"/>
              <w:spacing w:line="207" w:lineRule="exact" w:before="97"/>
              <w:ind w:left="35"/>
              <w:rPr>
                <w:rFonts w:ascii="Franklin Gothic Book"/>
                <w:sz w:val="20"/>
              </w:rPr>
            </w:pPr>
            <w:r>
              <w:rPr>
                <w:rFonts w:ascii="Franklin Gothic Book"/>
                <w:sz w:val="20"/>
              </w:rPr>
              <w:t>1970</w:t>
            </w:r>
          </w:p>
        </w:tc>
        <w:tc>
          <w:tcPr>
            <w:tcW w:w="733" w:type="dxa"/>
          </w:tcPr>
          <w:p>
            <w:pPr>
              <w:pStyle w:val="TableParagraph"/>
              <w:spacing w:line="207" w:lineRule="exact" w:before="97"/>
              <w:ind w:left="34"/>
              <w:rPr>
                <w:rFonts w:ascii="Franklin Gothic Book"/>
                <w:sz w:val="20"/>
              </w:rPr>
            </w:pPr>
            <w:r>
              <w:rPr>
                <w:rFonts w:ascii="Franklin Gothic Book"/>
                <w:sz w:val="20"/>
              </w:rPr>
              <w:t>1980</w:t>
            </w:r>
          </w:p>
        </w:tc>
        <w:tc>
          <w:tcPr>
            <w:tcW w:w="733" w:type="dxa"/>
          </w:tcPr>
          <w:p>
            <w:pPr>
              <w:pStyle w:val="TableParagraph"/>
              <w:spacing w:line="207" w:lineRule="exact" w:before="97"/>
              <w:ind w:left="33"/>
              <w:rPr>
                <w:rFonts w:ascii="Franklin Gothic Book"/>
                <w:sz w:val="20"/>
              </w:rPr>
            </w:pPr>
            <w:r>
              <w:rPr>
                <w:rFonts w:ascii="Franklin Gothic Book"/>
                <w:sz w:val="20"/>
              </w:rPr>
              <w:t>1990</w:t>
            </w:r>
          </w:p>
        </w:tc>
        <w:tc>
          <w:tcPr>
            <w:tcW w:w="638" w:type="dxa"/>
          </w:tcPr>
          <w:p>
            <w:pPr>
              <w:pStyle w:val="TableParagraph"/>
              <w:spacing w:line="207" w:lineRule="exact" w:before="97"/>
              <w:ind w:left="33"/>
              <w:rPr>
                <w:rFonts w:ascii="Franklin Gothic Book"/>
                <w:sz w:val="20"/>
              </w:rPr>
            </w:pPr>
            <w:r>
              <w:rPr>
                <w:rFonts w:ascii="Franklin Gothic Book"/>
                <w:sz w:val="20"/>
              </w:rPr>
              <w:t>2000</w:t>
            </w:r>
          </w:p>
        </w:tc>
        <w:tc>
          <w:tcPr>
            <w:tcW w:w="733" w:type="dxa"/>
          </w:tcPr>
          <w:p>
            <w:pPr>
              <w:pStyle w:val="TableParagraph"/>
              <w:spacing w:line="207" w:lineRule="exact" w:before="97"/>
              <w:ind w:left="127"/>
              <w:rPr>
                <w:rFonts w:ascii="Franklin Gothic Book"/>
                <w:sz w:val="20"/>
              </w:rPr>
            </w:pPr>
            <w:r>
              <w:rPr>
                <w:rFonts w:ascii="Franklin Gothic Book"/>
                <w:sz w:val="20"/>
              </w:rPr>
              <w:t>2010</w:t>
            </w:r>
          </w:p>
        </w:tc>
        <w:tc>
          <w:tcPr>
            <w:tcW w:w="733" w:type="dxa"/>
          </w:tcPr>
          <w:p>
            <w:pPr>
              <w:pStyle w:val="TableParagraph"/>
              <w:spacing w:line="207" w:lineRule="exact" w:before="97"/>
              <w:ind w:left="126"/>
              <w:rPr>
                <w:rFonts w:ascii="Franklin Gothic Book"/>
                <w:sz w:val="20"/>
              </w:rPr>
            </w:pPr>
            <w:r>
              <w:rPr>
                <w:rFonts w:ascii="Franklin Gothic Book"/>
                <w:sz w:val="20"/>
              </w:rPr>
              <w:t>2020</w:t>
            </w:r>
          </w:p>
        </w:tc>
        <w:tc>
          <w:tcPr>
            <w:tcW w:w="733" w:type="dxa"/>
          </w:tcPr>
          <w:p>
            <w:pPr>
              <w:pStyle w:val="TableParagraph"/>
              <w:spacing w:line="207" w:lineRule="exact" w:before="97"/>
              <w:ind w:left="125"/>
              <w:rPr>
                <w:rFonts w:ascii="Franklin Gothic Book"/>
                <w:sz w:val="20"/>
              </w:rPr>
            </w:pPr>
            <w:r>
              <w:rPr>
                <w:rFonts w:ascii="Franklin Gothic Book"/>
                <w:sz w:val="20"/>
              </w:rPr>
              <w:t>2030</w:t>
            </w:r>
          </w:p>
        </w:tc>
        <w:tc>
          <w:tcPr>
            <w:tcW w:w="652" w:type="dxa"/>
          </w:tcPr>
          <w:p>
            <w:pPr>
              <w:pStyle w:val="TableParagraph"/>
              <w:spacing w:line="207" w:lineRule="exact" w:before="97"/>
              <w:ind w:left="125"/>
              <w:rPr>
                <w:rFonts w:ascii="Franklin Gothic Book"/>
                <w:sz w:val="20"/>
              </w:rPr>
            </w:pPr>
            <w:r>
              <w:rPr>
                <w:rFonts w:ascii="Franklin Gothic Book"/>
                <w:sz w:val="20"/>
              </w:rPr>
              <w:t>2040</w:t>
            </w:r>
          </w:p>
        </w:tc>
      </w:tr>
    </w:tbl>
    <w:p>
      <w:pPr>
        <w:pStyle w:val="BodyText"/>
        <w:rPr>
          <w:rFonts w:ascii="Arial"/>
          <w:b/>
        </w:rPr>
      </w:pPr>
    </w:p>
    <w:p>
      <w:pPr>
        <w:pStyle w:val="BodyText"/>
        <w:rPr>
          <w:rFonts w:ascii="Arial"/>
          <w:b/>
        </w:rPr>
      </w:pPr>
    </w:p>
    <w:p>
      <w:pPr>
        <w:pStyle w:val="BodyText"/>
        <w:spacing w:before="8"/>
        <w:rPr>
          <w:rFonts w:ascii="Arial"/>
          <w:b/>
          <w:sz w:val="30"/>
        </w:rPr>
      </w:pPr>
    </w:p>
    <w:p>
      <w:pPr>
        <w:pStyle w:val="Heading6"/>
        <w:spacing w:before="1"/>
      </w:pPr>
      <w:bookmarkStart w:name="Future Land Capacity" w:id="85"/>
      <w:bookmarkEnd w:id="85"/>
      <w:r>
        <w:rPr>
          <w:b w:val="0"/>
        </w:rPr>
      </w:r>
      <w:bookmarkStart w:name="_bookmark40" w:id="86"/>
      <w:bookmarkEnd w:id="86"/>
      <w:r>
        <w:rPr>
          <w:b w:val="0"/>
        </w:rPr>
      </w:r>
      <w:r>
        <w:rPr/>
        <w:t>FUTURE LAND CAPACITY</w:t>
      </w:r>
    </w:p>
    <w:p>
      <w:pPr>
        <w:pStyle w:val="BodyText"/>
        <w:spacing w:before="120"/>
        <w:ind w:left="140" w:right="339"/>
        <w:jc w:val="both"/>
      </w:pPr>
      <w:r>
        <w:rPr/>
        <w:t>In order to identify land necessary to meet the future demand, a land capacity analysis was performed. The analysis used the City’s existing land use density and land inventory.</w:t>
      </w:r>
    </w:p>
    <w:p>
      <w:pPr>
        <w:pStyle w:val="BodyText"/>
        <w:spacing w:before="121"/>
        <w:ind w:left="140" w:right="335"/>
        <w:jc w:val="both"/>
      </w:pPr>
      <w:r>
        <w:rPr/>
        <w:t>The first part of this analysis is based on the capacity of existing vacant and underdeveloped residential land to add additional units. This doesn’t reflect the property owners’ intention of development; neither does it require the property owners to develop their properties.</w:t>
      </w:r>
    </w:p>
    <w:p>
      <w:pPr>
        <w:pStyle w:val="BodyText"/>
        <w:spacing w:before="121"/>
        <w:ind w:left="140" w:right="334"/>
        <w:jc w:val="both"/>
      </w:pPr>
      <w:r>
        <w:rPr/>
        <w:t>In this methodology, all vacant and undeveloped lands were identified. Critical areas or environmentally sensitive lands present on the land were excluded in order to estimate the amount of buildable land. Twenty percent of the buildable land area was allocated for infrastructure. The remaining acreage was identified to be buildable and units were projected according to the City’s average land use density.</w:t>
      </w:r>
    </w:p>
    <w:p>
      <w:pPr>
        <w:pStyle w:val="BodyText"/>
        <w:spacing w:before="119"/>
        <w:ind w:left="139" w:right="334"/>
        <w:jc w:val="both"/>
      </w:pPr>
      <w:r>
        <w:rPr/>
        <w:t>As</w:t>
      </w:r>
      <w:r>
        <w:rPr>
          <w:spacing w:val="-5"/>
        </w:rPr>
        <w:t> </w:t>
      </w:r>
      <w:r>
        <w:rPr/>
        <w:t>discussed</w:t>
      </w:r>
      <w:r>
        <w:rPr>
          <w:spacing w:val="-7"/>
        </w:rPr>
        <w:t> </w:t>
      </w:r>
      <w:r>
        <w:rPr/>
        <w:t>in</w:t>
      </w:r>
      <w:r>
        <w:rPr>
          <w:spacing w:val="-8"/>
        </w:rPr>
        <w:t> </w:t>
      </w:r>
      <w:r>
        <w:rPr/>
        <w:t>the</w:t>
      </w:r>
      <w:r>
        <w:rPr>
          <w:spacing w:val="-6"/>
        </w:rPr>
        <w:t> </w:t>
      </w:r>
      <w:r>
        <w:rPr/>
        <w:t>previous</w:t>
      </w:r>
      <w:r>
        <w:rPr>
          <w:spacing w:val="-4"/>
        </w:rPr>
        <w:t> </w:t>
      </w:r>
      <w:r>
        <w:rPr/>
        <w:t>section,</w:t>
      </w:r>
      <w:r>
        <w:rPr>
          <w:spacing w:val="-7"/>
        </w:rPr>
        <w:t> </w:t>
      </w:r>
      <w:r>
        <w:rPr/>
        <w:t>23,699</w:t>
      </w:r>
      <w:r>
        <w:rPr>
          <w:spacing w:val="-7"/>
        </w:rPr>
        <w:t> </w:t>
      </w:r>
      <w:r>
        <w:rPr/>
        <w:t>persons</w:t>
      </w:r>
      <w:r>
        <w:rPr>
          <w:spacing w:val="-5"/>
        </w:rPr>
        <w:t> </w:t>
      </w:r>
      <w:r>
        <w:rPr/>
        <w:t>will</w:t>
      </w:r>
      <w:r>
        <w:rPr>
          <w:spacing w:val="-6"/>
        </w:rPr>
        <w:t> </w:t>
      </w:r>
      <w:r>
        <w:rPr/>
        <w:t>be</w:t>
      </w:r>
      <w:r>
        <w:rPr>
          <w:spacing w:val="-6"/>
        </w:rPr>
        <w:t> </w:t>
      </w:r>
      <w:r>
        <w:rPr/>
        <w:t>added</w:t>
      </w:r>
      <w:r>
        <w:rPr>
          <w:spacing w:val="-7"/>
        </w:rPr>
        <w:t> </w:t>
      </w:r>
      <w:r>
        <w:rPr/>
        <w:t>to</w:t>
      </w:r>
      <w:r>
        <w:rPr>
          <w:spacing w:val="-6"/>
        </w:rPr>
        <w:t> </w:t>
      </w:r>
      <w:r>
        <w:rPr/>
        <w:t>the</w:t>
      </w:r>
      <w:r>
        <w:rPr>
          <w:spacing w:val="-5"/>
        </w:rPr>
        <w:t> </w:t>
      </w:r>
      <w:r>
        <w:rPr/>
        <w:t>City</w:t>
      </w:r>
      <w:r>
        <w:rPr>
          <w:spacing w:val="-8"/>
        </w:rPr>
        <w:t> </w:t>
      </w:r>
      <w:r>
        <w:rPr/>
        <w:t>during</w:t>
      </w:r>
      <w:r>
        <w:rPr>
          <w:spacing w:val="-5"/>
        </w:rPr>
        <w:t> </w:t>
      </w:r>
      <w:r>
        <w:rPr/>
        <w:t>the</w:t>
      </w:r>
      <w:r>
        <w:rPr>
          <w:spacing w:val="-6"/>
        </w:rPr>
        <w:t> </w:t>
      </w:r>
      <w:r>
        <w:rPr/>
        <w:t>next</w:t>
      </w:r>
      <w:r>
        <w:rPr>
          <w:spacing w:val="-6"/>
        </w:rPr>
        <w:t> </w:t>
      </w:r>
      <w:r>
        <w:rPr/>
        <w:t>twenty years. This will require 9,874 residential units (23,699/2.4) considering Richland’s average household size of 2.4 persons/unit. In order to assess adequate land for future growth, the second phase analyzes residential units projected primarily on Low Density, Medium Density, High Density lands, and the Badger Mountain South area. Additionally, a percentage of vacant Commercial and Waterfront lands are projected to be developed with multi-family housing. Table LU-3 below indicates projected residential development within different land use</w:t>
      </w:r>
      <w:r>
        <w:rPr>
          <w:spacing w:val="-14"/>
        </w:rPr>
        <w:t> </w:t>
      </w:r>
      <w:r>
        <w:rPr/>
        <w:t>categories.</w:t>
      </w:r>
    </w:p>
    <w:p>
      <w:pPr>
        <w:spacing w:after="0"/>
        <w:jc w:val="both"/>
        <w:sectPr>
          <w:pgSz w:w="12240" w:h="15840"/>
          <w:pgMar w:header="0" w:footer="1132" w:top="1360" w:bottom="1320" w:left="1300" w:right="1100"/>
        </w:sectPr>
      </w:pPr>
    </w:p>
    <w:p>
      <w:pPr>
        <w:spacing w:before="79"/>
        <w:ind w:left="140" w:right="0" w:firstLine="0"/>
        <w:jc w:val="left"/>
        <w:rPr>
          <w:rFonts w:ascii="Arial" w:hAnsi="Arial"/>
          <w:b/>
          <w:sz w:val="20"/>
        </w:rPr>
      </w:pPr>
      <w:r>
        <w:rPr>
          <w:rFonts w:ascii="Arial" w:hAnsi="Arial"/>
          <w:b/>
          <w:sz w:val="20"/>
        </w:rPr>
        <w:t>Table LU-3: Land’s Capacity for Future Residential Development</w:t>
      </w:r>
    </w:p>
    <w:p>
      <w:pPr>
        <w:pStyle w:val="BodyText"/>
        <w:spacing w:before="6"/>
        <w:rPr>
          <w:rFonts w:ascii="Arial"/>
          <w:b/>
          <w:sz w:val="10"/>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94"/>
        <w:gridCol w:w="5549"/>
      </w:tblGrid>
      <w:tr>
        <w:trPr>
          <w:trHeight w:val="402" w:hRule="atLeast"/>
        </w:trPr>
        <w:tc>
          <w:tcPr>
            <w:tcW w:w="3694" w:type="dxa"/>
            <w:shd w:val="clear" w:color="auto" w:fill="B8CCE3"/>
          </w:tcPr>
          <w:p>
            <w:pPr>
              <w:pStyle w:val="TableParagraph"/>
              <w:spacing w:before="119"/>
              <w:rPr>
                <w:b/>
                <w:sz w:val="22"/>
              </w:rPr>
            </w:pPr>
            <w:r>
              <w:rPr>
                <w:b/>
                <w:sz w:val="22"/>
              </w:rPr>
              <w:t>Land Use Category</w:t>
            </w:r>
          </w:p>
        </w:tc>
        <w:tc>
          <w:tcPr>
            <w:tcW w:w="5549" w:type="dxa"/>
            <w:shd w:val="clear" w:color="auto" w:fill="B8CCE3"/>
          </w:tcPr>
          <w:p>
            <w:pPr>
              <w:pStyle w:val="TableParagraph"/>
              <w:spacing w:before="119"/>
              <w:rPr>
                <w:b/>
                <w:sz w:val="22"/>
              </w:rPr>
            </w:pPr>
            <w:r>
              <w:rPr>
                <w:b/>
                <w:sz w:val="22"/>
              </w:rPr>
              <w:t>Projected Units</w:t>
            </w:r>
          </w:p>
        </w:tc>
      </w:tr>
      <w:tr>
        <w:trPr>
          <w:trHeight w:val="2999" w:hRule="atLeast"/>
        </w:trPr>
        <w:tc>
          <w:tcPr>
            <w:tcW w:w="3694" w:type="dxa"/>
          </w:tcPr>
          <w:p>
            <w:pPr>
              <w:pStyle w:val="TableParagraph"/>
              <w:rPr>
                <w:b/>
                <w:sz w:val="22"/>
              </w:rPr>
            </w:pPr>
            <w:r>
              <w:rPr>
                <w:b/>
                <w:sz w:val="22"/>
              </w:rPr>
              <w:t>Low Density Residential</w:t>
            </w:r>
          </w:p>
          <w:p>
            <w:pPr>
              <w:pStyle w:val="TableParagraph"/>
              <w:spacing w:before="62"/>
              <w:rPr>
                <w:sz w:val="22"/>
              </w:rPr>
            </w:pPr>
            <w:r>
              <w:rPr>
                <w:sz w:val="22"/>
              </w:rPr>
              <w:t>Undeveloped = 1230 acres</w:t>
            </w:r>
          </w:p>
        </w:tc>
        <w:tc>
          <w:tcPr>
            <w:tcW w:w="5549" w:type="dxa"/>
          </w:tcPr>
          <w:p>
            <w:pPr>
              <w:pStyle w:val="TableParagraph"/>
              <w:rPr>
                <w:sz w:val="22"/>
              </w:rPr>
            </w:pPr>
            <w:r>
              <w:rPr>
                <w:sz w:val="22"/>
              </w:rPr>
              <w:t>BLM ownership (135 acres) 300 Area (23 acres)</w:t>
            </w:r>
          </w:p>
          <w:p>
            <w:pPr>
              <w:pStyle w:val="TableParagraph"/>
              <w:spacing w:before="2"/>
              <w:rPr>
                <w:sz w:val="22"/>
              </w:rPr>
            </w:pPr>
            <w:r>
              <w:rPr>
                <w:sz w:val="22"/>
              </w:rPr>
              <w:t>McDonald (14 acres) = 172 acres</w:t>
            </w:r>
          </w:p>
          <w:p>
            <w:pPr>
              <w:pStyle w:val="TableParagraph"/>
              <w:spacing w:line="297" w:lineRule="auto"/>
              <w:ind w:right="1857"/>
              <w:rPr>
                <w:sz w:val="22"/>
              </w:rPr>
            </w:pPr>
            <w:r>
              <w:rPr>
                <w:sz w:val="22"/>
              </w:rPr>
              <w:t>515 acres constrained by steep slopes 1,058 acres – 515 = 543 acres</w:t>
            </w:r>
          </w:p>
          <w:p>
            <w:pPr>
              <w:pStyle w:val="TableParagraph"/>
              <w:spacing w:line="242" w:lineRule="auto" w:before="0"/>
              <w:ind w:right="114"/>
              <w:rPr>
                <w:sz w:val="22"/>
              </w:rPr>
            </w:pPr>
            <w:r>
              <w:rPr>
                <w:sz w:val="22"/>
              </w:rPr>
              <w:t>543 acres x 80% (after infrastructure) = 434 acres @ 3.5 units/acre = 1,520 units</w:t>
            </w:r>
          </w:p>
          <w:p>
            <w:pPr>
              <w:pStyle w:val="TableParagraph"/>
              <w:spacing w:before="51"/>
              <w:ind w:right="827"/>
              <w:rPr>
                <w:sz w:val="22"/>
              </w:rPr>
            </w:pPr>
            <w:r>
              <w:rPr>
                <w:sz w:val="22"/>
              </w:rPr>
              <w:t>515 x 80% (after infrastructure) = 412 acres @ 2 units/acre = 824</w:t>
            </w:r>
            <w:r>
              <w:rPr>
                <w:spacing w:val="-4"/>
                <w:sz w:val="22"/>
              </w:rPr>
              <w:t> </w:t>
            </w:r>
            <w:r>
              <w:rPr>
                <w:sz w:val="22"/>
              </w:rPr>
              <w:t>units</w:t>
            </w:r>
          </w:p>
          <w:p>
            <w:pPr>
              <w:pStyle w:val="TableParagraph"/>
              <w:spacing w:before="60"/>
              <w:rPr>
                <w:b/>
                <w:i/>
                <w:sz w:val="22"/>
              </w:rPr>
            </w:pPr>
            <w:r>
              <w:rPr>
                <w:b/>
                <w:i/>
                <w:sz w:val="22"/>
              </w:rPr>
              <w:t>2,344 units</w:t>
            </w:r>
            <w:r>
              <w:rPr>
                <w:b/>
                <w:i/>
                <w:spacing w:val="-6"/>
                <w:sz w:val="22"/>
              </w:rPr>
              <w:t> </w:t>
            </w:r>
            <w:r>
              <w:rPr>
                <w:b/>
                <w:i/>
                <w:sz w:val="22"/>
              </w:rPr>
              <w:t>projected</w:t>
            </w:r>
          </w:p>
        </w:tc>
      </w:tr>
      <w:tr>
        <w:trPr>
          <w:trHeight w:val="1271" w:hRule="atLeast"/>
        </w:trPr>
        <w:tc>
          <w:tcPr>
            <w:tcW w:w="3694" w:type="dxa"/>
          </w:tcPr>
          <w:p>
            <w:pPr>
              <w:pStyle w:val="TableParagraph"/>
              <w:rPr>
                <w:b/>
                <w:sz w:val="22"/>
              </w:rPr>
            </w:pPr>
            <w:r>
              <w:rPr>
                <w:b/>
                <w:sz w:val="22"/>
              </w:rPr>
              <w:t>Medium Density Residential</w:t>
            </w:r>
          </w:p>
          <w:p>
            <w:pPr>
              <w:pStyle w:val="TableParagraph"/>
              <w:spacing w:before="62"/>
              <w:rPr>
                <w:sz w:val="22"/>
              </w:rPr>
            </w:pPr>
            <w:r>
              <w:rPr>
                <w:sz w:val="22"/>
              </w:rPr>
              <w:t>Undeveloped = 255 acres</w:t>
            </w:r>
          </w:p>
        </w:tc>
        <w:tc>
          <w:tcPr>
            <w:tcW w:w="5549" w:type="dxa"/>
          </w:tcPr>
          <w:p>
            <w:pPr>
              <w:pStyle w:val="TableParagraph"/>
              <w:rPr>
                <w:sz w:val="22"/>
              </w:rPr>
            </w:pPr>
            <w:r>
              <w:rPr>
                <w:sz w:val="22"/>
              </w:rPr>
              <w:t>Horn Rapids Open Space areas = 25 acres</w:t>
            </w:r>
          </w:p>
          <w:p>
            <w:pPr>
              <w:pStyle w:val="TableParagraph"/>
              <w:spacing w:before="62"/>
              <w:rPr>
                <w:sz w:val="22"/>
              </w:rPr>
            </w:pPr>
            <w:r>
              <w:rPr>
                <w:sz w:val="22"/>
              </w:rPr>
              <w:t>230 acres x 80% (after infrastructure) = 184 acres</w:t>
            </w:r>
          </w:p>
          <w:p>
            <w:pPr>
              <w:pStyle w:val="TableParagraph"/>
              <w:rPr>
                <w:sz w:val="22"/>
              </w:rPr>
            </w:pPr>
            <w:r>
              <w:rPr>
                <w:sz w:val="22"/>
              </w:rPr>
              <w:t>184 x 6.5 units/acre = 1196 units</w:t>
            </w:r>
          </w:p>
          <w:p>
            <w:pPr>
              <w:pStyle w:val="TableParagraph"/>
              <w:spacing w:line="237" w:lineRule="exact" w:before="61"/>
              <w:rPr>
                <w:b/>
                <w:i/>
                <w:sz w:val="22"/>
              </w:rPr>
            </w:pPr>
            <w:r>
              <w:rPr>
                <w:b/>
                <w:i/>
                <w:sz w:val="22"/>
              </w:rPr>
              <w:t>1,196 units projected</w:t>
            </w:r>
          </w:p>
        </w:tc>
      </w:tr>
      <w:tr>
        <w:trPr>
          <w:trHeight w:val="1907" w:hRule="atLeast"/>
        </w:trPr>
        <w:tc>
          <w:tcPr>
            <w:tcW w:w="3694" w:type="dxa"/>
          </w:tcPr>
          <w:p>
            <w:pPr>
              <w:pStyle w:val="TableParagraph"/>
              <w:rPr>
                <w:b/>
                <w:sz w:val="22"/>
              </w:rPr>
            </w:pPr>
            <w:r>
              <w:rPr>
                <w:b/>
                <w:sz w:val="22"/>
              </w:rPr>
              <w:t>High Density Residential</w:t>
            </w:r>
          </w:p>
          <w:p>
            <w:pPr>
              <w:pStyle w:val="TableParagraph"/>
              <w:spacing w:before="62"/>
              <w:rPr>
                <w:sz w:val="22"/>
              </w:rPr>
            </w:pPr>
            <w:r>
              <w:rPr>
                <w:sz w:val="22"/>
              </w:rPr>
              <w:t>Undeveloped = 107 acres</w:t>
            </w:r>
          </w:p>
        </w:tc>
        <w:tc>
          <w:tcPr>
            <w:tcW w:w="5549" w:type="dxa"/>
          </w:tcPr>
          <w:p>
            <w:pPr>
              <w:pStyle w:val="TableParagraph"/>
              <w:rPr>
                <w:sz w:val="22"/>
              </w:rPr>
            </w:pPr>
            <w:r>
              <w:rPr>
                <w:sz w:val="22"/>
              </w:rPr>
              <w:t>107 x 80% (after infrastructure) = 86 acres</w:t>
            </w:r>
          </w:p>
          <w:p>
            <w:pPr>
              <w:pStyle w:val="TableParagraph"/>
              <w:spacing w:line="295" w:lineRule="auto" w:before="62"/>
              <w:ind w:right="1079"/>
              <w:rPr>
                <w:sz w:val="22"/>
              </w:rPr>
            </w:pPr>
            <w:r>
              <w:rPr>
                <w:sz w:val="22"/>
              </w:rPr>
              <w:t>86 x 75% (available for residential) = 65 acres Average density = 15 units/acre</w:t>
            </w:r>
          </w:p>
          <w:p>
            <w:pPr>
              <w:pStyle w:val="TableParagraph"/>
              <w:spacing w:before="1"/>
              <w:rPr>
                <w:sz w:val="22"/>
              </w:rPr>
            </w:pPr>
            <w:r>
              <w:rPr>
                <w:sz w:val="22"/>
              </w:rPr>
              <w:t>65 x 15 = 975</w:t>
            </w:r>
          </w:p>
          <w:p>
            <w:pPr>
              <w:pStyle w:val="TableParagraph"/>
              <w:rPr>
                <w:b/>
                <w:i/>
                <w:sz w:val="22"/>
              </w:rPr>
            </w:pPr>
            <w:r>
              <w:rPr>
                <w:b/>
                <w:i/>
                <w:sz w:val="22"/>
              </w:rPr>
              <w:t>975 units projected</w:t>
            </w:r>
          </w:p>
        </w:tc>
      </w:tr>
      <w:tr>
        <w:trPr>
          <w:trHeight w:val="1271" w:hRule="atLeast"/>
        </w:trPr>
        <w:tc>
          <w:tcPr>
            <w:tcW w:w="3694" w:type="dxa"/>
          </w:tcPr>
          <w:p>
            <w:pPr>
              <w:pStyle w:val="TableParagraph"/>
              <w:rPr>
                <w:b/>
                <w:sz w:val="22"/>
              </w:rPr>
            </w:pPr>
            <w:r>
              <w:rPr>
                <w:b/>
                <w:sz w:val="22"/>
              </w:rPr>
              <w:t>Badger Mountain South</w:t>
            </w:r>
          </w:p>
          <w:p>
            <w:pPr>
              <w:pStyle w:val="TableParagraph"/>
              <w:spacing w:before="62"/>
              <w:rPr>
                <w:sz w:val="22"/>
              </w:rPr>
            </w:pPr>
            <w:r>
              <w:rPr>
                <w:sz w:val="22"/>
              </w:rPr>
              <w:t>Undeveloped = 1416 acres</w:t>
            </w:r>
          </w:p>
        </w:tc>
        <w:tc>
          <w:tcPr>
            <w:tcW w:w="5549" w:type="dxa"/>
          </w:tcPr>
          <w:p>
            <w:pPr>
              <w:pStyle w:val="TableParagraph"/>
              <w:rPr>
                <w:sz w:val="22"/>
              </w:rPr>
            </w:pPr>
            <w:r>
              <w:rPr>
                <w:sz w:val="22"/>
              </w:rPr>
              <w:t>Currently 60 dwellings</w:t>
            </w:r>
          </w:p>
          <w:p>
            <w:pPr>
              <w:pStyle w:val="TableParagraph"/>
              <w:spacing w:before="62"/>
              <w:rPr>
                <w:sz w:val="22"/>
              </w:rPr>
            </w:pPr>
            <w:r>
              <w:rPr>
                <w:sz w:val="22"/>
              </w:rPr>
              <w:t>Total Projection at Full Build Out: 4,150 to 5,000 units</w:t>
            </w:r>
          </w:p>
          <w:p>
            <w:pPr>
              <w:pStyle w:val="TableParagraph"/>
              <w:rPr>
                <w:b/>
                <w:i/>
                <w:sz w:val="22"/>
              </w:rPr>
            </w:pPr>
            <w:r>
              <w:rPr>
                <w:b/>
                <w:i/>
                <w:sz w:val="22"/>
              </w:rPr>
              <w:t>4,090 units projected</w:t>
            </w:r>
          </w:p>
        </w:tc>
      </w:tr>
      <w:tr>
        <w:trPr>
          <w:trHeight w:val="1787" w:hRule="atLeast"/>
        </w:trPr>
        <w:tc>
          <w:tcPr>
            <w:tcW w:w="3694" w:type="dxa"/>
          </w:tcPr>
          <w:p>
            <w:pPr>
              <w:pStyle w:val="TableParagraph"/>
              <w:rPr>
                <w:b/>
                <w:sz w:val="22"/>
              </w:rPr>
            </w:pPr>
            <w:r>
              <w:rPr>
                <w:b/>
                <w:sz w:val="22"/>
              </w:rPr>
              <w:t>Commercial</w:t>
            </w:r>
          </w:p>
          <w:p>
            <w:pPr>
              <w:pStyle w:val="TableParagraph"/>
              <w:spacing w:before="62"/>
              <w:rPr>
                <w:sz w:val="22"/>
              </w:rPr>
            </w:pPr>
            <w:r>
              <w:rPr>
                <w:sz w:val="22"/>
              </w:rPr>
              <w:t>Undeveloped = 471 acres</w:t>
            </w:r>
          </w:p>
          <w:p>
            <w:pPr>
              <w:pStyle w:val="TableParagraph"/>
              <w:ind w:left="108" w:right="87"/>
              <w:rPr>
                <w:sz w:val="22"/>
              </w:rPr>
            </w:pPr>
            <w:r>
              <w:rPr>
                <w:sz w:val="22"/>
              </w:rPr>
              <w:t>39 acres undeveloped in Commercial Limited Business zoned land (8% of undeveloped commercial land)</w:t>
            </w:r>
          </w:p>
        </w:tc>
        <w:tc>
          <w:tcPr>
            <w:tcW w:w="5549" w:type="dxa"/>
          </w:tcPr>
          <w:p>
            <w:pPr>
              <w:pStyle w:val="TableParagraph"/>
              <w:rPr>
                <w:sz w:val="22"/>
              </w:rPr>
            </w:pPr>
            <w:r>
              <w:rPr>
                <w:sz w:val="22"/>
              </w:rPr>
              <w:t>Average density = 15 units/acre</w:t>
            </w:r>
          </w:p>
          <w:p>
            <w:pPr>
              <w:pStyle w:val="TableParagraph"/>
              <w:spacing w:before="62"/>
              <w:rPr>
                <w:sz w:val="22"/>
              </w:rPr>
            </w:pPr>
            <w:r>
              <w:rPr>
                <w:sz w:val="22"/>
              </w:rPr>
              <w:t>39 x 80% (after infrastructure) = 31 acres</w:t>
            </w:r>
          </w:p>
          <w:p>
            <w:pPr>
              <w:pStyle w:val="TableParagraph"/>
              <w:rPr>
                <w:b/>
                <w:i/>
                <w:sz w:val="22"/>
              </w:rPr>
            </w:pPr>
            <w:r>
              <w:rPr>
                <w:b/>
                <w:i/>
                <w:sz w:val="22"/>
              </w:rPr>
              <w:t>465 units projected</w:t>
            </w:r>
          </w:p>
        </w:tc>
      </w:tr>
      <w:tr>
        <w:trPr>
          <w:trHeight w:val="1590" w:hRule="atLeast"/>
        </w:trPr>
        <w:tc>
          <w:tcPr>
            <w:tcW w:w="3694" w:type="dxa"/>
          </w:tcPr>
          <w:p>
            <w:pPr>
              <w:pStyle w:val="TableParagraph"/>
              <w:rPr>
                <w:b/>
                <w:sz w:val="22"/>
              </w:rPr>
            </w:pPr>
            <w:r>
              <w:rPr>
                <w:b/>
                <w:sz w:val="22"/>
              </w:rPr>
              <w:t>Waterfront</w:t>
            </w:r>
          </w:p>
          <w:p>
            <w:pPr>
              <w:pStyle w:val="TableParagraph"/>
              <w:spacing w:before="62"/>
              <w:rPr>
                <w:sz w:val="22"/>
              </w:rPr>
            </w:pPr>
            <w:r>
              <w:rPr>
                <w:sz w:val="22"/>
              </w:rPr>
              <w:t>Undeveloped = 56 acres</w:t>
            </w:r>
          </w:p>
        </w:tc>
        <w:tc>
          <w:tcPr>
            <w:tcW w:w="5549" w:type="dxa"/>
          </w:tcPr>
          <w:p>
            <w:pPr>
              <w:pStyle w:val="TableParagraph"/>
              <w:spacing w:line="297" w:lineRule="auto"/>
              <w:ind w:right="532"/>
              <w:rPr>
                <w:sz w:val="22"/>
              </w:rPr>
            </w:pPr>
            <w:r>
              <w:rPr>
                <w:sz w:val="22"/>
              </w:rPr>
              <w:t>10 acres unusable (landfill/shoreline setback areas) 1/3 waterfront area used for residential</w:t>
            </w:r>
          </w:p>
          <w:p>
            <w:pPr>
              <w:pStyle w:val="TableParagraph"/>
              <w:spacing w:line="254" w:lineRule="exact" w:before="0"/>
              <w:rPr>
                <w:sz w:val="22"/>
              </w:rPr>
            </w:pPr>
            <w:r>
              <w:rPr>
                <w:sz w:val="22"/>
              </w:rPr>
              <w:t>15 acres @15 units/acre = 225 units</w:t>
            </w:r>
          </w:p>
          <w:p>
            <w:pPr>
              <w:pStyle w:val="TableParagraph"/>
              <w:spacing w:before="62"/>
              <w:rPr>
                <w:b/>
                <w:i/>
                <w:sz w:val="22"/>
              </w:rPr>
            </w:pPr>
            <w:r>
              <w:rPr>
                <w:b/>
                <w:i/>
                <w:sz w:val="22"/>
              </w:rPr>
              <w:t>225 units projected</w:t>
            </w:r>
          </w:p>
        </w:tc>
      </w:tr>
      <w:tr>
        <w:trPr>
          <w:trHeight w:val="316" w:hRule="atLeast"/>
        </w:trPr>
        <w:tc>
          <w:tcPr>
            <w:tcW w:w="3694" w:type="dxa"/>
          </w:tcPr>
          <w:p>
            <w:pPr>
              <w:pStyle w:val="TableParagraph"/>
              <w:spacing w:line="237" w:lineRule="exact"/>
              <w:rPr>
                <w:b/>
                <w:sz w:val="22"/>
              </w:rPr>
            </w:pPr>
            <w:r>
              <w:rPr>
                <w:b/>
                <w:sz w:val="22"/>
              </w:rPr>
              <w:t>Total</w:t>
            </w:r>
          </w:p>
        </w:tc>
        <w:tc>
          <w:tcPr>
            <w:tcW w:w="5549" w:type="dxa"/>
          </w:tcPr>
          <w:p>
            <w:pPr>
              <w:pStyle w:val="TableParagraph"/>
              <w:spacing w:line="237" w:lineRule="exact"/>
              <w:rPr>
                <w:b/>
                <w:sz w:val="22"/>
              </w:rPr>
            </w:pPr>
            <w:r>
              <w:rPr>
                <w:b/>
                <w:sz w:val="22"/>
              </w:rPr>
              <w:t>9,295 units projected</w:t>
            </w:r>
          </w:p>
        </w:tc>
      </w:tr>
    </w:tbl>
    <w:p>
      <w:pPr>
        <w:spacing w:after="0" w:line="237" w:lineRule="exact"/>
        <w:rPr>
          <w:sz w:val="22"/>
        </w:rPr>
        <w:sectPr>
          <w:pgSz w:w="12240" w:h="15840"/>
          <w:pgMar w:header="0" w:footer="1132" w:top="1360" w:bottom="1320" w:left="1300" w:right="1100"/>
        </w:sectPr>
      </w:pPr>
    </w:p>
    <w:p>
      <w:pPr>
        <w:pStyle w:val="BodyText"/>
        <w:spacing w:before="80"/>
        <w:ind w:left="139" w:right="333"/>
        <w:jc w:val="both"/>
      </w:pPr>
      <w:r>
        <w:rPr/>
        <w:t>As indicated in the table above, 9,295 residential units can be developed at full buildout </w:t>
      </w:r>
      <w:r>
        <w:rPr>
          <w:spacing w:val="-3"/>
        </w:rPr>
        <w:t>to </w:t>
      </w:r>
      <w:r>
        <w:rPr/>
        <w:t>accommodate 22,308 people. This still leaves the City with the need to accommodate an additional 1391</w:t>
      </w:r>
      <w:r>
        <w:rPr>
          <w:spacing w:val="-9"/>
        </w:rPr>
        <w:t> </w:t>
      </w:r>
      <w:r>
        <w:rPr/>
        <w:t>people</w:t>
      </w:r>
      <w:r>
        <w:rPr>
          <w:spacing w:val="-9"/>
        </w:rPr>
        <w:t> </w:t>
      </w:r>
      <w:r>
        <w:rPr/>
        <w:t>(23,699-22,308)</w:t>
      </w:r>
      <w:r>
        <w:rPr>
          <w:spacing w:val="-8"/>
        </w:rPr>
        <w:t> </w:t>
      </w:r>
      <w:r>
        <w:rPr/>
        <w:t>in</w:t>
      </w:r>
      <w:r>
        <w:rPr>
          <w:spacing w:val="-10"/>
        </w:rPr>
        <w:t> </w:t>
      </w:r>
      <w:r>
        <w:rPr/>
        <w:t>a</w:t>
      </w:r>
      <w:r>
        <w:rPr>
          <w:spacing w:val="-11"/>
        </w:rPr>
        <w:t> </w:t>
      </w:r>
      <w:r>
        <w:rPr/>
        <w:t>full</w:t>
      </w:r>
      <w:r>
        <w:rPr>
          <w:spacing w:val="-10"/>
        </w:rPr>
        <w:t> </w:t>
      </w:r>
      <w:r>
        <w:rPr/>
        <w:t>buildout</w:t>
      </w:r>
      <w:r>
        <w:rPr>
          <w:spacing w:val="-12"/>
        </w:rPr>
        <w:t> </w:t>
      </w:r>
      <w:r>
        <w:rPr/>
        <w:t>scenario.</w:t>
      </w:r>
      <w:r>
        <w:rPr>
          <w:spacing w:val="-12"/>
        </w:rPr>
        <w:t> </w:t>
      </w:r>
      <w:r>
        <w:rPr/>
        <w:t>The</w:t>
      </w:r>
      <w:r>
        <w:rPr>
          <w:spacing w:val="-8"/>
        </w:rPr>
        <w:t> </w:t>
      </w:r>
      <w:r>
        <w:rPr/>
        <w:t>City</w:t>
      </w:r>
      <w:r>
        <w:rPr>
          <w:spacing w:val="-10"/>
        </w:rPr>
        <w:t> </w:t>
      </w:r>
      <w:r>
        <w:rPr/>
        <w:t>currently</w:t>
      </w:r>
      <w:r>
        <w:rPr>
          <w:spacing w:val="-11"/>
        </w:rPr>
        <w:t> </w:t>
      </w:r>
      <w:r>
        <w:rPr/>
        <w:t>has</w:t>
      </w:r>
      <w:r>
        <w:rPr>
          <w:spacing w:val="-13"/>
        </w:rPr>
        <w:t> </w:t>
      </w:r>
      <w:r>
        <w:rPr/>
        <w:t>an</w:t>
      </w:r>
      <w:r>
        <w:rPr>
          <w:spacing w:val="-10"/>
        </w:rPr>
        <w:t> </w:t>
      </w:r>
      <w:r>
        <w:rPr/>
        <w:t>urban</w:t>
      </w:r>
      <w:r>
        <w:rPr>
          <w:spacing w:val="-9"/>
        </w:rPr>
        <w:t> </w:t>
      </w:r>
      <w:r>
        <w:rPr/>
        <w:t>reserve</w:t>
      </w:r>
      <w:r>
        <w:rPr>
          <w:spacing w:val="-11"/>
        </w:rPr>
        <w:t> </w:t>
      </w:r>
      <w:r>
        <w:rPr/>
        <w:t>land use category. Re-designation of this land for residential uses will satisfy the City’s need for an additional residential land</w:t>
      </w:r>
      <w:r>
        <w:rPr>
          <w:spacing w:val="-4"/>
        </w:rPr>
        <w:t> </w:t>
      </w:r>
      <w:r>
        <w:rPr/>
        <w:t>base.</w:t>
      </w:r>
    </w:p>
    <w:p>
      <w:pPr>
        <w:spacing w:before="119"/>
        <w:ind w:left="140" w:right="0" w:firstLine="0"/>
        <w:jc w:val="both"/>
        <w:rPr>
          <w:rFonts w:ascii="Arial"/>
          <w:b/>
          <w:sz w:val="20"/>
        </w:rPr>
      </w:pPr>
      <w:r>
        <w:rPr>
          <w:rFonts w:ascii="Arial"/>
          <w:b/>
          <w:sz w:val="20"/>
        </w:rPr>
        <w:t>Table LU-4: Vacant and Developed Commercial, Industrial and Public Lands</w:t>
      </w:r>
    </w:p>
    <w:p>
      <w:pPr>
        <w:pStyle w:val="BodyText"/>
        <w:spacing w:before="5"/>
        <w:rPr>
          <w:rFonts w:ascii="Arial"/>
          <w:b/>
          <w:sz w:val="10"/>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38"/>
        <w:gridCol w:w="1584"/>
        <w:gridCol w:w="1493"/>
        <w:gridCol w:w="1493"/>
      </w:tblGrid>
      <w:tr>
        <w:trPr>
          <w:trHeight w:val="688" w:hRule="atLeast"/>
        </w:trPr>
        <w:tc>
          <w:tcPr>
            <w:tcW w:w="3338" w:type="dxa"/>
            <w:shd w:val="clear" w:color="auto" w:fill="B8CCE3"/>
          </w:tcPr>
          <w:p>
            <w:pPr>
              <w:pStyle w:val="TableParagraph"/>
              <w:spacing w:before="119"/>
              <w:rPr>
                <w:b/>
                <w:sz w:val="22"/>
              </w:rPr>
            </w:pPr>
            <w:r>
              <w:rPr>
                <w:b/>
                <w:sz w:val="22"/>
              </w:rPr>
              <w:t>Land Use</w:t>
            </w:r>
          </w:p>
        </w:tc>
        <w:tc>
          <w:tcPr>
            <w:tcW w:w="1584" w:type="dxa"/>
            <w:shd w:val="clear" w:color="auto" w:fill="B8CCE3"/>
          </w:tcPr>
          <w:p>
            <w:pPr>
              <w:pStyle w:val="TableParagraph"/>
              <w:spacing w:line="280" w:lineRule="atLeast" w:before="97"/>
              <w:ind w:left="108" w:right="368"/>
              <w:rPr>
                <w:b/>
                <w:sz w:val="22"/>
              </w:rPr>
            </w:pPr>
            <w:r>
              <w:rPr>
                <w:b/>
                <w:sz w:val="22"/>
              </w:rPr>
              <w:t>Developed (acres)</w:t>
            </w:r>
          </w:p>
        </w:tc>
        <w:tc>
          <w:tcPr>
            <w:tcW w:w="1493" w:type="dxa"/>
            <w:shd w:val="clear" w:color="auto" w:fill="B8CCE3"/>
          </w:tcPr>
          <w:p>
            <w:pPr>
              <w:pStyle w:val="TableParagraph"/>
              <w:spacing w:line="280" w:lineRule="atLeast" w:before="97"/>
              <w:ind w:left="108" w:right="635"/>
              <w:rPr>
                <w:b/>
                <w:sz w:val="22"/>
              </w:rPr>
            </w:pPr>
            <w:r>
              <w:rPr>
                <w:b/>
                <w:sz w:val="22"/>
              </w:rPr>
              <w:t>Vacant (acres)</w:t>
            </w:r>
          </w:p>
        </w:tc>
        <w:tc>
          <w:tcPr>
            <w:tcW w:w="1493" w:type="dxa"/>
            <w:shd w:val="clear" w:color="auto" w:fill="B8CCE3"/>
          </w:tcPr>
          <w:p>
            <w:pPr>
              <w:pStyle w:val="TableParagraph"/>
              <w:spacing w:before="119"/>
              <w:ind w:left="108"/>
              <w:rPr>
                <w:b/>
                <w:sz w:val="22"/>
              </w:rPr>
            </w:pPr>
            <w:r>
              <w:rPr>
                <w:b/>
                <w:sz w:val="22"/>
              </w:rPr>
              <w:t>Total Acres</w:t>
            </w:r>
          </w:p>
        </w:tc>
      </w:tr>
      <w:tr>
        <w:trPr>
          <w:trHeight w:val="316" w:hRule="atLeast"/>
        </w:trPr>
        <w:tc>
          <w:tcPr>
            <w:tcW w:w="3338" w:type="dxa"/>
          </w:tcPr>
          <w:p>
            <w:pPr>
              <w:pStyle w:val="TableParagraph"/>
              <w:spacing w:line="237" w:lineRule="exact"/>
              <w:rPr>
                <w:sz w:val="22"/>
              </w:rPr>
            </w:pPr>
            <w:r>
              <w:rPr>
                <w:sz w:val="22"/>
              </w:rPr>
              <w:t>Commercial (City)</w:t>
            </w:r>
          </w:p>
        </w:tc>
        <w:tc>
          <w:tcPr>
            <w:tcW w:w="1584" w:type="dxa"/>
          </w:tcPr>
          <w:p>
            <w:pPr>
              <w:pStyle w:val="TableParagraph"/>
              <w:spacing w:line="237" w:lineRule="exact"/>
              <w:ind w:left="0" w:right="928"/>
              <w:jc w:val="right"/>
              <w:rPr>
                <w:sz w:val="22"/>
              </w:rPr>
            </w:pPr>
            <w:r>
              <w:rPr>
                <w:sz w:val="22"/>
              </w:rPr>
              <w:t>1,007</w:t>
            </w:r>
          </w:p>
        </w:tc>
        <w:tc>
          <w:tcPr>
            <w:tcW w:w="1493" w:type="dxa"/>
          </w:tcPr>
          <w:p>
            <w:pPr>
              <w:pStyle w:val="TableParagraph"/>
              <w:spacing w:line="237" w:lineRule="exact"/>
              <w:ind w:left="252"/>
              <w:rPr>
                <w:sz w:val="22"/>
              </w:rPr>
            </w:pPr>
            <w:r>
              <w:rPr>
                <w:sz w:val="22"/>
              </w:rPr>
              <w:t>538</w:t>
            </w:r>
          </w:p>
        </w:tc>
        <w:tc>
          <w:tcPr>
            <w:tcW w:w="1493" w:type="dxa"/>
          </w:tcPr>
          <w:p>
            <w:pPr>
              <w:pStyle w:val="TableParagraph"/>
              <w:spacing w:line="237" w:lineRule="exact"/>
              <w:ind w:left="108"/>
              <w:rPr>
                <w:sz w:val="22"/>
              </w:rPr>
            </w:pPr>
            <w:r>
              <w:rPr>
                <w:sz w:val="22"/>
              </w:rPr>
              <w:t>1,546</w:t>
            </w:r>
          </w:p>
        </w:tc>
      </w:tr>
      <w:tr>
        <w:trPr>
          <w:trHeight w:val="318" w:hRule="atLeast"/>
        </w:trPr>
        <w:tc>
          <w:tcPr>
            <w:tcW w:w="3338" w:type="dxa"/>
          </w:tcPr>
          <w:p>
            <w:pPr>
              <w:pStyle w:val="TableParagraph"/>
              <w:spacing w:line="237" w:lineRule="exact" w:before="62"/>
              <w:rPr>
                <w:sz w:val="22"/>
              </w:rPr>
            </w:pPr>
            <w:r>
              <w:rPr>
                <w:sz w:val="22"/>
              </w:rPr>
              <w:t>Commercial (UGA)</w:t>
            </w:r>
          </w:p>
        </w:tc>
        <w:tc>
          <w:tcPr>
            <w:tcW w:w="1584" w:type="dxa"/>
          </w:tcPr>
          <w:p>
            <w:pPr>
              <w:pStyle w:val="TableParagraph"/>
              <w:spacing w:line="237" w:lineRule="exact" w:before="62"/>
              <w:ind w:left="0" w:right="931"/>
              <w:jc w:val="right"/>
              <w:rPr>
                <w:sz w:val="22"/>
              </w:rPr>
            </w:pPr>
            <w:r>
              <w:rPr>
                <w:sz w:val="22"/>
              </w:rPr>
              <w:t>11</w:t>
            </w:r>
          </w:p>
        </w:tc>
        <w:tc>
          <w:tcPr>
            <w:tcW w:w="1493" w:type="dxa"/>
          </w:tcPr>
          <w:p>
            <w:pPr>
              <w:pStyle w:val="TableParagraph"/>
              <w:spacing w:line="237" w:lineRule="exact" w:before="62"/>
              <w:ind w:left="0" w:right="369"/>
              <w:jc w:val="center"/>
              <w:rPr>
                <w:sz w:val="22"/>
              </w:rPr>
            </w:pPr>
            <w:r>
              <w:rPr>
                <w:w w:val="100"/>
                <w:sz w:val="22"/>
              </w:rPr>
              <w:t>5</w:t>
            </w:r>
          </w:p>
        </w:tc>
        <w:tc>
          <w:tcPr>
            <w:tcW w:w="1493" w:type="dxa"/>
          </w:tcPr>
          <w:p>
            <w:pPr>
              <w:pStyle w:val="TableParagraph"/>
              <w:spacing w:line="237" w:lineRule="exact" w:before="62"/>
              <w:ind w:left="396"/>
              <w:rPr>
                <w:sz w:val="22"/>
              </w:rPr>
            </w:pPr>
            <w:r>
              <w:rPr>
                <w:sz w:val="22"/>
              </w:rPr>
              <w:t>16</w:t>
            </w:r>
          </w:p>
        </w:tc>
      </w:tr>
      <w:tr>
        <w:trPr>
          <w:trHeight w:val="318" w:hRule="atLeast"/>
        </w:trPr>
        <w:tc>
          <w:tcPr>
            <w:tcW w:w="3338" w:type="dxa"/>
          </w:tcPr>
          <w:p>
            <w:pPr>
              <w:pStyle w:val="TableParagraph"/>
              <w:spacing w:line="239" w:lineRule="exact"/>
              <w:rPr>
                <w:sz w:val="22"/>
              </w:rPr>
            </w:pPr>
            <w:r>
              <w:rPr>
                <w:sz w:val="22"/>
              </w:rPr>
              <w:t>Industrial (City)</w:t>
            </w:r>
          </w:p>
        </w:tc>
        <w:tc>
          <w:tcPr>
            <w:tcW w:w="1584" w:type="dxa"/>
          </w:tcPr>
          <w:p>
            <w:pPr>
              <w:pStyle w:val="TableParagraph"/>
              <w:spacing w:line="239" w:lineRule="exact"/>
              <w:ind w:left="0" w:right="928"/>
              <w:jc w:val="right"/>
              <w:rPr>
                <w:sz w:val="22"/>
              </w:rPr>
            </w:pPr>
            <w:r>
              <w:rPr>
                <w:sz w:val="22"/>
              </w:rPr>
              <w:t>2,914</w:t>
            </w:r>
          </w:p>
        </w:tc>
        <w:tc>
          <w:tcPr>
            <w:tcW w:w="1493" w:type="dxa"/>
          </w:tcPr>
          <w:p>
            <w:pPr>
              <w:pStyle w:val="TableParagraph"/>
              <w:spacing w:line="239" w:lineRule="exact"/>
              <w:ind w:left="108"/>
              <w:rPr>
                <w:sz w:val="22"/>
              </w:rPr>
            </w:pPr>
            <w:r>
              <w:rPr>
                <w:sz w:val="22"/>
              </w:rPr>
              <w:t>2,026</w:t>
            </w:r>
          </w:p>
        </w:tc>
        <w:tc>
          <w:tcPr>
            <w:tcW w:w="1493" w:type="dxa"/>
          </w:tcPr>
          <w:p>
            <w:pPr>
              <w:pStyle w:val="TableParagraph"/>
              <w:spacing w:line="239" w:lineRule="exact"/>
              <w:ind w:left="108"/>
              <w:rPr>
                <w:sz w:val="22"/>
              </w:rPr>
            </w:pPr>
            <w:r>
              <w:rPr>
                <w:sz w:val="22"/>
              </w:rPr>
              <w:t>4,940</w:t>
            </w:r>
          </w:p>
        </w:tc>
      </w:tr>
      <w:tr>
        <w:trPr>
          <w:trHeight w:val="316" w:hRule="atLeast"/>
        </w:trPr>
        <w:tc>
          <w:tcPr>
            <w:tcW w:w="3338" w:type="dxa"/>
          </w:tcPr>
          <w:p>
            <w:pPr>
              <w:pStyle w:val="TableParagraph"/>
              <w:spacing w:line="237" w:lineRule="exact"/>
              <w:rPr>
                <w:sz w:val="22"/>
              </w:rPr>
            </w:pPr>
            <w:r>
              <w:rPr>
                <w:sz w:val="22"/>
              </w:rPr>
              <w:t>Industrial</w:t>
            </w:r>
            <w:r>
              <w:rPr>
                <w:position w:val="5"/>
                <w:sz w:val="14"/>
              </w:rPr>
              <w:t>1 </w:t>
            </w:r>
            <w:r>
              <w:rPr>
                <w:sz w:val="22"/>
              </w:rPr>
              <w:t>(UGA)</w:t>
            </w:r>
          </w:p>
        </w:tc>
        <w:tc>
          <w:tcPr>
            <w:tcW w:w="1584" w:type="dxa"/>
          </w:tcPr>
          <w:p>
            <w:pPr>
              <w:pStyle w:val="TableParagraph"/>
              <w:spacing w:line="237" w:lineRule="exact"/>
              <w:ind w:left="0" w:right="952"/>
              <w:jc w:val="right"/>
              <w:rPr>
                <w:sz w:val="22"/>
              </w:rPr>
            </w:pPr>
            <w:r>
              <w:rPr>
                <w:sz w:val="22"/>
              </w:rPr>
              <w:t>447</w:t>
            </w:r>
          </w:p>
        </w:tc>
        <w:tc>
          <w:tcPr>
            <w:tcW w:w="1493" w:type="dxa"/>
          </w:tcPr>
          <w:p>
            <w:pPr>
              <w:pStyle w:val="TableParagraph"/>
              <w:spacing w:line="237" w:lineRule="exact"/>
              <w:ind w:left="252"/>
              <w:rPr>
                <w:sz w:val="22"/>
              </w:rPr>
            </w:pPr>
            <w:r>
              <w:rPr>
                <w:sz w:val="22"/>
              </w:rPr>
              <w:t>1863.5</w:t>
            </w:r>
          </w:p>
        </w:tc>
        <w:tc>
          <w:tcPr>
            <w:tcW w:w="1493" w:type="dxa"/>
          </w:tcPr>
          <w:p>
            <w:pPr>
              <w:pStyle w:val="TableParagraph"/>
              <w:spacing w:line="237" w:lineRule="exact"/>
              <w:ind w:left="108"/>
              <w:rPr>
                <w:sz w:val="22"/>
              </w:rPr>
            </w:pPr>
            <w:r>
              <w:rPr>
                <w:sz w:val="22"/>
              </w:rPr>
              <w:t>1,487</w:t>
            </w:r>
          </w:p>
        </w:tc>
      </w:tr>
      <w:tr>
        <w:trPr>
          <w:trHeight w:val="318" w:hRule="atLeast"/>
        </w:trPr>
        <w:tc>
          <w:tcPr>
            <w:tcW w:w="3338" w:type="dxa"/>
          </w:tcPr>
          <w:p>
            <w:pPr>
              <w:pStyle w:val="TableParagraph"/>
              <w:spacing w:line="239" w:lineRule="exact"/>
              <w:rPr>
                <w:sz w:val="22"/>
              </w:rPr>
            </w:pPr>
            <w:r>
              <w:rPr>
                <w:sz w:val="22"/>
              </w:rPr>
              <w:t>Public Lands</w:t>
            </w:r>
            <w:r>
              <w:rPr>
                <w:position w:val="5"/>
                <w:sz w:val="14"/>
              </w:rPr>
              <w:t>2 </w:t>
            </w:r>
            <w:r>
              <w:rPr>
                <w:sz w:val="22"/>
              </w:rPr>
              <w:t>(City)</w:t>
            </w:r>
          </w:p>
        </w:tc>
        <w:tc>
          <w:tcPr>
            <w:tcW w:w="1584" w:type="dxa"/>
          </w:tcPr>
          <w:p>
            <w:pPr>
              <w:pStyle w:val="TableParagraph"/>
              <w:spacing w:line="239" w:lineRule="exact"/>
              <w:ind w:left="0" w:right="928"/>
              <w:jc w:val="right"/>
              <w:rPr>
                <w:sz w:val="22"/>
              </w:rPr>
            </w:pPr>
            <w:r>
              <w:rPr>
                <w:sz w:val="22"/>
              </w:rPr>
              <w:t>4,385</w:t>
            </w:r>
          </w:p>
        </w:tc>
        <w:tc>
          <w:tcPr>
            <w:tcW w:w="1493" w:type="dxa"/>
          </w:tcPr>
          <w:p>
            <w:pPr>
              <w:pStyle w:val="TableParagraph"/>
              <w:spacing w:line="239" w:lineRule="exact"/>
              <w:ind w:left="252"/>
              <w:rPr>
                <w:sz w:val="22"/>
              </w:rPr>
            </w:pPr>
            <w:r>
              <w:rPr>
                <w:sz w:val="22"/>
              </w:rPr>
              <w:t>953</w:t>
            </w:r>
          </w:p>
        </w:tc>
        <w:tc>
          <w:tcPr>
            <w:tcW w:w="1493" w:type="dxa"/>
          </w:tcPr>
          <w:p>
            <w:pPr>
              <w:pStyle w:val="TableParagraph"/>
              <w:spacing w:line="239" w:lineRule="exact"/>
              <w:ind w:left="108"/>
              <w:rPr>
                <w:sz w:val="22"/>
              </w:rPr>
            </w:pPr>
            <w:r>
              <w:rPr>
                <w:sz w:val="22"/>
              </w:rPr>
              <w:t>5,338</w:t>
            </w:r>
          </w:p>
        </w:tc>
      </w:tr>
      <w:tr>
        <w:trPr>
          <w:trHeight w:val="318" w:hRule="atLeast"/>
        </w:trPr>
        <w:tc>
          <w:tcPr>
            <w:tcW w:w="3338" w:type="dxa"/>
          </w:tcPr>
          <w:p>
            <w:pPr>
              <w:pStyle w:val="TableParagraph"/>
              <w:spacing w:line="239" w:lineRule="exact"/>
              <w:rPr>
                <w:sz w:val="22"/>
              </w:rPr>
            </w:pPr>
            <w:r>
              <w:rPr>
                <w:sz w:val="22"/>
              </w:rPr>
              <w:t>Public Lands</w:t>
            </w:r>
            <w:r>
              <w:rPr>
                <w:position w:val="5"/>
                <w:sz w:val="14"/>
              </w:rPr>
              <w:t>2 </w:t>
            </w:r>
            <w:r>
              <w:rPr>
                <w:sz w:val="22"/>
              </w:rPr>
              <w:t>(UGA)</w:t>
            </w:r>
          </w:p>
        </w:tc>
        <w:tc>
          <w:tcPr>
            <w:tcW w:w="1584" w:type="dxa"/>
          </w:tcPr>
          <w:p>
            <w:pPr>
              <w:pStyle w:val="TableParagraph"/>
              <w:spacing w:line="239" w:lineRule="exact"/>
              <w:ind w:left="0" w:right="952"/>
              <w:jc w:val="right"/>
              <w:rPr>
                <w:sz w:val="22"/>
              </w:rPr>
            </w:pPr>
            <w:r>
              <w:rPr>
                <w:sz w:val="22"/>
              </w:rPr>
              <w:t>351</w:t>
            </w:r>
          </w:p>
        </w:tc>
        <w:tc>
          <w:tcPr>
            <w:tcW w:w="1493" w:type="dxa"/>
          </w:tcPr>
          <w:p>
            <w:pPr>
              <w:pStyle w:val="TableParagraph"/>
              <w:spacing w:line="239" w:lineRule="exact"/>
              <w:ind w:left="444"/>
              <w:rPr>
                <w:sz w:val="22"/>
              </w:rPr>
            </w:pPr>
            <w:r>
              <w:rPr>
                <w:w w:val="100"/>
                <w:sz w:val="22"/>
              </w:rPr>
              <w:t>0</w:t>
            </w:r>
          </w:p>
        </w:tc>
        <w:tc>
          <w:tcPr>
            <w:tcW w:w="1493" w:type="dxa"/>
          </w:tcPr>
          <w:p>
            <w:pPr>
              <w:pStyle w:val="TableParagraph"/>
              <w:spacing w:line="239" w:lineRule="exact"/>
              <w:ind w:left="252"/>
              <w:rPr>
                <w:sz w:val="22"/>
              </w:rPr>
            </w:pPr>
            <w:r>
              <w:rPr>
                <w:sz w:val="22"/>
              </w:rPr>
              <w:t>351</w:t>
            </w:r>
          </w:p>
        </w:tc>
      </w:tr>
    </w:tbl>
    <w:p>
      <w:pPr>
        <w:spacing w:before="57"/>
        <w:ind w:left="360" w:right="0" w:firstLine="0"/>
        <w:jc w:val="both"/>
        <w:rPr>
          <w:i/>
          <w:sz w:val="20"/>
        </w:rPr>
      </w:pPr>
      <w:r>
        <w:rPr>
          <w:i/>
          <w:position w:val="5"/>
          <w:sz w:val="13"/>
        </w:rPr>
        <w:t>1 </w:t>
      </w:r>
      <w:r>
        <w:rPr>
          <w:i/>
          <w:sz w:val="20"/>
        </w:rPr>
        <w:t>Includes Department of Energy (DOE) transferred land</w:t>
      </w:r>
    </w:p>
    <w:p>
      <w:pPr>
        <w:spacing w:before="61"/>
        <w:ind w:left="360" w:right="0" w:firstLine="0"/>
        <w:jc w:val="both"/>
        <w:rPr>
          <w:i/>
          <w:sz w:val="20"/>
        </w:rPr>
      </w:pPr>
      <w:r>
        <w:rPr>
          <w:i/>
          <w:position w:val="5"/>
          <w:sz w:val="13"/>
        </w:rPr>
        <w:t>2 </w:t>
      </w:r>
      <w:r>
        <w:rPr>
          <w:i/>
          <w:sz w:val="20"/>
        </w:rPr>
        <w:t>Includes open space and public facilities land</w:t>
      </w:r>
    </w:p>
    <w:p>
      <w:pPr>
        <w:pStyle w:val="BodyText"/>
        <w:spacing w:before="121"/>
        <w:ind w:left="140" w:right="335"/>
        <w:jc w:val="both"/>
      </w:pPr>
      <w:r>
        <w:rPr/>
        <w:t>The amount of vacant commercial land is anticipated to be sufficient to meet the needs of the projected population expected over the 20-year planning period. Re-development of underutilized lands within the Central Business District will also help to satisfy the demands for commercial lands created by an expanding population.</w:t>
      </w:r>
    </w:p>
    <w:p>
      <w:pPr>
        <w:pStyle w:val="BodyText"/>
        <w:spacing w:before="120"/>
        <w:ind w:left="140" w:right="336"/>
        <w:jc w:val="both"/>
      </w:pPr>
      <w:r>
        <w:rPr/>
        <w:t>The City’s industrial land base has recently been expanded significantly by an act of Congress that transferred 1,641 acres from the Department of Energy (DOE) to the City, the Port of Benton, and Energy Northwest. This land is located north of Horn Rapids Road and is specifically set aside for industrial development. The City and Port plan to market the property to industrial developers as “mega-sites” of 200 acres or larger. The proximity of this land to highways, rail, and utility services together with the large acreages available provide development opportunities for industries that exist in very few places throughout the Pacific Northwest.</w:t>
      </w:r>
    </w:p>
    <w:p>
      <w:pPr>
        <w:pStyle w:val="BodyText"/>
        <w:spacing w:before="119"/>
        <w:ind w:left="140" w:right="335"/>
        <w:jc w:val="both"/>
      </w:pPr>
      <w:r>
        <w:rPr/>
        <w:t>Industrial lands located south of Horn Rapids Road will continue to be developed with industrial developments of a more typical scale. The available industrial lands within these two areas will ensure that the City has an adequate industrial land base throughout the planning period.</w:t>
      </w:r>
    </w:p>
    <w:p>
      <w:pPr>
        <w:spacing w:before="201"/>
        <w:ind w:left="140" w:right="0" w:firstLine="0"/>
        <w:jc w:val="both"/>
        <w:rPr>
          <w:b/>
          <w:sz w:val="24"/>
        </w:rPr>
      </w:pPr>
      <w:bookmarkStart w:name="Lands for Public Purposes" w:id="87"/>
      <w:bookmarkEnd w:id="87"/>
      <w:r>
        <w:rPr/>
      </w:r>
      <w:r>
        <w:rPr>
          <w:b/>
          <w:sz w:val="24"/>
        </w:rPr>
        <w:t>LANDS FOR PUBLIC PURPOSES</w:t>
      </w:r>
    </w:p>
    <w:p>
      <w:pPr>
        <w:pStyle w:val="BodyText"/>
        <w:spacing w:before="119"/>
        <w:ind w:left="139" w:right="333"/>
        <w:jc w:val="both"/>
      </w:pPr>
      <w:r>
        <w:rPr/>
        <w:t>According to RCW 36.70A.150, the county and jurisdictions within it are required to work together to identify the needs for public facilities, including lands for public purposes. Current City-owned public facilities include parks and open spaces, transportation, water, sewer, storm water, solid waste, energy, and municipal facilities. Other public facilities include schools, irrigation, natural gas, and</w:t>
      </w:r>
      <w:r>
        <w:rPr>
          <w:spacing w:val="-10"/>
        </w:rPr>
        <w:t> </w:t>
      </w:r>
      <w:r>
        <w:rPr/>
        <w:t>telecommunication</w:t>
      </w:r>
      <w:r>
        <w:rPr>
          <w:spacing w:val="-13"/>
        </w:rPr>
        <w:t> </w:t>
      </w:r>
      <w:r>
        <w:rPr/>
        <w:t>services.</w:t>
      </w:r>
      <w:r>
        <w:rPr>
          <w:spacing w:val="-12"/>
        </w:rPr>
        <w:t> </w:t>
      </w:r>
      <w:r>
        <w:rPr/>
        <w:t>Table</w:t>
      </w:r>
      <w:r>
        <w:rPr>
          <w:spacing w:val="-13"/>
        </w:rPr>
        <w:t> </w:t>
      </w:r>
      <w:r>
        <w:rPr/>
        <w:t>LU-1</w:t>
      </w:r>
      <w:r>
        <w:rPr>
          <w:spacing w:val="-11"/>
        </w:rPr>
        <w:t> </w:t>
      </w:r>
      <w:r>
        <w:rPr/>
        <w:t>indicates</w:t>
      </w:r>
      <w:r>
        <w:rPr>
          <w:spacing w:val="-9"/>
        </w:rPr>
        <w:t> </w:t>
      </w:r>
      <w:r>
        <w:rPr/>
        <w:t>public</w:t>
      </w:r>
      <w:r>
        <w:rPr>
          <w:spacing w:val="-9"/>
        </w:rPr>
        <w:t> </w:t>
      </w:r>
      <w:r>
        <w:rPr/>
        <w:t>facility</w:t>
      </w:r>
      <w:r>
        <w:rPr>
          <w:spacing w:val="-11"/>
        </w:rPr>
        <w:t> </w:t>
      </w:r>
      <w:r>
        <w:rPr/>
        <w:t>and</w:t>
      </w:r>
      <w:r>
        <w:rPr>
          <w:spacing w:val="-10"/>
        </w:rPr>
        <w:t> </w:t>
      </w:r>
      <w:r>
        <w:rPr/>
        <w:t>transportation</w:t>
      </w:r>
      <w:r>
        <w:rPr>
          <w:spacing w:val="-11"/>
        </w:rPr>
        <w:t> </w:t>
      </w:r>
      <w:r>
        <w:rPr/>
        <w:t>rights</w:t>
      </w:r>
      <w:r>
        <w:rPr>
          <w:spacing w:val="-9"/>
        </w:rPr>
        <w:t> </w:t>
      </w:r>
      <w:r>
        <w:rPr/>
        <w:t>of</w:t>
      </w:r>
      <w:r>
        <w:rPr>
          <w:spacing w:val="-9"/>
        </w:rPr>
        <w:t> </w:t>
      </w:r>
      <w:r>
        <w:rPr/>
        <w:t>way lands.</w:t>
      </w:r>
    </w:p>
    <w:p>
      <w:pPr>
        <w:spacing w:after="0"/>
        <w:jc w:val="both"/>
        <w:sectPr>
          <w:pgSz w:w="12240" w:h="15840"/>
          <w:pgMar w:header="0" w:footer="1132" w:top="1360" w:bottom="1320" w:left="1300" w:right="1100"/>
        </w:sectPr>
      </w:pPr>
    </w:p>
    <w:p>
      <w:pPr>
        <w:spacing w:before="79"/>
        <w:ind w:left="140" w:right="0" w:firstLine="0"/>
        <w:jc w:val="both"/>
        <w:rPr>
          <w:rFonts w:ascii="Arial"/>
          <w:b/>
          <w:sz w:val="20"/>
        </w:rPr>
      </w:pPr>
      <w:r>
        <w:rPr>
          <w:rFonts w:ascii="Arial"/>
          <w:b/>
          <w:sz w:val="20"/>
        </w:rPr>
        <w:t>Table LU-5: Public Land in the City and UGA</w:t>
      </w:r>
    </w:p>
    <w:p>
      <w:pPr>
        <w:pStyle w:val="BodyText"/>
        <w:spacing w:before="6"/>
        <w:rPr>
          <w:rFonts w:ascii="Arial"/>
          <w:b/>
          <w:sz w:val="10"/>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78"/>
        <w:gridCol w:w="1639"/>
        <w:gridCol w:w="1639"/>
        <w:gridCol w:w="1641"/>
      </w:tblGrid>
      <w:tr>
        <w:trPr>
          <w:trHeight w:val="685" w:hRule="atLeast"/>
        </w:trPr>
        <w:tc>
          <w:tcPr>
            <w:tcW w:w="2678" w:type="dxa"/>
            <w:shd w:val="clear" w:color="auto" w:fill="B8CCE3"/>
          </w:tcPr>
          <w:p>
            <w:pPr>
              <w:pStyle w:val="TableParagraph"/>
              <w:spacing w:before="119"/>
              <w:rPr>
                <w:b/>
                <w:sz w:val="22"/>
              </w:rPr>
            </w:pPr>
            <w:r>
              <w:rPr>
                <w:b/>
                <w:sz w:val="22"/>
              </w:rPr>
              <w:t>Land Use</w:t>
            </w:r>
          </w:p>
        </w:tc>
        <w:tc>
          <w:tcPr>
            <w:tcW w:w="1639" w:type="dxa"/>
            <w:shd w:val="clear" w:color="auto" w:fill="B8CCE3"/>
          </w:tcPr>
          <w:p>
            <w:pPr>
              <w:pStyle w:val="TableParagraph"/>
              <w:spacing w:line="280" w:lineRule="atLeast" w:before="97"/>
              <w:ind w:left="105" w:right="310"/>
              <w:rPr>
                <w:b/>
                <w:sz w:val="22"/>
              </w:rPr>
            </w:pPr>
            <w:r>
              <w:rPr>
                <w:b/>
                <w:sz w:val="22"/>
              </w:rPr>
              <w:t>Acres in the City</w:t>
            </w:r>
          </w:p>
        </w:tc>
        <w:tc>
          <w:tcPr>
            <w:tcW w:w="1639" w:type="dxa"/>
            <w:shd w:val="clear" w:color="auto" w:fill="B8CCE3"/>
          </w:tcPr>
          <w:p>
            <w:pPr>
              <w:pStyle w:val="TableParagraph"/>
              <w:spacing w:line="280" w:lineRule="atLeast" w:before="97"/>
              <w:ind w:left="108" w:right="307"/>
              <w:rPr>
                <w:b/>
                <w:sz w:val="22"/>
              </w:rPr>
            </w:pPr>
            <w:r>
              <w:rPr>
                <w:b/>
                <w:sz w:val="22"/>
              </w:rPr>
              <w:t>Acres in the UGA</w:t>
            </w:r>
          </w:p>
        </w:tc>
        <w:tc>
          <w:tcPr>
            <w:tcW w:w="1641" w:type="dxa"/>
            <w:shd w:val="clear" w:color="auto" w:fill="B8CCE3"/>
          </w:tcPr>
          <w:p>
            <w:pPr>
              <w:pStyle w:val="TableParagraph"/>
              <w:spacing w:before="119"/>
              <w:ind w:left="108"/>
              <w:rPr>
                <w:b/>
                <w:sz w:val="22"/>
              </w:rPr>
            </w:pPr>
            <w:r>
              <w:rPr>
                <w:b/>
                <w:sz w:val="22"/>
              </w:rPr>
              <w:t>Total</w:t>
            </w:r>
          </w:p>
        </w:tc>
      </w:tr>
      <w:tr>
        <w:trPr>
          <w:trHeight w:val="318" w:hRule="atLeast"/>
        </w:trPr>
        <w:tc>
          <w:tcPr>
            <w:tcW w:w="2678" w:type="dxa"/>
          </w:tcPr>
          <w:p>
            <w:pPr>
              <w:pStyle w:val="TableParagraph"/>
              <w:spacing w:line="237" w:lineRule="exact" w:before="62"/>
              <w:ind w:left="347"/>
              <w:rPr>
                <w:sz w:val="22"/>
              </w:rPr>
            </w:pPr>
            <w:r>
              <w:rPr>
                <w:sz w:val="22"/>
              </w:rPr>
              <w:t>Developed Open Space</w:t>
            </w:r>
          </w:p>
        </w:tc>
        <w:tc>
          <w:tcPr>
            <w:tcW w:w="1639" w:type="dxa"/>
          </w:tcPr>
          <w:p>
            <w:pPr>
              <w:pStyle w:val="TableParagraph"/>
              <w:spacing w:line="237" w:lineRule="exact" w:before="62"/>
              <w:ind w:left="105"/>
              <w:rPr>
                <w:sz w:val="22"/>
              </w:rPr>
            </w:pPr>
            <w:r>
              <w:rPr>
                <w:sz w:val="22"/>
              </w:rPr>
              <w:t>2,170</w:t>
            </w:r>
          </w:p>
        </w:tc>
        <w:tc>
          <w:tcPr>
            <w:tcW w:w="1639" w:type="dxa"/>
          </w:tcPr>
          <w:p>
            <w:pPr>
              <w:pStyle w:val="TableParagraph"/>
              <w:spacing w:line="237" w:lineRule="exact" w:before="62"/>
              <w:ind w:left="108"/>
              <w:rPr>
                <w:sz w:val="22"/>
              </w:rPr>
            </w:pPr>
            <w:r>
              <w:rPr>
                <w:sz w:val="22"/>
              </w:rPr>
              <w:t>144</w:t>
            </w:r>
          </w:p>
        </w:tc>
        <w:tc>
          <w:tcPr>
            <w:tcW w:w="1641" w:type="dxa"/>
          </w:tcPr>
          <w:p>
            <w:pPr>
              <w:pStyle w:val="TableParagraph"/>
              <w:spacing w:line="237" w:lineRule="exact" w:before="62"/>
              <w:ind w:left="108"/>
              <w:rPr>
                <w:sz w:val="22"/>
              </w:rPr>
            </w:pPr>
            <w:r>
              <w:rPr>
                <w:sz w:val="22"/>
              </w:rPr>
              <w:t>2,314</w:t>
            </w:r>
          </w:p>
        </w:tc>
      </w:tr>
      <w:tr>
        <w:trPr>
          <w:trHeight w:val="318" w:hRule="atLeast"/>
        </w:trPr>
        <w:tc>
          <w:tcPr>
            <w:tcW w:w="2678" w:type="dxa"/>
          </w:tcPr>
          <w:p>
            <w:pPr>
              <w:pStyle w:val="TableParagraph"/>
              <w:spacing w:line="239" w:lineRule="exact"/>
              <w:ind w:left="347"/>
              <w:rPr>
                <w:sz w:val="22"/>
              </w:rPr>
            </w:pPr>
            <w:r>
              <w:rPr>
                <w:sz w:val="22"/>
              </w:rPr>
              <w:t>Natural Open Space</w:t>
            </w:r>
          </w:p>
        </w:tc>
        <w:tc>
          <w:tcPr>
            <w:tcW w:w="1639" w:type="dxa"/>
          </w:tcPr>
          <w:p>
            <w:pPr>
              <w:pStyle w:val="TableParagraph"/>
              <w:spacing w:line="239" w:lineRule="exact"/>
              <w:ind w:left="105"/>
              <w:rPr>
                <w:sz w:val="22"/>
              </w:rPr>
            </w:pPr>
            <w:r>
              <w:rPr>
                <w:sz w:val="22"/>
              </w:rPr>
              <w:t>2,154</w:t>
            </w:r>
          </w:p>
        </w:tc>
        <w:tc>
          <w:tcPr>
            <w:tcW w:w="1639" w:type="dxa"/>
          </w:tcPr>
          <w:p>
            <w:pPr>
              <w:pStyle w:val="TableParagraph"/>
              <w:spacing w:line="239" w:lineRule="exact"/>
              <w:ind w:left="108"/>
              <w:rPr>
                <w:sz w:val="22"/>
              </w:rPr>
            </w:pPr>
            <w:r>
              <w:rPr>
                <w:sz w:val="22"/>
              </w:rPr>
              <w:t>322</w:t>
            </w:r>
          </w:p>
        </w:tc>
        <w:tc>
          <w:tcPr>
            <w:tcW w:w="1641" w:type="dxa"/>
          </w:tcPr>
          <w:p>
            <w:pPr>
              <w:pStyle w:val="TableParagraph"/>
              <w:spacing w:line="239" w:lineRule="exact"/>
              <w:ind w:left="108"/>
              <w:rPr>
                <w:sz w:val="22"/>
              </w:rPr>
            </w:pPr>
            <w:r>
              <w:rPr>
                <w:sz w:val="22"/>
              </w:rPr>
              <w:t>2,476</w:t>
            </w:r>
          </w:p>
        </w:tc>
      </w:tr>
      <w:tr>
        <w:trPr>
          <w:trHeight w:val="316" w:hRule="atLeast"/>
        </w:trPr>
        <w:tc>
          <w:tcPr>
            <w:tcW w:w="2678" w:type="dxa"/>
          </w:tcPr>
          <w:p>
            <w:pPr>
              <w:pStyle w:val="TableParagraph"/>
              <w:spacing w:line="237" w:lineRule="exact"/>
              <w:ind w:left="347"/>
              <w:rPr>
                <w:sz w:val="14"/>
              </w:rPr>
            </w:pPr>
            <w:r>
              <w:rPr>
                <w:sz w:val="22"/>
              </w:rPr>
              <w:t>Public Facility</w:t>
            </w:r>
            <w:r>
              <w:rPr>
                <w:position w:val="5"/>
                <w:sz w:val="14"/>
              </w:rPr>
              <w:t>2</w:t>
            </w:r>
          </w:p>
        </w:tc>
        <w:tc>
          <w:tcPr>
            <w:tcW w:w="1639" w:type="dxa"/>
          </w:tcPr>
          <w:p>
            <w:pPr>
              <w:pStyle w:val="TableParagraph"/>
              <w:spacing w:line="237" w:lineRule="exact"/>
              <w:ind w:left="105"/>
              <w:rPr>
                <w:sz w:val="22"/>
              </w:rPr>
            </w:pPr>
            <w:r>
              <w:rPr>
                <w:sz w:val="22"/>
              </w:rPr>
              <w:t>1,014</w:t>
            </w:r>
          </w:p>
        </w:tc>
        <w:tc>
          <w:tcPr>
            <w:tcW w:w="1639" w:type="dxa"/>
          </w:tcPr>
          <w:p>
            <w:pPr>
              <w:pStyle w:val="TableParagraph"/>
              <w:spacing w:line="237" w:lineRule="exact"/>
              <w:ind w:left="108"/>
              <w:rPr>
                <w:sz w:val="22"/>
              </w:rPr>
            </w:pPr>
            <w:r>
              <w:rPr>
                <w:sz w:val="22"/>
              </w:rPr>
              <w:t>27</w:t>
            </w:r>
          </w:p>
        </w:tc>
        <w:tc>
          <w:tcPr>
            <w:tcW w:w="1641" w:type="dxa"/>
          </w:tcPr>
          <w:p>
            <w:pPr>
              <w:pStyle w:val="TableParagraph"/>
              <w:spacing w:line="237" w:lineRule="exact"/>
              <w:ind w:left="108"/>
              <w:rPr>
                <w:sz w:val="22"/>
              </w:rPr>
            </w:pPr>
            <w:r>
              <w:rPr>
                <w:sz w:val="22"/>
              </w:rPr>
              <w:t>1,041</w:t>
            </w:r>
          </w:p>
        </w:tc>
      </w:tr>
      <w:tr>
        <w:trPr>
          <w:trHeight w:val="318" w:hRule="atLeast"/>
        </w:trPr>
        <w:tc>
          <w:tcPr>
            <w:tcW w:w="2678" w:type="dxa"/>
          </w:tcPr>
          <w:p>
            <w:pPr>
              <w:pStyle w:val="TableParagraph"/>
              <w:spacing w:line="239" w:lineRule="exact"/>
              <w:rPr>
                <w:sz w:val="22"/>
              </w:rPr>
            </w:pPr>
            <w:r>
              <w:rPr>
                <w:sz w:val="22"/>
              </w:rPr>
              <w:t>Public Lands Subtotal</w:t>
            </w:r>
          </w:p>
        </w:tc>
        <w:tc>
          <w:tcPr>
            <w:tcW w:w="1639" w:type="dxa"/>
          </w:tcPr>
          <w:p>
            <w:pPr>
              <w:pStyle w:val="TableParagraph"/>
              <w:spacing w:line="239" w:lineRule="exact"/>
              <w:ind w:left="105"/>
              <w:rPr>
                <w:sz w:val="22"/>
              </w:rPr>
            </w:pPr>
            <w:r>
              <w:rPr>
                <w:sz w:val="22"/>
              </w:rPr>
              <w:t>5,338</w:t>
            </w:r>
          </w:p>
        </w:tc>
        <w:tc>
          <w:tcPr>
            <w:tcW w:w="1639" w:type="dxa"/>
          </w:tcPr>
          <w:p>
            <w:pPr>
              <w:pStyle w:val="TableParagraph"/>
              <w:spacing w:line="239" w:lineRule="exact"/>
              <w:ind w:left="108"/>
              <w:rPr>
                <w:sz w:val="22"/>
              </w:rPr>
            </w:pPr>
            <w:r>
              <w:rPr>
                <w:sz w:val="22"/>
              </w:rPr>
              <w:t>493</w:t>
            </w:r>
          </w:p>
        </w:tc>
        <w:tc>
          <w:tcPr>
            <w:tcW w:w="1641" w:type="dxa"/>
          </w:tcPr>
          <w:p>
            <w:pPr>
              <w:pStyle w:val="TableParagraph"/>
              <w:spacing w:line="239" w:lineRule="exact"/>
              <w:ind w:left="108"/>
              <w:rPr>
                <w:sz w:val="22"/>
              </w:rPr>
            </w:pPr>
            <w:r>
              <w:rPr>
                <w:sz w:val="22"/>
              </w:rPr>
              <w:t>5, 831</w:t>
            </w:r>
          </w:p>
        </w:tc>
      </w:tr>
    </w:tbl>
    <w:p>
      <w:pPr>
        <w:spacing w:before="59"/>
        <w:ind w:left="360" w:right="2098" w:firstLine="0"/>
        <w:jc w:val="both"/>
        <w:rPr>
          <w:i/>
          <w:sz w:val="20"/>
        </w:rPr>
      </w:pPr>
      <w:r>
        <w:rPr>
          <w:i/>
          <w:position w:val="5"/>
          <w:sz w:val="13"/>
        </w:rPr>
        <w:t>2</w:t>
      </w:r>
      <w:r>
        <w:rPr>
          <w:i/>
          <w:sz w:val="20"/>
        </w:rPr>
        <w:t>Public facility lands includes public school sites, WSU campus, City owned facilities and </w:t>
      </w:r>
      <w:r>
        <w:rPr>
          <w:i/>
          <w:sz w:val="20"/>
        </w:rPr>
        <w:t>cemeteries</w:t>
      </w:r>
    </w:p>
    <w:p>
      <w:pPr>
        <w:pStyle w:val="BodyText"/>
        <w:spacing w:before="122"/>
        <w:ind w:left="139" w:right="334"/>
        <w:jc w:val="both"/>
      </w:pPr>
      <w:r>
        <w:rPr/>
        <w:t>Excluding</w:t>
      </w:r>
      <w:r>
        <w:rPr>
          <w:spacing w:val="-5"/>
        </w:rPr>
        <w:t> </w:t>
      </w:r>
      <w:r>
        <w:rPr/>
        <w:t>the</w:t>
      </w:r>
      <w:r>
        <w:rPr>
          <w:spacing w:val="-6"/>
        </w:rPr>
        <w:t> </w:t>
      </w:r>
      <w:r>
        <w:rPr/>
        <w:t>open</w:t>
      </w:r>
      <w:r>
        <w:rPr>
          <w:spacing w:val="-6"/>
        </w:rPr>
        <w:t> </w:t>
      </w:r>
      <w:r>
        <w:rPr/>
        <w:t>space</w:t>
      </w:r>
      <w:r>
        <w:rPr>
          <w:spacing w:val="-9"/>
        </w:rPr>
        <w:t> </w:t>
      </w:r>
      <w:r>
        <w:rPr/>
        <w:t>land,</w:t>
      </w:r>
      <w:r>
        <w:rPr>
          <w:spacing w:val="-7"/>
        </w:rPr>
        <w:t> </w:t>
      </w:r>
      <w:r>
        <w:rPr/>
        <w:t>there</w:t>
      </w:r>
      <w:r>
        <w:rPr>
          <w:spacing w:val="-5"/>
        </w:rPr>
        <w:t> </w:t>
      </w:r>
      <w:r>
        <w:rPr/>
        <w:t>are</w:t>
      </w:r>
      <w:r>
        <w:rPr>
          <w:spacing w:val="-6"/>
        </w:rPr>
        <w:t> </w:t>
      </w:r>
      <w:r>
        <w:rPr/>
        <w:t>about</w:t>
      </w:r>
      <w:r>
        <w:rPr>
          <w:spacing w:val="-7"/>
        </w:rPr>
        <w:t> </w:t>
      </w:r>
      <w:r>
        <w:rPr/>
        <w:t>361</w:t>
      </w:r>
      <w:r>
        <w:rPr>
          <w:spacing w:val="-6"/>
        </w:rPr>
        <w:t> </w:t>
      </w:r>
      <w:r>
        <w:rPr/>
        <w:t>acres</w:t>
      </w:r>
      <w:r>
        <w:rPr>
          <w:spacing w:val="-6"/>
        </w:rPr>
        <w:t> </w:t>
      </w:r>
      <w:r>
        <w:rPr/>
        <w:t>of</w:t>
      </w:r>
      <w:r>
        <w:rPr>
          <w:spacing w:val="-6"/>
        </w:rPr>
        <w:t> </w:t>
      </w:r>
      <w:r>
        <w:rPr/>
        <w:t>vacant</w:t>
      </w:r>
      <w:r>
        <w:rPr>
          <w:spacing w:val="-5"/>
        </w:rPr>
        <w:t> </w:t>
      </w:r>
      <w:r>
        <w:rPr/>
        <w:t>public</w:t>
      </w:r>
      <w:r>
        <w:rPr>
          <w:spacing w:val="-6"/>
        </w:rPr>
        <w:t> </w:t>
      </w:r>
      <w:r>
        <w:rPr/>
        <w:t>facility</w:t>
      </w:r>
      <w:r>
        <w:rPr>
          <w:spacing w:val="-8"/>
        </w:rPr>
        <w:t> </w:t>
      </w:r>
      <w:r>
        <w:rPr/>
        <w:t>land</w:t>
      </w:r>
      <w:r>
        <w:rPr>
          <w:spacing w:val="-6"/>
        </w:rPr>
        <w:t> </w:t>
      </w:r>
      <w:r>
        <w:rPr/>
        <w:t>within</w:t>
      </w:r>
      <w:r>
        <w:rPr>
          <w:spacing w:val="-8"/>
        </w:rPr>
        <w:t> </w:t>
      </w:r>
      <w:r>
        <w:rPr/>
        <w:t>the</w:t>
      </w:r>
      <w:r>
        <w:rPr>
          <w:spacing w:val="-6"/>
        </w:rPr>
        <w:t> </w:t>
      </w:r>
      <w:r>
        <w:rPr/>
        <w:t>City limits. Richland’s current land per capita for public facility use (without including open space per capita) is 0.0122 acres. Based on this ratio, the additional 23,699 people will require 289 acres (23,699 x 0.0122) of land. Considering the vacant 361 acres, the City will have a surplus of approximately 72 acres of land for public</w:t>
      </w:r>
      <w:r>
        <w:rPr>
          <w:spacing w:val="-9"/>
        </w:rPr>
        <w:t> </w:t>
      </w:r>
      <w:r>
        <w:rPr/>
        <w:t>facilities.</w:t>
      </w:r>
    </w:p>
    <w:p>
      <w:pPr>
        <w:pStyle w:val="BodyText"/>
        <w:spacing w:before="119"/>
        <w:ind w:left="139" w:right="336"/>
        <w:jc w:val="both"/>
      </w:pPr>
      <w:r>
        <w:rPr/>
        <w:t>This analysis indicates the total land deficits and surpluses. However, the surplus land may not always be useful to meet specific needs due to its location and compatibility for specific public use. Additional information regarding park and open space lands can be found in the Capital Facilities Chapter of the Plan under “Parks, Recreation, and Open Space”.</w:t>
      </w:r>
    </w:p>
    <w:p>
      <w:pPr>
        <w:pStyle w:val="Heading6"/>
        <w:jc w:val="both"/>
      </w:pPr>
      <w:bookmarkStart w:name="Addressing the Demand" w:id="88"/>
      <w:bookmarkEnd w:id="88"/>
      <w:r>
        <w:rPr>
          <w:b w:val="0"/>
        </w:rPr>
      </w:r>
      <w:bookmarkStart w:name="_bookmark41" w:id="89"/>
      <w:bookmarkEnd w:id="89"/>
      <w:r>
        <w:rPr>
          <w:b w:val="0"/>
        </w:rPr>
      </w:r>
      <w:r>
        <w:rPr/>
        <w:t>ADDRESSING THE DEMAND</w:t>
      </w:r>
    </w:p>
    <w:p>
      <w:pPr>
        <w:pStyle w:val="BodyText"/>
        <w:spacing w:before="121"/>
        <w:ind w:left="140" w:right="334"/>
        <w:jc w:val="both"/>
      </w:pPr>
      <w:r>
        <w:rPr/>
        <w:t>The City is planning to accommodate additional growth in two currently undeveloped areas to the north and west sides all within the City limits. One area is located on the southwest side of the City near the City View and Queensgate area, abutting Kennedy Road to the south and Queensgate Drive to the east. The other area is located on the north side abutting the Horn Rapids residential development to the south. See Figure LU-3 and Appendix C of the Comprehensive Plan for details.</w:t>
      </w:r>
    </w:p>
    <w:p>
      <w:pPr>
        <w:pStyle w:val="BodyText"/>
        <w:spacing w:before="121"/>
        <w:ind w:left="140" w:right="820"/>
        <w:jc w:val="both"/>
      </w:pPr>
      <w:r>
        <w:rPr/>
        <w:t>The land use in these areas is re-designated from underutilized Urban Reserve to a mix of Low, Medium, and High Density Residential, Commercial, Public Facility, and Developed and Natural Open Spaces as shown in Table LU-6.</w:t>
      </w:r>
    </w:p>
    <w:p>
      <w:pPr>
        <w:spacing w:after="0"/>
        <w:jc w:val="both"/>
        <w:sectPr>
          <w:pgSz w:w="12240" w:h="15840"/>
          <w:pgMar w:header="0" w:footer="1132" w:top="1360" w:bottom="1320" w:left="1300" w:right="1100"/>
        </w:sectPr>
      </w:pPr>
    </w:p>
    <w:p>
      <w:pPr>
        <w:spacing w:before="79"/>
        <w:ind w:left="140" w:right="0" w:firstLine="0"/>
        <w:jc w:val="both"/>
        <w:rPr>
          <w:rFonts w:ascii="Arial"/>
          <w:b/>
          <w:sz w:val="20"/>
        </w:rPr>
      </w:pPr>
      <w:r>
        <w:rPr>
          <w:rFonts w:ascii="Arial"/>
          <w:b/>
          <w:sz w:val="20"/>
        </w:rPr>
        <w:t>Table LU-6: Proposed Land Use in Horn Rapids Northwest and City View West</w:t>
      </w:r>
    </w:p>
    <w:p>
      <w:pPr>
        <w:pStyle w:val="BodyText"/>
        <w:spacing w:before="6"/>
        <w:rPr>
          <w:rFonts w:ascii="Arial"/>
          <w:b/>
          <w:sz w:val="10"/>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3"/>
        <w:gridCol w:w="2023"/>
        <w:gridCol w:w="2371"/>
      </w:tblGrid>
      <w:tr>
        <w:trPr>
          <w:trHeight w:val="685" w:hRule="atLeast"/>
        </w:trPr>
        <w:tc>
          <w:tcPr>
            <w:tcW w:w="3163" w:type="dxa"/>
            <w:shd w:val="clear" w:color="auto" w:fill="B8CCE3"/>
          </w:tcPr>
          <w:p>
            <w:pPr>
              <w:pStyle w:val="TableParagraph"/>
              <w:spacing w:before="119"/>
              <w:rPr>
                <w:b/>
                <w:sz w:val="22"/>
              </w:rPr>
            </w:pPr>
            <w:r>
              <w:rPr>
                <w:b/>
                <w:sz w:val="22"/>
              </w:rPr>
              <w:t>Land Use</w:t>
            </w:r>
          </w:p>
        </w:tc>
        <w:tc>
          <w:tcPr>
            <w:tcW w:w="2023" w:type="dxa"/>
            <w:shd w:val="clear" w:color="auto" w:fill="B8CCE3"/>
          </w:tcPr>
          <w:p>
            <w:pPr>
              <w:pStyle w:val="TableParagraph"/>
              <w:spacing w:line="280" w:lineRule="atLeast" w:before="97"/>
              <w:ind w:right="110"/>
              <w:rPr>
                <w:b/>
                <w:sz w:val="22"/>
              </w:rPr>
            </w:pPr>
            <w:r>
              <w:rPr>
                <w:b/>
                <w:sz w:val="22"/>
              </w:rPr>
              <w:t>Existing Land Use (acres)</w:t>
            </w:r>
          </w:p>
        </w:tc>
        <w:tc>
          <w:tcPr>
            <w:tcW w:w="2371" w:type="dxa"/>
            <w:shd w:val="clear" w:color="auto" w:fill="B8CCE3"/>
          </w:tcPr>
          <w:p>
            <w:pPr>
              <w:pStyle w:val="TableParagraph"/>
              <w:spacing w:line="280" w:lineRule="atLeast" w:before="97"/>
              <w:ind w:left="108" w:right="198"/>
              <w:rPr>
                <w:b/>
                <w:sz w:val="22"/>
              </w:rPr>
            </w:pPr>
            <w:r>
              <w:rPr>
                <w:b/>
                <w:sz w:val="22"/>
              </w:rPr>
              <w:t>Proposed Land Uses (acres)</w:t>
            </w:r>
          </w:p>
        </w:tc>
      </w:tr>
      <w:tr>
        <w:trPr>
          <w:trHeight w:val="318" w:hRule="atLeast"/>
        </w:trPr>
        <w:tc>
          <w:tcPr>
            <w:tcW w:w="5186" w:type="dxa"/>
            <w:gridSpan w:val="2"/>
            <w:shd w:val="clear" w:color="auto" w:fill="D9D9D9"/>
          </w:tcPr>
          <w:p>
            <w:pPr>
              <w:pStyle w:val="TableParagraph"/>
              <w:spacing w:line="237" w:lineRule="exact" w:before="62"/>
              <w:rPr>
                <w:sz w:val="22"/>
              </w:rPr>
            </w:pPr>
            <w:r>
              <w:rPr>
                <w:sz w:val="22"/>
              </w:rPr>
              <w:t>Horn Rapids Northwest</w:t>
            </w:r>
          </w:p>
        </w:tc>
        <w:tc>
          <w:tcPr>
            <w:tcW w:w="2371" w:type="dxa"/>
            <w:shd w:val="clear" w:color="auto" w:fill="D9D9D9"/>
          </w:tcPr>
          <w:p>
            <w:pPr>
              <w:pStyle w:val="TableParagraph"/>
              <w:spacing w:before="0"/>
              <w:ind w:left="0"/>
              <w:rPr>
                <w:rFonts w:ascii="Times New Roman"/>
                <w:sz w:val="20"/>
              </w:rPr>
            </w:pPr>
          </w:p>
        </w:tc>
      </w:tr>
      <w:tr>
        <w:trPr>
          <w:trHeight w:val="318" w:hRule="atLeast"/>
        </w:trPr>
        <w:tc>
          <w:tcPr>
            <w:tcW w:w="3163" w:type="dxa"/>
          </w:tcPr>
          <w:p>
            <w:pPr>
              <w:pStyle w:val="TableParagraph"/>
              <w:spacing w:line="239" w:lineRule="exact"/>
              <w:rPr>
                <w:sz w:val="22"/>
              </w:rPr>
            </w:pPr>
            <w:r>
              <w:rPr>
                <w:sz w:val="22"/>
              </w:rPr>
              <w:t>Urban Reserve</w:t>
            </w:r>
          </w:p>
        </w:tc>
        <w:tc>
          <w:tcPr>
            <w:tcW w:w="2023" w:type="dxa"/>
          </w:tcPr>
          <w:p>
            <w:pPr>
              <w:pStyle w:val="TableParagraph"/>
              <w:spacing w:line="239" w:lineRule="exact"/>
              <w:rPr>
                <w:sz w:val="22"/>
              </w:rPr>
            </w:pPr>
            <w:r>
              <w:rPr>
                <w:sz w:val="22"/>
              </w:rPr>
              <w:t>272</w:t>
            </w:r>
          </w:p>
        </w:tc>
        <w:tc>
          <w:tcPr>
            <w:tcW w:w="2371" w:type="dxa"/>
          </w:tcPr>
          <w:p>
            <w:pPr>
              <w:pStyle w:val="TableParagraph"/>
              <w:spacing w:before="0"/>
              <w:ind w:left="0"/>
              <w:rPr>
                <w:rFonts w:ascii="Times New Roman"/>
                <w:sz w:val="20"/>
              </w:rPr>
            </w:pPr>
          </w:p>
        </w:tc>
      </w:tr>
      <w:tr>
        <w:trPr>
          <w:trHeight w:val="316" w:hRule="atLeast"/>
        </w:trPr>
        <w:tc>
          <w:tcPr>
            <w:tcW w:w="3163" w:type="dxa"/>
          </w:tcPr>
          <w:p>
            <w:pPr>
              <w:pStyle w:val="TableParagraph"/>
              <w:spacing w:line="237" w:lineRule="exact"/>
              <w:rPr>
                <w:sz w:val="22"/>
              </w:rPr>
            </w:pPr>
            <w:r>
              <w:rPr>
                <w:sz w:val="22"/>
              </w:rPr>
              <w:t>Low Density Residential</w:t>
            </w:r>
          </w:p>
        </w:tc>
        <w:tc>
          <w:tcPr>
            <w:tcW w:w="2023" w:type="dxa"/>
          </w:tcPr>
          <w:p>
            <w:pPr>
              <w:pStyle w:val="TableParagraph"/>
              <w:spacing w:before="0"/>
              <w:ind w:left="0"/>
              <w:rPr>
                <w:rFonts w:ascii="Times New Roman"/>
                <w:sz w:val="20"/>
              </w:rPr>
            </w:pPr>
          </w:p>
        </w:tc>
        <w:tc>
          <w:tcPr>
            <w:tcW w:w="2371" w:type="dxa"/>
          </w:tcPr>
          <w:p>
            <w:pPr>
              <w:pStyle w:val="TableParagraph"/>
              <w:spacing w:line="237" w:lineRule="exact"/>
              <w:ind w:left="0" w:right="1883"/>
              <w:jc w:val="right"/>
              <w:rPr>
                <w:sz w:val="22"/>
              </w:rPr>
            </w:pPr>
            <w:r>
              <w:rPr>
                <w:sz w:val="22"/>
              </w:rPr>
              <w:t>230</w:t>
            </w:r>
          </w:p>
        </w:tc>
      </w:tr>
      <w:tr>
        <w:trPr>
          <w:trHeight w:val="318" w:hRule="atLeast"/>
        </w:trPr>
        <w:tc>
          <w:tcPr>
            <w:tcW w:w="3163" w:type="dxa"/>
          </w:tcPr>
          <w:p>
            <w:pPr>
              <w:pStyle w:val="TableParagraph"/>
              <w:spacing w:line="239" w:lineRule="exact"/>
              <w:rPr>
                <w:sz w:val="22"/>
              </w:rPr>
            </w:pPr>
            <w:r>
              <w:rPr>
                <w:sz w:val="22"/>
              </w:rPr>
              <w:t>Medium Density Residential</w:t>
            </w:r>
          </w:p>
        </w:tc>
        <w:tc>
          <w:tcPr>
            <w:tcW w:w="2023" w:type="dxa"/>
          </w:tcPr>
          <w:p>
            <w:pPr>
              <w:pStyle w:val="TableParagraph"/>
              <w:spacing w:before="0"/>
              <w:ind w:left="0"/>
              <w:rPr>
                <w:rFonts w:ascii="Times New Roman"/>
                <w:sz w:val="20"/>
              </w:rPr>
            </w:pPr>
          </w:p>
        </w:tc>
        <w:tc>
          <w:tcPr>
            <w:tcW w:w="2371" w:type="dxa"/>
          </w:tcPr>
          <w:p>
            <w:pPr>
              <w:pStyle w:val="TableParagraph"/>
              <w:spacing w:line="239" w:lineRule="exact"/>
              <w:ind w:left="0" w:right="1910"/>
              <w:jc w:val="right"/>
              <w:rPr>
                <w:sz w:val="22"/>
              </w:rPr>
            </w:pPr>
            <w:r>
              <w:rPr>
                <w:sz w:val="22"/>
              </w:rPr>
              <w:t>42</w:t>
            </w:r>
          </w:p>
        </w:tc>
      </w:tr>
      <w:tr>
        <w:trPr>
          <w:trHeight w:val="318" w:hRule="atLeast"/>
        </w:trPr>
        <w:tc>
          <w:tcPr>
            <w:tcW w:w="3163" w:type="dxa"/>
          </w:tcPr>
          <w:p>
            <w:pPr>
              <w:pStyle w:val="TableParagraph"/>
              <w:spacing w:line="239" w:lineRule="exact"/>
              <w:rPr>
                <w:b/>
                <w:sz w:val="22"/>
              </w:rPr>
            </w:pPr>
            <w:r>
              <w:rPr>
                <w:b/>
                <w:sz w:val="22"/>
              </w:rPr>
              <w:t>Total</w:t>
            </w:r>
          </w:p>
        </w:tc>
        <w:tc>
          <w:tcPr>
            <w:tcW w:w="2023" w:type="dxa"/>
          </w:tcPr>
          <w:p>
            <w:pPr>
              <w:pStyle w:val="TableParagraph"/>
              <w:spacing w:line="239" w:lineRule="exact"/>
              <w:rPr>
                <w:b/>
                <w:sz w:val="22"/>
              </w:rPr>
            </w:pPr>
            <w:r>
              <w:rPr>
                <w:b/>
                <w:sz w:val="22"/>
              </w:rPr>
              <w:t>272</w:t>
            </w:r>
          </w:p>
        </w:tc>
        <w:tc>
          <w:tcPr>
            <w:tcW w:w="2371" w:type="dxa"/>
          </w:tcPr>
          <w:p>
            <w:pPr>
              <w:pStyle w:val="TableParagraph"/>
              <w:spacing w:line="239" w:lineRule="exact"/>
              <w:ind w:left="0" w:right="1859"/>
              <w:jc w:val="right"/>
              <w:rPr>
                <w:b/>
                <w:sz w:val="22"/>
              </w:rPr>
            </w:pPr>
            <w:r>
              <w:rPr>
                <w:b/>
                <w:sz w:val="22"/>
              </w:rPr>
              <w:t>272</w:t>
            </w:r>
          </w:p>
        </w:tc>
      </w:tr>
      <w:tr>
        <w:trPr>
          <w:trHeight w:val="316" w:hRule="atLeast"/>
        </w:trPr>
        <w:tc>
          <w:tcPr>
            <w:tcW w:w="5186" w:type="dxa"/>
            <w:gridSpan w:val="2"/>
            <w:shd w:val="clear" w:color="auto" w:fill="D9D9D9"/>
          </w:tcPr>
          <w:p>
            <w:pPr>
              <w:pStyle w:val="TableParagraph"/>
              <w:spacing w:line="237" w:lineRule="exact"/>
              <w:rPr>
                <w:sz w:val="22"/>
              </w:rPr>
            </w:pPr>
            <w:r>
              <w:rPr>
                <w:sz w:val="22"/>
              </w:rPr>
              <w:t>City View West</w:t>
            </w:r>
          </w:p>
        </w:tc>
        <w:tc>
          <w:tcPr>
            <w:tcW w:w="2371" w:type="dxa"/>
            <w:shd w:val="clear" w:color="auto" w:fill="D9D9D9"/>
          </w:tcPr>
          <w:p>
            <w:pPr>
              <w:pStyle w:val="TableParagraph"/>
              <w:spacing w:before="0"/>
              <w:ind w:left="0"/>
              <w:rPr>
                <w:rFonts w:ascii="Times New Roman"/>
                <w:sz w:val="20"/>
              </w:rPr>
            </w:pPr>
          </w:p>
        </w:tc>
      </w:tr>
      <w:tr>
        <w:trPr>
          <w:trHeight w:val="318" w:hRule="atLeast"/>
        </w:trPr>
        <w:tc>
          <w:tcPr>
            <w:tcW w:w="3163" w:type="dxa"/>
          </w:tcPr>
          <w:p>
            <w:pPr>
              <w:pStyle w:val="TableParagraph"/>
              <w:spacing w:line="239" w:lineRule="exact"/>
              <w:rPr>
                <w:sz w:val="22"/>
              </w:rPr>
            </w:pPr>
            <w:r>
              <w:rPr>
                <w:sz w:val="22"/>
              </w:rPr>
              <w:t>Urban Reserve</w:t>
            </w:r>
          </w:p>
        </w:tc>
        <w:tc>
          <w:tcPr>
            <w:tcW w:w="2023" w:type="dxa"/>
          </w:tcPr>
          <w:p>
            <w:pPr>
              <w:pStyle w:val="TableParagraph"/>
              <w:spacing w:line="239" w:lineRule="exact"/>
              <w:rPr>
                <w:sz w:val="22"/>
              </w:rPr>
            </w:pPr>
            <w:r>
              <w:rPr>
                <w:sz w:val="22"/>
              </w:rPr>
              <w:t>340</w:t>
            </w:r>
          </w:p>
        </w:tc>
        <w:tc>
          <w:tcPr>
            <w:tcW w:w="2371" w:type="dxa"/>
          </w:tcPr>
          <w:p>
            <w:pPr>
              <w:pStyle w:val="TableParagraph"/>
              <w:spacing w:before="0"/>
              <w:ind w:left="0"/>
              <w:rPr>
                <w:rFonts w:ascii="Times New Roman"/>
                <w:sz w:val="20"/>
              </w:rPr>
            </w:pPr>
          </w:p>
        </w:tc>
      </w:tr>
      <w:tr>
        <w:trPr>
          <w:trHeight w:val="316" w:hRule="atLeast"/>
        </w:trPr>
        <w:tc>
          <w:tcPr>
            <w:tcW w:w="3163" w:type="dxa"/>
          </w:tcPr>
          <w:p>
            <w:pPr>
              <w:pStyle w:val="TableParagraph"/>
              <w:spacing w:line="237" w:lineRule="exact"/>
              <w:rPr>
                <w:sz w:val="22"/>
              </w:rPr>
            </w:pPr>
            <w:r>
              <w:rPr>
                <w:sz w:val="22"/>
              </w:rPr>
              <w:t>Low Density Residential</w:t>
            </w:r>
          </w:p>
        </w:tc>
        <w:tc>
          <w:tcPr>
            <w:tcW w:w="2023" w:type="dxa"/>
          </w:tcPr>
          <w:p>
            <w:pPr>
              <w:pStyle w:val="TableParagraph"/>
              <w:spacing w:before="0"/>
              <w:ind w:left="0"/>
              <w:rPr>
                <w:rFonts w:ascii="Times New Roman"/>
                <w:sz w:val="20"/>
              </w:rPr>
            </w:pPr>
          </w:p>
        </w:tc>
        <w:tc>
          <w:tcPr>
            <w:tcW w:w="2371" w:type="dxa"/>
          </w:tcPr>
          <w:p>
            <w:pPr>
              <w:pStyle w:val="TableParagraph"/>
              <w:spacing w:line="237" w:lineRule="exact"/>
              <w:ind w:left="0" w:right="1835"/>
              <w:jc w:val="right"/>
              <w:rPr>
                <w:sz w:val="22"/>
              </w:rPr>
            </w:pPr>
            <w:r>
              <w:rPr>
                <w:sz w:val="22"/>
              </w:rPr>
              <w:t>143</w:t>
            </w:r>
          </w:p>
        </w:tc>
      </w:tr>
      <w:tr>
        <w:trPr>
          <w:trHeight w:val="318" w:hRule="atLeast"/>
        </w:trPr>
        <w:tc>
          <w:tcPr>
            <w:tcW w:w="3163" w:type="dxa"/>
          </w:tcPr>
          <w:p>
            <w:pPr>
              <w:pStyle w:val="TableParagraph"/>
              <w:spacing w:line="237" w:lineRule="exact" w:before="62"/>
              <w:rPr>
                <w:sz w:val="22"/>
              </w:rPr>
            </w:pPr>
            <w:r>
              <w:rPr>
                <w:sz w:val="22"/>
              </w:rPr>
              <w:t>Medium Density Residential</w:t>
            </w:r>
          </w:p>
        </w:tc>
        <w:tc>
          <w:tcPr>
            <w:tcW w:w="2023" w:type="dxa"/>
          </w:tcPr>
          <w:p>
            <w:pPr>
              <w:pStyle w:val="TableParagraph"/>
              <w:spacing w:before="0"/>
              <w:ind w:left="0"/>
              <w:rPr>
                <w:rFonts w:ascii="Times New Roman"/>
                <w:sz w:val="20"/>
              </w:rPr>
            </w:pPr>
          </w:p>
        </w:tc>
        <w:tc>
          <w:tcPr>
            <w:tcW w:w="2371" w:type="dxa"/>
          </w:tcPr>
          <w:p>
            <w:pPr>
              <w:pStyle w:val="TableParagraph"/>
              <w:spacing w:line="237" w:lineRule="exact" w:before="62"/>
              <w:ind w:left="0" w:right="1862"/>
              <w:jc w:val="right"/>
              <w:rPr>
                <w:sz w:val="22"/>
              </w:rPr>
            </w:pPr>
            <w:r>
              <w:rPr>
                <w:sz w:val="22"/>
              </w:rPr>
              <w:t>25</w:t>
            </w:r>
          </w:p>
        </w:tc>
      </w:tr>
      <w:tr>
        <w:trPr>
          <w:trHeight w:val="318" w:hRule="atLeast"/>
        </w:trPr>
        <w:tc>
          <w:tcPr>
            <w:tcW w:w="3163" w:type="dxa"/>
          </w:tcPr>
          <w:p>
            <w:pPr>
              <w:pStyle w:val="TableParagraph"/>
              <w:spacing w:line="239" w:lineRule="exact"/>
              <w:rPr>
                <w:sz w:val="22"/>
              </w:rPr>
            </w:pPr>
            <w:r>
              <w:rPr>
                <w:sz w:val="22"/>
              </w:rPr>
              <w:t>High Density Residential</w:t>
            </w:r>
          </w:p>
        </w:tc>
        <w:tc>
          <w:tcPr>
            <w:tcW w:w="2023" w:type="dxa"/>
          </w:tcPr>
          <w:p>
            <w:pPr>
              <w:pStyle w:val="TableParagraph"/>
              <w:spacing w:before="0"/>
              <w:ind w:left="0"/>
              <w:rPr>
                <w:rFonts w:ascii="Times New Roman"/>
                <w:sz w:val="20"/>
              </w:rPr>
            </w:pPr>
          </w:p>
        </w:tc>
        <w:tc>
          <w:tcPr>
            <w:tcW w:w="2371" w:type="dxa"/>
          </w:tcPr>
          <w:p>
            <w:pPr>
              <w:pStyle w:val="TableParagraph"/>
              <w:spacing w:line="239" w:lineRule="exact"/>
              <w:ind w:left="0" w:right="1862"/>
              <w:jc w:val="right"/>
              <w:rPr>
                <w:sz w:val="22"/>
              </w:rPr>
            </w:pPr>
            <w:r>
              <w:rPr>
                <w:sz w:val="22"/>
              </w:rPr>
              <w:t>34</w:t>
            </w:r>
          </w:p>
        </w:tc>
      </w:tr>
      <w:tr>
        <w:trPr>
          <w:trHeight w:val="316" w:hRule="atLeast"/>
        </w:trPr>
        <w:tc>
          <w:tcPr>
            <w:tcW w:w="3163" w:type="dxa"/>
          </w:tcPr>
          <w:p>
            <w:pPr>
              <w:pStyle w:val="TableParagraph"/>
              <w:spacing w:line="237" w:lineRule="exact"/>
              <w:rPr>
                <w:sz w:val="22"/>
              </w:rPr>
            </w:pPr>
            <w:r>
              <w:rPr>
                <w:sz w:val="22"/>
              </w:rPr>
              <w:t>Commercial</w:t>
            </w:r>
          </w:p>
        </w:tc>
        <w:tc>
          <w:tcPr>
            <w:tcW w:w="2023" w:type="dxa"/>
          </w:tcPr>
          <w:p>
            <w:pPr>
              <w:pStyle w:val="TableParagraph"/>
              <w:spacing w:before="0"/>
              <w:ind w:left="0"/>
              <w:rPr>
                <w:rFonts w:ascii="Times New Roman"/>
                <w:sz w:val="20"/>
              </w:rPr>
            </w:pPr>
          </w:p>
        </w:tc>
        <w:tc>
          <w:tcPr>
            <w:tcW w:w="2371" w:type="dxa"/>
          </w:tcPr>
          <w:p>
            <w:pPr>
              <w:pStyle w:val="TableParagraph"/>
              <w:spacing w:line="237" w:lineRule="exact"/>
              <w:ind w:left="0" w:right="1862"/>
              <w:jc w:val="right"/>
              <w:rPr>
                <w:sz w:val="22"/>
              </w:rPr>
            </w:pPr>
            <w:r>
              <w:rPr>
                <w:sz w:val="22"/>
              </w:rPr>
              <w:t>55</w:t>
            </w:r>
          </w:p>
        </w:tc>
      </w:tr>
      <w:tr>
        <w:trPr>
          <w:trHeight w:val="318" w:hRule="atLeast"/>
        </w:trPr>
        <w:tc>
          <w:tcPr>
            <w:tcW w:w="3163" w:type="dxa"/>
          </w:tcPr>
          <w:p>
            <w:pPr>
              <w:pStyle w:val="TableParagraph"/>
              <w:spacing w:line="237" w:lineRule="exact" w:before="62"/>
              <w:rPr>
                <w:sz w:val="22"/>
              </w:rPr>
            </w:pPr>
            <w:r>
              <w:rPr>
                <w:sz w:val="22"/>
              </w:rPr>
              <w:t>Public Facility</w:t>
            </w:r>
          </w:p>
        </w:tc>
        <w:tc>
          <w:tcPr>
            <w:tcW w:w="2023" w:type="dxa"/>
          </w:tcPr>
          <w:p>
            <w:pPr>
              <w:pStyle w:val="TableParagraph"/>
              <w:spacing w:before="0"/>
              <w:ind w:left="0"/>
              <w:rPr>
                <w:rFonts w:ascii="Times New Roman"/>
                <w:sz w:val="20"/>
              </w:rPr>
            </w:pPr>
          </w:p>
        </w:tc>
        <w:tc>
          <w:tcPr>
            <w:tcW w:w="2371" w:type="dxa"/>
          </w:tcPr>
          <w:p>
            <w:pPr>
              <w:pStyle w:val="TableParagraph"/>
              <w:spacing w:line="237" w:lineRule="exact" w:before="62"/>
              <w:ind w:left="0" w:right="1862"/>
              <w:jc w:val="right"/>
              <w:rPr>
                <w:sz w:val="22"/>
              </w:rPr>
            </w:pPr>
            <w:r>
              <w:rPr>
                <w:sz w:val="22"/>
              </w:rPr>
              <w:t>40</w:t>
            </w:r>
          </w:p>
        </w:tc>
      </w:tr>
      <w:tr>
        <w:trPr>
          <w:trHeight w:val="318" w:hRule="atLeast"/>
        </w:trPr>
        <w:tc>
          <w:tcPr>
            <w:tcW w:w="3163" w:type="dxa"/>
          </w:tcPr>
          <w:p>
            <w:pPr>
              <w:pStyle w:val="TableParagraph"/>
              <w:spacing w:line="239" w:lineRule="exact"/>
              <w:rPr>
                <w:sz w:val="22"/>
              </w:rPr>
            </w:pPr>
            <w:r>
              <w:rPr>
                <w:sz w:val="22"/>
              </w:rPr>
              <w:t>Developed Open Space</w:t>
            </w:r>
          </w:p>
        </w:tc>
        <w:tc>
          <w:tcPr>
            <w:tcW w:w="2023" w:type="dxa"/>
          </w:tcPr>
          <w:p>
            <w:pPr>
              <w:pStyle w:val="TableParagraph"/>
              <w:spacing w:before="0"/>
              <w:ind w:left="0"/>
              <w:rPr>
                <w:rFonts w:ascii="Times New Roman"/>
                <w:sz w:val="20"/>
              </w:rPr>
            </w:pPr>
          </w:p>
        </w:tc>
        <w:tc>
          <w:tcPr>
            <w:tcW w:w="2371" w:type="dxa"/>
          </w:tcPr>
          <w:p>
            <w:pPr>
              <w:pStyle w:val="TableParagraph"/>
              <w:spacing w:line="239" w:lineRule="exact"/>
              <w:ind w:left="0" w:right="1888"/>
              <w:jc w:val="right"/>
              <w:rPr>
                <w:sz w:val="22"/>
              </w:rPr>
            </w:pPr>
            <w:r>
              <w:rPr>
                <w:w w:val="100"/>
                <w:sz w:val="22"/>
              </w:rPr>
              <w:t>5</w:t>
            </w:r>
          </w:p>
        </w:tc>
      </w:tr>
      <w:tr>
        <w:trPr>
          <w:trHeight w:val="316" w:hRule="atLeast"/>
        </w:trPr>
        <w:tc>
          <w:tcPr>
            <w:tcW w:w="3163" w:type="dxa"/>
          </w:tcPr>
          <w:p>
            <w:pPr>
              <w:pStyle w:val="TableParagraph"/>
              <w:spacing w:line="237" w:lineRule="exact"/>
              <w:rPr>
                <w:sz w:val="22"/>
              </w:rPr>
            </w:pPr>
            <w:r>
              <w:rPr>
                <w:sz w:val="22"/>
              </w:rPr>
              <w:t>Natural Open Space</w:t>
            </w:r>
          </w:p>
        </w:tc>
        <w:tc>
          <w:tcPr>
            <w:tcW w:w="2023" w:type="dxa"/>
          </w:tcPr>
          <w:p>
            <w:pPr>
              <w:pStyle w:val="TableParagraph"/>
              <w:spacing w:before="0"/>
              <w:ind w:left="0"/>
              <w:rPr>
                <w:rFonts w:ascii="Times New Roman"/>
                <w:sz w:val="20"/>
              </w:rPr>
            </w:pPr>
          </w:p>
        </w:tc>
        <w:tc>
          <w:tcPr>
            <w:tcW w:w="2371" w:type="dxa"/>
          </w:tcPr>
          <w:p>
            <w:pPr>
              <w:pStyle w:val="TableParagraph"/>
              <w:spacing w:line="237" w:lineRule="exact"/>
              <w:ind w:left="0" w:right="1862"/>
              <w:jc w:val="right"/>
              <w:rPr>
                <w:sz w:val="22"/>
              </w:rPr>
            </w:pPr>
            <w:r>
              <w:rPr>
                <w:sz w:val="22"/>
              </w:rPr>
              <w:t>38</w:t>
            </w:r>
          </w:p>
        </w:tc>
      </w:tr>
      <w:tr>
        <w:trPr>
          <w:trHeight w:val="318" w:hRule="atLeast"/>
        </w:trPr>
        <w:tc>
          <w:tcPr>
            <w:tcW w:w="3163" w:type="dxa"/>
          </w:tcPr>
          <w:p>
            <w:pPr>
              <w:pStyle w:val="TableParagraph"/>
              <w:spacing w:line="239" w:lineRule="exact"/>
              <w:rPr>
                <w:b/>
                <w:sz w:val="22"/>
              </w:rPr>
            </w:pPr>
            <w:r>
              <w:rPr>
                <w:b/>
                <w:sz w:val="22"/>
              </w:rPr>
              <w:t>Total</w:t>
            </w:r>
          </w:p>
        </w:tc>
        <w:tc>
          <w:tcPr>
            <w:tcW w:w="2023" w:type="dxa"/>
          </w:tcPr>
          <w:p>
            <w:pPr>
              <w:pStyle w:val="TableParagraph"/>
              <w:spacing w:line="239" w:lineRule="exact"/>
              <w:rPr>
                <w:b/>
                <w:sz w:val="22"/>
              </w:rPr>
            </w:pPr>
            <w:r>
              <w:rPr>
                <w:b/>
                <w:sz w:val="22"/>
              </w:rPr>
              <w:t>340</w:t>
            </w:r>
          </w:p>
        </w:tc>
        <w:tc>
          <w:tcPr>
            <w:tcW w:w="2371" w:type="dxa"/>
          </w:tcPr>
          <w:p>
            <w:pPr>
              <w:pStyle w:val="TableParagraph"/>
              <w:spacing w:line="239" w:lineRule="exact"/>
              <w:ind w:left="0" w:right="1859"/>
              <w:jc w:val="right"/>
              <w:rPr>
                <w:b/>
                <w:sz w:val="22"/>
              </w:rPr>
            </w:pPr>
            <w:r>
              <w:rPr>
                <w:b/>
                <w:sz w:val="22"/>
              </w:rPr>
              <w:t>340</w:t>
            </w:r>
          </w:p>
        </w:tc>
      </w:tr>
    </w:tbl>
    <w:p>
      <w:pPr>
        <w:pStyle w:val="BodyText"/>
        <w:spacing w:before="119"/>
        <w:ind w:left="140" w:right="336" w:hanging="1"/>
        <w:jc w:val="both"/>
      </w:pPr>
      <w:r>
        <w:rPr/>
        <w:t>Additional land use re-designation includes a portion of an area in Columbia Point South, re- designated from Developed Open Space and Public Facility to Urban Recreation. The proposed land use is shown in Table LU-7. Also see Figure LU-3, the Future Land Use Map.</w:t>
      </w:r>
    </w:p>
    <w:p>
      <w:pPr>
        <w:spacing w:before="119"/>
        <w:ind w:left="140" w:right="0" w:firstLine="0"/>
        <w:jc w:val="both"/>
        <w:rPr>
          <w:rFonts w:ascii="Arial"/>
          <w:b/>
          <w:sz w:val="20"/>
        </w:rPr>
      </w:pPr>
      <w:r>
        <w:rPr>
          <w:rFonts w:ascii="Arial"/>
          <w:b/>
          <w:sz w:val="20"/>
        </w:rPr>
        <w:t>Table LU-7: Proposed Land Uses in Columbia Point South</w:t>
      </w:r>
    </w:p>
    <w:p>
      <w:pPr>
        <w:pStyle w:val="BodyText"/>
        <w:spacing w:before="6"/>
        <w:rPr>
          <w:rFonts w:ascii="Arial"/>
          <w:b/>
          <w:sz w:val="10"/>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3"/>
        <w:gridCol w:w="2023"/>
        <w:gridCol w:w="2371"/>
      </w:tblGrid>
      <w:tr>
        <w:trPr>
          <w:trHeight w:val="808" w:hRule="atLeast"/>
        </w:trPr>
        <w:tc>
          <w:tcPr>
            <w:tcW w:w="3163" w:type="dxa"/>
            <w:shd w:val="clear" w:color="auto" w:fill="B8CCE3"/>
          </w:tcPr>
          <w:p>
            <w:pPr>
              <w:pStyle w:val="TableParagraph"/>
              <w:spacing w:before="119"/>
              <w:rPr>
                <w:b/>
                <w:sz w:val="22"/>
              </w:rPr>
            </w:pPr>
            <w:r>
              <w:rPr>
                <w:b/>
                <w:sz w:val="22"/>
              </w:rPr>
              <w:t>Land Use</w:t>
            </w:r>
          </w:p>
        </w:tc>
        <w:tc>
          <w:tcPr>
            <w:tcW w:w="2023" w:type="dxa"/>
            <w:shd w:val="clear" w:color="auto" w:fill="B8CCE3"/>
          </w:tcPr>
          <w:p>
            <w:pPr>
              <w:pStyle w:val="TableParagraph"/>
              <w:spacing w:line="406" w:lineRule="exact" w:before="4"/>
              <w:ind w:right="110"/>
              <w:rPr>
                <w:b/>
                <w:sz w:val="22"/>
              </w:rPr>
            </w:pPr>
            <w:r>
              <w:rPr>
                <w:b/>
                <w:sz w:val="22"/>
              </w:rPr>
              <w:t>Existing Land Use (acres)</w:t>
            </w:r>
          </w:p>
        </w:tc>
        <w:tc>
          <w:tcPr>
            <w:tcW w:w="2371" w:type="dxa"/>
            <w:shd w:val="clear" w:color="auto" w:fill="B8CCE3"/>
          </w:tcPr>
          <w:p>
            <w:pPr>
              <w:pStyle w:val="TableParagraph"/>
              <w:spacing w:line="406" w:lineRule="exact" w:before="4"/>
              <w:ind w:left="108" w:right="198"/>
              <w:rPr>
                <w:b/>
                <w:sz w:val="22"/>
              </w:rPr>
            </w:pPr>
            <w:r>
              <w:rPr>
                <w:b/>
                <w:sz w:val="22"/>
              </w:rPr>
              <w:t>Proposed Land Uses (acres)</w:t>
            </w:r>
          </w:p>
        </w:tc>
      </w:tr>
      <w:tr>
        <w:trPr>
          <w:trHeight w:val="310" w:hRule="atLeast"/>
        </w:trPr>
        <w:tc>
          <w:tcPr>
            <w:tcW w:w="3163" w:type="dxa"/>
          </w:tcPr>
          <w:p>
            <w:pPr>
              <w:pStyle w:val="TableParagraph"/>
              <w:spacing w:line="239" w:lineRule="exact" w:before="52"/>
              <w:rPr>
                <w:sz w:val="22"/>
              </w:rPr>
            </w:pPr>
            <w:r>
              <w:rPr>
                <w:sz w:val="22"/>
              </w:rPr>
              <w:t>Public Facility</w:t>
            </w:r>
          </w:p>
        </w:tc>
        <w:tc>
          <w:tcPr>
            <w:tcW w:w="2023" w:type="dxa"/>
          </w:tcPr>
          <w:p>
            <w:pPr>
              <w:pStyle w:val="TableParagraph"/>
              <w:spacing w:line="239" w:lineRule="exact" w:before="52"/>
              <w:ind w:left="0" w:right="1562"/>
              <w:jc w:val="right"/>
              <w:rPr>
                <w:sz w:val="22"/>
              </w:rPr>
            </w:pPr>
            <w:r>
              <w:rPr>
                <w:sz w:val="22"/>
              </w:rPr>
              <w:t>33</w:t>
            </w:r>
          </w:p>
        </w:tc>
        <w:tc>
          <w:tcPr>
            <w:tcW w:w="2371" w:type="dxa"/>
          </w:tcPr>
          <w:p>
            <w:pPr>
              <w:pStyle w:val="TableParagraph"/>
              <w:spacing w:before="0"/>
              <w:ind w:left="0"/>
              <w:rPr>
                <w:rFonts w:ascii="Times New Roman"/>
                <w:sz w:val="20"/>
              </w:rPr>
            </w:pPr>
          </w:p>
        </w:tc>
      </w:tr>
      <w:tr>
        <w:trPr>
          <w:trHeight w:val="316" w:hRule="atLeast"/>
        </w:trPr>
        <w:tc>
          <w:tcPr>
            <w:tcW w:w="3163" w:type="dxa"/>
          </w:tcPr>
          <w:p>
            <w:pPr>
              <w:pStyle w:val="TableParagraph"/>
              <w:spacing w:line="237" w:lineRule="exact"/>
              <w:rPr>
                <w:sz w:val="22"/>
              </w:rPr>
            </w:pPr>
            <w:r>
              <w:rPr>
                <w:sz w:val="22"/>
              </w:rPr>
              <w:t>Developed Open Space</w:t>
            </w:r>
          </w:p>
        </w:tc>
        <w:tc>
          <w:tcPr>
            <w:tcW w:w="2023" w:type="dxa"/>
          </w:tcPr>
          <w:p>
            <w:pPr>
              <w:pStyle w:val="TableParagraph"/>
              <w:spacing w:line="237" w:lineRule="exact"/>
              <w:ind w:left="0" w:right="1562"/>
              <w:jc w:val="right"/>
              <w:rPr>
                <w:sz w:val="22"/>
              </w:rPr>
            </w:pPr>
            <w:r>
              <w:rPr>
                <w:sz w:val="22"/>
              </w:rPr>
              <w:t>71</w:t>
            </w:r>
          </w:p>
        </w:tc>
        <w:tc>
          <w:tcPr>
            <w:tcW w:w="2371" w:type="dxa"/>
          </w:tcPr>
          <w:p>
            <w:pPr>
              <w:pStyle w:val="TableParagraph"/>
              <w:spacing w:before="0"/>
              <w:ind w:left="0"/>
              <w:rPr>
                <w:rFonts w:ascii="Times New Roman"/>
                <w:sz w:val="20"/>
              </w:rPr>
            </w:pPr>
          </w:p>
        </w:tc>
      </w:tr>
      <w:tr>
        <w:trPr>
          <w:trHeight w:val="318" w:hRule="atLeast"/>
        </w:trPr>
        <w:tc>
          <w:tcPr>
            <w:tcW w:w="3163" w:type="dxa"/>
          </w:tcPr>
          <w:p>
            <w:pPr>
              <w:pStyle w:val="TableParagraph"/>
              <w:spacing w:line="239" w:lineRule="exact"/>
              <w:rPr>
                <w:sz w:val="22"/>
              </w:rPr>
            </w:pPr>
            <w:r>
              <w:rPr>
                <w:sz w:val="22"/>
              </w:rPr>
              <w:t>Natural Open Space</w:t>
            </w:r>
          </w:p>
        </w:tc>
        <w:tc>
          <w:tcPr>
            <w:tcW w:w="2023" w:type="dxa"/>
          </w:tcPr>
          <w:p>
            <w:pPr>
              <w:pStyle w:val="TableParagraph"/>
              <w:spacing w:line="239" w:lineRule="exact"/>
              <w:ind w:left="0" w:right="1535"/>
              <w:jc w:val="right"/>
              <w:rPr>
                <w:sz w:val="22"/>
              </w:rPr>
            </w:pPr>
            <w:r>
              <w:rPr>
                <w:sz w:val="22"/>
              </w:rPr>
              <w:t>153</w:t>
            </w:r>
          </w:p>
        </w:tc>
        <w:tc>
          <w:tcPr>
            <w:tcW w:w="2371" w:type="dxa"/>
          </w:tcPr>
          <w:p>
            <w:pPr>
              <w:pStyle w:val="TableParagraph"/>
              <w:spacing w:line="239" w:lineRule="exact"/>
              <w:ind w:left="252"/>
              <w:rPr>
                <w:sz w:val="22"/>
              </w:rPr>
            </w:pPr>
            <w:r>
              <w:rPr>
                <w:sz w:val="22"/>
              </w:rPr>
              <w:t>177</w:t>
            </w:r>
          </w:p>
        </w:tc>
      </w:tr>
      <w:tr>
        <w:trPr>
          <w:trHeight w:val="316" w:hRule="atLeast"/>
        </w:trPr>
        <w:tc>
          <w:tcPr>
            <w:tcW w:w="3163" w:type="dxa"/>
          </w:tcPr>
          <w:p>
            <w:pPr>
              <w:pStyle w:val="TableParagraph"/>
              <w:spacing w:line="237" w:lineRule="exact"/>
              <w:rPr>
                <w:sz w:val="22"/>
              </w:rPr>
            </w:pPr>
            <w:r>
              <w:rPr>
                <w:sz w:val="22"/>
              </w:rPr>
              <w:t>Urban Recreation</w:t>
            </w:r>
          </w:p>
        </w:tc>
        <w:tc>
          <w:tcPr>
            <w:tcW w:w="2023" w:type="dxa"/>
          </w:tcPr>
          <w:p>
            <w:pPr>
              <w:pStyle w:val="TableParagraph"/>
              <w:spacing w:before="0"/>
              <w:ind w:left="0"/>
              <w:rPr>
                <w:rFonts w:ascii="Times New Roman"/>
                <w:sz w:val="20"/>
              </w:rPr>
            </w:pPr>
          </w:p>
        </w:tc>
        <w:tc>
          <w:tcPr>
            <w:tcW w:w="2371" w:type="dxa"/>
          </w:tcPr>
          <w:p>
            <w:pPr>
              <w:pStyle w:val="TableParagraph"/>
              <w:spacing w:line="237" w:lineRule="exact"/>
              <w:ind w:left="252"/>
              <w:rPr>
                <w:sz w:val="22"/>
              </w:rPr>
            </w:pPr>
            <w:r>
              <w:rPr>
                <w:sz w:val="22"/>
              </w:rPr>
              <w:t>80</w:t>
            </w:r>
          </w:p>
        </w:tc>
      </w:tr>
      <w:tr>
        <w:trPr>
          <w:trHeight w:val="318" w:hRule="atLeast"/>
        </w:trPr>
        <w:tc>
          <w:tcPr>
            <w:tcW w:w="3163" w:type="dxa"/>
          </w:tcPr>
          <w:p>
            <w:pPr>
              <w:pStyle w:val="TableParagraph"/>
              <w:spacing w:line="237" w:lineRule="exact" w:before="62"/>
              <w:rPr>
                <w:b/>
                <w:sz w:val="22"/>
              </w:rPr>
            </w:pPr>
            <w:r>
              <w:rPr>
                <w:b/>
                <w:sz w:val="22"/>
              </w:rPr>
              <w:t>Total</w:t>
            </w:r>
          </w:p>
        </w:tc>
        <w:tc>
          <w:tcPr>
            <w:tcW w:w="2023" w:type="dxa"/>
          </w:tcPr>
          <w:p>
            <w:pPr>
              <w:pStyle w:val="TableParagraph"/>
              <w:spacing w:line="237" w:lineRule="exact" w:before="62"/>
              <w:ind w:left="0" w:right="1511"/>
              <w:jc w:val="right"/>
              <w:rPr>
                <w:b/>
                <w:sz w:val="22"/>
              </w:rPr>
            </w:pPr>
            <w:r>
              <w:rPr>
                <w:b/>
                <w:sz w:val="22"/>
              </w:rPr>
              <w:t>257</w:t>
            </w:r>
          </w:p>
        </w:tc>
        <w:tc>
          <w:tcPr>
            <w:tcW w:w="2371" w:type="dxa"/>
          </w:tcPr>
          <w:p>
            <w:pPr>
              <w:pStyle w:val="TableParagraph"/>
              <w:spacing w:line="237" w:lineRule="exact" w:before="62"/>
              <w:ind w:left="108"/>
              <w:rPr>
                <w:b/>
                <w:sz w:val="22"/>
              </w:rPr>
            </w:pPr>
            <w:r>
              <w:rPr>
                <w:b/>
                <w:sz w:val="22"/>
              </w:rPr>
              <w:t>257</w:t>
            </w:r>
          </w:p>
        </w:tc>
      </w:tr>
    </w:tbl>
    <w:p>
      <w:pPr>
        <w:spacing w:after="0" w:line="237" w:lineRule="exact"/>
        <w:rPr>
          <w:sz w:val="22"/>
        </w:rPr>
        <w:sectPr>
          <w:pgSz w:w="12240" w:h="15840"/>
          <w:pgMar w:header="0" w:footer="1132" w:top="1360" w:bottom="1320" w:left="1300" w:right="1100"/>
        </w:sectPr>
      </w:pPr>
    </w:p>
    <w:p>
      <w:pPr>
        <w:spacing w:before="79"/>
        <w:ind w:left="140" w:right="0" w:firstLine="0"/>
        <w:jc w:val="left"/>
        <w:rPr>
          <w:rFonts w:ascii="Arial"/>
          <w:b/>
          <w:sz w:val="20"/>
        </w:rPr>
      </w:pPr>
      <w:bookmarkStart w:name="_bookmark42" w:id="90"/>
      <w:bookmarkEnd w:id="90"/>
      <w:r>
        <w:rPr/>
      </w:r>
      <w:r>
        <w:rPr>
          <w:rFonts w:ascii="Arial"/>
          <w:b/>
          <w:sz w:val="20"/>
        </w:rPr>
        <w:t>Figure LU-3: Future Land Use Map</w:t>
      </w:r>
    </w:p>
    <w:p>
      <w:pPr>
        <w:spacing w:after="0"/>
        <w:jc w:val="left"/>
        <w:rPr>
          <w:rFonts w:ascii="Arial"/>
          <w:sz w:val="20"/>
        </w:rPr>
        <w:sectPr>
          <w:pgSz w:w="12240" w:h="15840"/>
          <w:pgMar w:header="0" w:footer="1132" w:top="1360" w:bottom="1320" w:left="1300" w:right="1100"/>
        </w:sectPr>
      </w:pPr>
    </w:p>
    <w:p>
      <w:pPr>
        <w:pStyle w:val="Heading7"/>
        <w:ind w:left="140"/>
      </w:pPr>
      <w:bookmarkStart w:name="Section Four" w:id="91"/>
      <w:bookmarkEnd w:id="91"/>
      <w:r>
        <w:rPr/>
      </w:r>
      <w:bookmarkStart w:name="_bookmark43" w:id="92"/>
      <w:bookmarkEnd w:id="92"/>
      <w:r>
        <w:rPr/>
      </w:r>
      <w:r>
        <w:rPr>
          <w:color w:val="4F81BC"/>
        </w:rPr>
        <w:t>SECTION FOUR</w:t>
      </w:r>
    </w:p>
    <w:p>
      <w:pPr>
        <w:pStyle w:val="Heading6"/>
        <w:ind w:left="139"/>
      </w:pPr>
      <w:bookmarkStart w:name="Natural Environment" w:id="93"/>
      <w:bookmarkEnd w:id="93"/>
      <w:r>
        <w:rPr>
          <w:b w:val="0"/>
        </w:rPr>
      </w:r>
      <w:bookmarkStart w:name="Critical Areas" w:id="94"/>
      <w:bookmarkEnd w:id="94"/>
      <w:r>
        <w:rPr>
          <w:b w:val="0"/>
        </w:rPr>
      </w:r>
      <w:bookmarkStart w:name="_bookmark44" w:id="95"/>
      <w:bookmarkEnd w:id="95"/>
      <w:r>
        <w:rPr>
          <w:b w:val="0"/>
        </w:rPr>
      </w:r>
      <w:r>
        <w:rPr/>
        <w:t>NATURAL ENVIRONMENT</w:t>
      </w:r>
    </w:p>
    <w:p>
      <w:pPr>
        <w:spacing w:before="202"/>
        <w:ind w:left="140" w:right="0" w:firstLine="0"/>
        <w:jc w:val="left"/>
        <w:rPr>
          <w:b/>
          <w:sz w:val="24"/>
        </w:rPr>
      </w:pPr>
      <w:r>
        <w:rPr>
          <w:b/>
          <w:sz w:val="24"/>
        </w:rPr>
        <w:t>CRITICAL AREAS</w:t>
      </w:r>
    </w:p>
    <w:p>
      <w:pPr>
        <w:pStyle w:val="BodyText"/>
        <w:spacing w:before="120"/>
        <w:ind w:left="140" w:right="335" w:hanging="1"/>
        <w:jc w:val="both"/>
      </w:pPr>
      <w:r>
        <w:rPr/>
        <w:t>Richland’s</w:t>
      </w:r>
      <w:r>
        <w:rPr>
          <w:spacing w:val="-6"/>
        </w:rPr>
        <w:t> </w:t>
      </w:r>
      <w:r>
        <w:rPr/>
        <w:t>critical</w:t>
      </w:r>
      <w:r>
        <w:rPr>
          <w:spacing w:val="-5"/>
        </w:rPr>
        <w:t> </w:t>
      </w:r>
      <w:r>
        <w:rPr/>
        <w:t>areas</w:t>
      </w:r>
      <w:r>
        <w:rPr>
          <w:spacing w:val="-3"/>
        </w:rPr>
        <w:t> </w:t>
      </w:r>
      <w:r>
        <w:rPr/>
        <w:t>include</w:t>
      </w:r>
      <w:r>
        <w:rPr>
          <w:spacing w:val="-4"/>
        </w:rPr>
        <w:t> </w:t>
      </w:r>
      <w:r>
        <w:rPr/>
        <w:t>wetlands,</w:t>
      </w:r>
      <w:r>
        <w:rPr>
          <w:spacing w:val="-5"/>
        </w:rPr>
        <w:t> </w:t>
      </w:r>
      <w:r>
        <w:rPr/>
        <w:t>fish</w:t>
      </w:r>
      <w:r>
        <w:rPr>
          <w:spacing w:val="-4"/>
        </w:rPr>
        <w:t> </w:t>
      </w:r>
      <w:r>
        <w:rPr/>
        <w:t>and</w:t>
      </w:r>
      <w:r>
        <w:rPr>
          <w:spacing w:val="-7"/>
        </w:rPr>
        <w:t> </w:t>
      </w:r>
      <w:r>
        <w:rPr/>
        <w:t>wildlife</w:t>
      </w:r>
      <w:r>
        <w:rPr>
          <w:spacing w:val="-4"/>
        </w:rPr>
        <w:t> </w:t>
      </w:r>
      <w:r>
        <w:rPr/>
        <w:t>habitat</w:t>
      </w:r>
      <w:r>
        <w:rPr>
          <w:spacing w:val="-6"/>
        </w:rPr>
        <w:t> </w:t>
      </w:r>
      <w:r>
        <w:rPr/>
        <w:t>areas,</w:t>
      </w:r>
      <w:r>
        <w:rPr>
          <w:spacing w:val="-4"/>
        </w:rPr>
        <w:t> </w:t>
      </w:r>
      <w:r>
        <w:rPr/>
        <w:t>aquifer</w:t>
      </w:r>
      <w:r>
        <w:rPr>
          <w:spacing w:val="-5"/>
        </w:rPr>
        <w:t> </w:t>
      </w:r>
      <w:r>
        <w:rPr/>
        <w:t>recharge</w:t>
      </w:r>
      <w:r>
        <w:rPr>
          <w:spacing w:val="-4"/>
        </w:rPr>
        <w:t> </w:t>
      </w:r>
      <w:r>
        <w:rPr/>
        <w:t>areas,</w:t>
      </w:r>
      <w:r>
        <w:rPr>
          <w:spacing w:val="-5"/>
        </w:rPr>
        <w:t> </w:t>
      </w:r>
      <w:r>
        <w:rPr/>
        <w:t>and geologically hazardous</w:t>
      </w:r>
      <w:r>
        <w:rPr>
          <w:spacing w:val="-3"/>
        </w:rPr>
        <w:t> </w:t>
      </w:r>
      <w:r>
        <w:rPr/>
        <w:t>areas.</w:t>
      </w:r>
    </w:p>
    <w:p>
      <w:pPr>
        <w:pStyle w:val="BodyText"/>
        <w:spacing w:before="120"/>
        <w:ind w:left="140" w:right="334" w:hanging="1"/>
        <w:jc w:val="both"/>
      </w:pPr>
      <w:r>
        <w:rPr/>
        <w:t>The</w:t>
      </w:r>
      <w:r>
        <w:rPr>
          <w:spacing w:val="-12"/>
        </w:rPr>
        <w:t> </w:t>
      </w:r>
      <w:r>
        <w:rPr/>
        <w:t>critical</w:t>
      </w:r>
      <w:r>
        <w:rPr>
          <w:spacing w:val="-9"/>
        </w:rPr>
        <w:t> </w:t>
      </w:r>
      <w:r>
        <w:rPr/>
        <w:t>areas</w:t>
      </w:r>
      <w:r>
        <w:rPr>
          <w:spacing w:val="-9"/>
        </w:rPr>
        <w:t> </w:t>
      </w:r>
      <w:r>
        <w:rPr/>
        <w:t>map</w:t>
      </w:r>
      <w:r>
        <w:rPr>
          <w:spacing w:val="-10"/>
        </w:rPr>
        <w:t> </w:t>
      </w:r>
      <w:r>
        <w:rPr/>
        <w:t>in</w:t>
      </w:r>
      <w:r>
        <w:rPr>
          <w:spacing w:val="-11"/>
        </w:rPr>
        <w:t> </w:t>
      </w:r>
      <w:r>
        <w:rPr/>
        <w:t>the</w:t>
      </w:r>
      <w:r>
        <w:rPr>
          <w:spacing w:val="-9"/>
        </w:rPr>
        <w:t> </w:t>
      </w:r>
      <w:r>
        <w:rPr/>
        <w:t>Comprehensive</w:t>
      </w:r>
      <w:r>
        <w:rPr>
          <w:spacing w:val="-10"/>
        </w:rPr>
        <w:t> </w:t>
      </w:r>
      <w:r>
        <w:rPr/>
        <w:t>Plan,</w:t>
      </w:r>
      <w:r>
        <w:rPr>
          <w:spacing w:val="-9"/>
        </w:rPr>
        <w:t> </w:t>
      </w:r>
      <w:r>
        <w:rPr/>
        <w:t>Figure</w:t>
      </w:r>
      <w:r>
        <w:rPr>
          <w:spacing w:val="-10"/>
        </w:rPr>
        <w:t> </w:t>
      </w:r>
      <w:r>
        <w:rPr/>
        <w:t>LU-4,</w:t>
      </w:r>
      <w:r>
        <w:rPr>
          <w:spacing w:val="-9"/>
        </w:rPr>
        <w:t> </w:t>
      </w:r>
      <w:r>
        <w:rPr/>
        <w:t>indicates</w:t>
      </w:r>
      <w:r>
        <w:rPr>
          <w:spacing w:val="-9"/>
        </w:rPr>
        <w:t> </w:t>
      </w:r>
      <w:r>
        <w:rPr/>
        <w:t>floodplains,</w:t>
      </w:r>
      <w:r>
        <w:rPr>
          <w:spacing w:val="-9"/>
        </w:rPr>
        <w:t> </w:t>
      </w:r>
      <w:r>
        <w:rPr/>
        <w:t>geologic</w:t>
      </w:r>
      <w:r>
        <w:rPr>
          <w:spacing w:val="-9"/>
        </w:rPr>
        <w:t> </w:t>
      </w:r>
      <w:r>
        <w:rPr/>
        <w:t>hazard areas (steep slopes), and wetlands in</w:t>
      </w:r>
      <w:r>
        <w:rPr>
          <w:spacing w:val="-12"/>
        </w:rPr>
        <w:t> </w:t>
      </w:r>
      <w:r>
        <w:rPr/>
        <w:t>Richland.</w:t>
      </w:r>
    </w:p>
    <w:p>
      <w:pPr>
        <w:pStyle w:val="ListParagraph"/>
        <w:numPr>
          <w:ilvl w:val="0"/>
          <w:numId w:val="2"/>
        </w:numPr>
        <w:tabs>
          <w:tab w:pos="862" w:val="left" w:leader="none"/>
        </w:tabs>
        <w:spacing w:line="240" w:lineRule="auto" w:before="60" w:after="0"/>
        <w:ind w:left="861" w:right="335" w:hanging="361"/>
        <w:jc w:val="both"/>
        <w:rPr>
          <w:sz w:val="22"/>
        </w:rPr>
      </w:pPr>
      <w:r>
        <w:rPr>
          <w:b/>
          <w:sz w:val="22"/>
        </w:rPr>
        <w:t>Wetlands. </w:t>
      </w:r>
      <w:r>
        <w:rPr>
          <w:sz w:val="22"/>
        </w:rPr>
        <w:t>Wetlands are ecosystems that serve a number of important beneficial functions. They help maintain water quality, store and convey storm water and floodwater, and recharge groundwater. Wetlands provide important wildlife habitat and serve as areas for recreation, educational and scientific study, and aesthetic</w:t>
      </w:r>
      <w:r>
        <w:rPr>
          <w:spacing w:val="-10"/>
          <w:sz w:val="22"/>
        </w:rPr>
        <w:t> </w:t>
      </w:r>
      <w:r>
        <w:rPr>
          <w:sz w:val="22"/>
        </w:rPr>
        <w:t>appreciation.</w:t>
      </w:r>
    </w:p>
    <w:p>
      <w:pPr>
        <w:pStyle w:val="ListParagraph"/>
        <w:numPr>
          <w:ilvl w:val="0"/>
          <w:numId w:val="2"/>
        </w:numPr>
        <w:tabs>
          <w:tab w:pos="862" w:val="left" w:leader="none"/>
        </w:tabs>
        <w:spacing w:line="240" w:lineRule="auto" w:before="60" w:after="0"/>
        <w:ind w:left="861" w:right="332" w:hanging="361"/>
        <w:jc w:val="both"/>
        <w:rPr>
          <w:sz w:val="22"/>
        </w:rPr>
      </w:pPr>
      <w:r>
        <w:rPr>
          <w:b/>
          <w:sz w:val="22"/>
        </w:rPr>
        <w:t>Fish</w:t>
      </w:r>
      <w:r>
        <w:rPr>
          <w:b/>
          <w:spacing w:val="-5"/>
          <w:sz w:val="22"/>
        </w:rPr>
        <w:t> </w:t>
      </w:r>
      <w:r>
        <w:rPr>
          <w:b/>
          <w:sz w:val="22"/>
        </w:rPr>
        <w:t>and</w:t>
      </w:r>
      <w:r>
        <w:rPr>
          <w:b/>
          <w:spacing w:val="-4"/>
          <w:sz w:val="22"/>
        </w:rPr>
        <w:t> </w:t>
      </w:r>
      <w:r>
        <w:rPr>
          <w:b/>
          <w:sz w:val="22"/>
        </w:rPr>
        <w:t>Wildlife</w:t>
      </w:r>
      <w:r>
        <w:rPr>
          <w:b/>
          <w:spacing w:val="-4"/>
          <w:sz w:val="22"/>
        </w:rPr>
        <w:t> </w:t>
      </w:r>
      <w:r>
        <w:rPr>
          <w:b/>
          <w:sz w:val="22"/>
        </w:rPr>
        <w:t>Habitat</w:t>
      </w:r>
      <w:r>
        <w:rPr>
          <w:b/>
          <w:spacing w:val="-3"/>
          <w:sz w:val="22"/>
        </w:rPr>
        <w:t> </w:t>
      </w:r>
      <w:r>
        <w:rPr>
          <w:b/>
          <w:sz w:val="22"/>
        </w:rPr>
        <w:t>Areas.</w:t>
      </w:r>
      <w:r>
        <w:rPr>
          <w:b/>
          <w:spacing w:val="-5"/>
          <w:sz w:val="22"/>
        </w:rPr>
        <w:t> </w:t>
      </w:r>
      <w:r>
        <w:rPr>
          <w:sz w:val="22"/>
        </w:rPr>
        <w:t>These</w:t>
      </w:r>
      <w:r>
        <w:rPr>
          <w:spacing w:val="-4"/>
          <w:sz w:val="22"/>
        </w:rPr>
        <w:t> </w:t>
      </w:r>
      <w:r>
        <w:rPr>
          <w:sz w:val="22"/>
        </w:rPr>
        <w:t>areas</w:t>
      </w:r>
      <w:r>
        <w:rPr>
          <w:spacing w:val="-6"/>
          <w:sz w:val="22"/>
        </w:rPr>
        <w:t> </w:t>
      </w:r>
      <w:r>
        <w:rPr>
          <w:sz w:val="22"/>
        </w:rPr>
        <w:t>are</w:t>
      </w:r>
      <w:r>
        <w:rPr>
          <w:spacing w:val="-6"/>
          <w:sz w:val="22"/>
        </w:rPr>
        <w:t> </w:t>
      </w:r>
      <w:r>
        <w:rPr>
          <w:sz w:val="22"/>
        </w:rPr>
        <w:t>important</w:t>
      </w:r>
      <w:r>
        <w:rPr>
          <w:spacing w:val="-7"/>
          <w:sz w:val="22"/>
        </w:rPr>
        <w:t> </w:t>
      </w:r>
      <w:r>
        <w:rPr>
          <w:sz w:val="22"/>
        </w:rPr>
        <w:t>for</w:t>
      </w:r>
      <w:r>
        <w:rPr>
          <w:spacing w:val="-6"/>
          <w:sz w:val="22"/>
        </w:rPr>
        <w:t> </w:t>
      </w:r>
      <w:r>
        <w:rPr>
          <w:sz w:val="22"/>
        </w:rPr>
        <w:t>maintaining</w:t>
      </w:r>
      <w:r>
        <w:rPr>
          <w:spacing w:val="-5"/>
          <w:sz w:val="22"/>
        </w:rPr>
        <w:t> </w:t>
      </w:r>
      <w:r>
        <w:rPr>
          <w:sz w:val="22"/>
        </w:rPr>
        <w:t>flora</w:t>
      </w:r>
      <w:r>
        <w:rPr>
          <w:spacing w:val="-4"/>
          <w:sz w:val="22"/>
        </w:rPr>
        <w:t> </w:t>
      </w:r>
      <w:r>
        <w:rPr>
          <w:sz w:val="22"/>
        </w:rPr>
        <w:t>and</w:t>
      </w:r>
      <w:r>
        <w:rPr>
          <w:spacing w:val="-7"/>
          <w:sz w:val="22"/>
        </w:rPr>
        <w:t> </w:t>
      </w:r>
      <w:r>
        <w:rPr>
          <w:sz w:val="22"/>
        </w:rPr>
        <w:t>fauna species diversity; providing opportunities for food, cover, nesting, breeding, and movement for fish and wildlife; serving as areas for recreation, educational and scientific study, and aesthetic appreciation; helping to maintain air and water quality; controlling erosion; and providing neighborhood separation and visual diversity within urban</w:t>
      </w:r>
      <w:r>
        <w:rPr>
          <w:spacing w:val="-16"/>
          <w:sz w:val="22"/>
        </w:rPr>
        <w:t> </w:t>
      </w:r>
      <w:r>
        <w:rPr>
          <w:sz w:val="22"/>
        </w:rPr>
        <w:t>areas.</w:t>
      </w:r>
    </w:p>
    <w:p>
      <w:pPr>
        <w:pStyle w:val="ListParagraph"/>
        <w:numPr>
          <w:ilvl w:val="0"/>
          <w:numId w:val="2"/>
        </w:numPr>
        <w:tabs>
          <w:tab w:pos="862" w:val="left" w:leader="none"/>
        </w:tabs>
        <w:spacing w:line="240" w:lineRule="auto" w:before="59" w:after="0"/>
        <w:ind w:left="861" w:right="333" w:hanging="361"/>
        <w:jc w:val="both"/>
        <w:rPr>
          <w:sz w:val="22"/>
        </w:rPr>
      </w:pPr>
      <w:r>
        <w:rPr>
          <w:b/>
          <w:sz w:val="22"/>
        </w:rPr>
        <w:t>Frequently Flooded Areas. </w:t>
      </w:r>
      <w:r>
        <w:rPr>
          <w:sz w:val="22"/>
        </w:rPr>
        <w:t>Floodplains and other areas subject to flooding perform important hydrologic functions and may present a risk to persons and property. Classifications of frequently flooded areas should include, at a minimum, the 100-year floodplain designations of the Federal Emergency Management Agency (FEMA) and the National Flood Insurance Program</w:t>
      </w:r>
      <w:r>
        <w:rPr>
          <w:spacing w:val="-9"/>
          <w:sz w:val="22"/>
        </w:rPr>
        <w:t> </w:t>
      </w:r>
      <w:r>
        <w:rPr>
          <w:sz w:val="22"/>
        </w:rPr>
        <w:t>(NFIP).</w:t>
      </w:r>
    </w:p>
    <w:p>
      <w:pPr>
        <w:pStyle w:val="ListParagraph"/>
        <w:numPr>
          <w:ilvl w:val="0"/>
          <w:numId w:val="2"/>
        </w:numPr>
        <w:tabs>
          <w:tab w:pos="862" w:val="left" w:leader="none"/>
        </w:tabs>
        <w:spacing w:line="240" w:lineRule="auto" w:before="60" w:after="0"/>
        <w:ind w:left="861" w:right="333" w:hanging="360"/>
        <w:jc w:val="both"/>
        <w:rPr>
          <w:sz w:val="22"/>
        </w:rPr>
      </w:pPr>
      <w:r>
        <w:rPr>
          <w:b/>
          <w:sz w:val="22"/>
        </w:rPr>
        <w:t>Aquifer Recharge Areas. </w:t>
      </w:r>
      <w:r>
        <w:rPr>
          <w:sz w:val="22"/>
        </w:rPr>
        <w:t>Critical aquifer recharge areas are defined as those areas having a critical</w:t>
      </w:r>
      <w:r>
        <w:rPr>
          <w:spacing w:val="-11"/>
          <w:sz w:val="22"/>
        </w:rPr>
        <w:t> </w:t>
      </w:r>
      <w:r>
        <w:rPr>
          <w:sz w:val="22"/>
        </w:rPr>
        <w:t>recharging</w:t>
      </w:r>
      <w:r>
        <w:rPr>
          <w:spacing w:val="-13"/>
          <w:sz w:val="22"/>
        </w:rPr>
        <w:t> </w:t>
      </w:r>
      <w:r>
        <w:rPr>
          <w:sz w:val="22"/>
        </w:rPr>
        <w:t>effect</w:t>
      </w:r>
      <w:r>
        <w:rPr>
          <w:spacing w:val="-14"/>
          <w:sz w:val="22"/>
        </w:rPr>
        <w:t> </w:t>
      </w:r>
      <w:r>
        <w:rPr>
          <w:sz w:val="22"/>
        </w:rPr>
        <w:t>on</w:t>
      </w:r>
      <w:r>
        <w:rPr>
          <w:spacing w:val="-12"/>
          <w:sz w:val="22"/>
        </w:rPr>
        <w:t> </w:t>
      </w:r>
      <w:r>
        <w:rPr>
          <w:sz w:val="22"/>
        </w:rPr>
        <w:t>aquifer</w:t>
      </w:r>
      <w:r>
        <w:rPr>
          <w:spacing w:val="-12"/>
          <w:sz w:val="22"/>
        </w:rPr>
        <w:t> </w:t>
      </w:r>
      <w:r>
        <w:rPr>
          <w:sz w:val="22"/>
        </w:rPr>
        <w:t>use</w:t>
      </w:r>
      <w:r>
        <w:rPr>
          <w:spacing w:val="-11"/>
          <w:sz w:val="22"/>
        </w:rPr>
        <w:t> </w:t>
      </w:r>
      <w:r>
        <w:rPr>
          <w:sz w:val="22"/>
        </w:rPr>
        <w:t>for</w:t>
      </w:r>
      <w:r>
        <w:rPr>
          <w:spacing w:val="-12"/>
          <w:sz w:val="22"/>
        </w:rPr>
        <w:t> </w:t>
      </w:r>
      <w:r>
        <w:rPr>
          <w:sz w:val="22"/>
        </w:rPr>
        <w:t>potable</w:t>
      </w:r>
      <w:r>
        <w:rPr>
          <w:spacing w:val="-14"/>
          <w:sz w:val="22"/>
        </w:rPr>
        <w:t> </w:t>
      </w:r>
      <w:r>
        <w:rPr>
          <w:sz w:val="22"/>
        </w:rPr>
        <w:t>water</w:t>
      </w:r>
      <w:r>
        <w:rPr>
          <w:spacing w:val="-12"/>
          <w:sz w:val="22"/>
        </w:rPr>
        <w:t> </w:t>
      </w:r>
      <w:r>
        <w:rPr>
          <w:sz w:val="22"/>
        </w:rPr>
        <w:t>in</w:t>
      </w:r>
      <w:r>
        <w:rPr>
          <w:spacing w:val="-14"/>
          <w:sz w:val="22"/>
        </w:rPr>
        <w:t> </w:t>
      </w:r>
      <w:r>
        <w:rPr>
          <w:sz w:val="22"/>
        </w:rPr>
        <w:t>community</w:t>
      </w:r>
      <w:r>
        <w:rPr>
          <w:spacing w:val="-15"/>
          <w:sz w:val="22"/>
        </w:rPr>
        <w:t> </w:t>
      </w:r>
      <w:r>
        <w:rPr>
          <w:sz w:val="22"/>
        </w:rPr>
        <w:t>systems.</w:t>
      </w:r>
      <w:r>
        <w:rPr>
          <w:spacing w:val="-11"/>
          <w:sz w:val="22"/>
        </w:rPr>
        <w:t> </w:t>
      </w:r>
      <w:r>
        <w:rPr>
          <w:sz w:val="22"/>
        </w:rPr>
        <w:t>They</w:t>
      </w:r>
      <w:r>
        <w:rPr>
          <w:spacing w:val="-15"/>
          <w:sz w:val="22"/>
        </w:rPr>
        <w:t> </w:t>
      </w:r>
      <w:r>
        <w:rPr>
          <w:sz w:val="22"/>
        </w:rPr>
        <w:t>consist primarily of wellhead protection areas associated with City water supplies and are intended to</w:t>
      </w:r>
      <w:r>
        <w:rPr>
          <w:spacing w:val="-14"/>
          <w:sz w:val="22"/>
        </w:rPr>
        <w:t> </w:t>
      </w:r>
      <w:r>
        <w:rPr>
          <w:sz w:val="22"/>
        </w:rPr>
        <w:t>protect</w:t>
      </w:r>
      <w:r>
        <w:rPr>
          <w:spacing w:val="-14"/>
          <w:sz w:val="22"/>
        </w:rPr>
        <w:t> </w:t>
      </w:r>
      <w:r>
        <w:rPr>
          <w:sz w:val="22"/>
        </w:rPr>
        <w:t>public</w:t>
      </w:r>
      <w:r>
        <w:rPr>
          <w:spacing w:val="-13"/>
          <w:sz w:val="22"/>
        </w:rPr>
        <w:t> </w:t>
      </w:r>
      <w:r>
        <w:rPr>
          <w:sz w:val="22"/>
        </w:rPr>
        <w:t>health</w:t>
      </w:r>
      <w:r>
        <w:rPr>
          <w:spacing w:val="-13"/>
          <w:sz w:val="22"/>
        </w:rPr>
        <w:t> </w:t>
      </w:r>
      <w:r>
        <w:rPr>
          <w:sz w:val="22"/>
        </w:rPr>
        <w:t>and</w:t>
      </w:r>
      <w:r>
        <w:rPr>
          <w:spacing w:val="-14"/>
          <w:sz w:val="22"/>
        </w:rPr>
        <w:t> </w:t>
      </w:r>
      <w:r>
        <w:rPr>
          <w:sz w:val="22"/>
        </w:rPr>
        <w:t>safety,</w:t>
      </w:r>
      <w:r>
        <w:rPr>
          <w:spacing w:val="-14"/>
          <w:sz w:val="22"/>
        </w:rPr>
        <w:t> </w:t>
      </w:r>
      <w:r>
        <w:rPr>
          <w:sz w:val="22"/>
        </w:rPr>
        <w:t>prevent</w:t>
      </w:r>
      <w:r>
        <w:rPr>
          <w:spacing w:val="-14"/>
          <w:sz w:val="22"/>
        </w:rPr>
        <w:t> </w:t>
      </w:r>
      <w:r>
        <w:rPr>
          <w:sz w:val="22"/>
        </w:rPr>
        <w:t>degradation</w:t>
      </w:r>
      <w:r>
        <w:rPr>
          <w:spacing w:val="-15"/>
          <w:sz w:val="22"/>
        </w:rPr>
        <w:t> </w:t>
      </w:r>
      <w:r>
        <w:rPr>
          <w:sz w:val="22"/>
        </w:rPr>
        <w:t>of</w:t>
      </w:r>
      <w:r>
        <w:rPr>
          <w:spacing w:val="-14"/>
          <w:sz w:val="22"/>
        </w:rPr>
        <w:t> </w:t>
      </w:r>
      <w:r>
        <w:rPr>
          <w:sz w:val="22"/>
        </w:rPr>
        <w:t>ground</w:t>
      </w:r>
      <w:r>
        <w:rPr>
          <w:spacing w:val="-14"/>
          <w:sz w:val="22"/>
        </w:rPr>
        <w:t> </w:t>
      </w:r>
      <w:r>
        <w:rPr>
          <w:sz w:val="22"/>
        </w:rPr>
        <w:t>water</w:t>
      </w:r>
      <w:r>
        <w:rPr>
          <w:spacing w:val="-14"/>
          <w:sz w:val="22"/>
        </w:rPr>
        <w:t> </w:t>
      </w:r>
      <w:r>
        <w:rPr>
          <w:sz w:val="22"/>
        </w:rPr>
        <w:t>supplies,</w:t>
      </w:r>
      <w:r>
        <w:rPr>
          <w:spacing w:val="-14"/>
          <w:sz w:val="22"/>
        </w:rPr>
        <w:t> </w:t>
      </w:r>
      <w:r>
        <w:rPr>
          <w:sz w:val="22"/>
        </w:rPr>
        <w:t>and</w:t>
      </w:r>
      <w:r>
        <w:rPr>
          <w:spacing w:val="-14"/>
          <w:sz w:val="22"/>
        </w:rPr>
        <w:t> </w:t>
      </w:r>
      <w:r>
        <w:rPr>
          <w:sz w:val="22"/>
        </w:rPr>
        <w:t>control risks to the degradation of ground water quality and</w:t>
      </w:r>
      <w:r>
        <w:rPr>
          <w:spacing w:val="-12"/>
          <w:sz w:val="22"/>
        </w:rPr>
        <w:t> </w:t>
      </w:r>
      <w:r>
        <w:rPr>
          <w:sz w:val="22"/>
        </w:rPr>
        <w:t>quantity.</w:t>
      </w:r>
    </w:p>
    <w:p>
      <w:pPr>
        <w:pStyle w:val="ListParagraph"/>
        <w:numPr>
          <w:ilvl w:val="0"/>
          <w:numId w:val="2"/>
        </w:numPr>
        <w:tabs>
          <w:tab w:pos="862" w:val="left" w:leader="none"/>
        </w:tabs>
        <w:spacing w:line="240" w:lineRule="auto" w:before="61" w:after="0"/>
        <w:ind w:left="861" w:right="332" w:hanging="360"/>
        <w:jc w:val="both"/>
        <w:rPr>
          <w:sz w:val="22"/>
        </w:rPr>
      </w:pPr>
      <w:r>
        <w:rPr>
          <w:b/>
          <w:sz w:val="22"/>
        </w:rPr>
        <w:t>Other Critical Areas. </w:t>
      </w:r>
      <w:r>
        <w:rPr>
          <w:sz w:val="22"/>
        </w:rPr>
        <w:t>These are characterized by geologic hazards that pose a risk to public and private property and human life and safety. Geologically hazardous areas include areas susceptible</w:t>
      </w:r>
      <w:r>
        <w:rPr>
          <w:spacing w:val="-12"/>
          <w:sz w:val="22"/>
        </w:rPr>
        <w:t> </w:t>
      </w:r>
      <w:r>
        <w:rPr>
          <w:sz w:val="22"/>
        </w:rPr>
        <w:t>to</w:t>
      </w:r>
      <w:r>
        <w:rPr>
          <w:spacing w:val="-12"/>
          <w:sz w:val="22"/>
        </w:rPr>
        <w:t> </w:t>
      </w:r>
      <w:r>
        <w:rPr>
          <w:sz w:val="22"/>
        </w:rPr>
        <w:t>landslide,</w:t>
      </w:r>
      <w:r>
        <w:rPr>
          <w:spacing w:val="-11"/>
          <w:sz w:val="22"/>
        </w:rPr>
        <w:t> </w:t>
      </w:r>
      <w:r>
        <w:rPr>
          <w:sz w:val="22"/>
        </w:rPr>
        <w:t>erosion,</w:t>
      </w:r>
      <w:r>
        <w:rPr>
          <w:spacing w:val="-12"/>
          <w:sz w:val="22"/>
        </w:rPr>
        <w:t> </w:t>
      </w:r>
      <w:r>
        <w:rPr>
          <w:sz w:val="22"/>
        </w:rPr>
        <w:t>or</w:t>
      </w:r>
      <w:r>
        <w:rPr>
          <w:spacing w:val="-14"/>
          <w:sz w:val="22"/>
        </w:rPr>
        <w:t> </w:t>
      </w:r>
      <w:r>
        <w:rPr>
          <w:sz w:val="22"/>
        </w:rPr>
        <w:t>seismic</w:t>
      </w:r>
      <w:r>
        <w:rPr>
          <w:spacing w:val="-13"/>
          <w:sz w:val="22"/>
        </w:rPr>
        <w:t> </w:t>
      </w:r>
      <w:r>
        <w:rPr>
          <w:sz w:val="22"/>
        </w:rPr>
        <w:t>activity.</w:t>
      </w:r>
      <w:r>
        <w:rPr>
          <w:spacing w:val="-15"/>
          <w:sz w:val="22"/>
        </w:rPr>
        <w:t> </w:t>
      </w:r>
      <w:r>
        <w:rPr>
          <w:sz w:val="22"/>
        </w:rPr>
        <w:t>Because</w:t>
      </w:r>
      <w:r>
        <w:rPr>
          <w:spacing w:val="-14"/>
          <w:sz w:val="22"/>
        </w:rPr>
        <w:t> </w:t>
      </w:r>
      <w:r>
        <w:rPr>
          <w:sz w:val="22"/>
        </w:rPr>
        <w:t>of</w:t>
      </w:r>
      <w:r>
        <w:rPr>
          <w:spacing w:val="-12"/>
          <w:sz w:val="22"/>
        </w:rPr>
        <w:t> </w:t>
      </w:r>
      <w:r>
        <w:rPr>
          <w:sz w:val="22"/>
        </w:rPr>
        <w:t>this</w:t>
      </w:r>
      <w:r>
        <w:rPr>
          <w:spacing w:val="-10"/>
          <w:sz w:val="22"/>
        </w:rPr>
        <w:t> </w:t>
      </w:r>
      <w:r>
        <w:rPr>
          <w:sz w:val="22"/>
        </w:rPr>
        <w:t>susceptibility,</w:t>
      </w:r>
      <w:r>
        <w:rPr>
          <w:spacing w:val="-12"/>
          <w:sz w:val="22"/>
        </w:rPr>
        <w:t> </w:t>
      </w:r>
      <w:r>
        <w:rPr>
          <w:sz w:val="22"/>
        </w:rPr>
        <w:t>these</w:t>
      </w:r>
      <w:r>
        <w:rPr>
          <w:spacing w:val="-11"/>
          <w:sz w:val="22"/>
        </w:rPr>
        <w:t> </w:t>
      </w:r>
      <w:r>
        <w:rPr>
          <w:sz w:val="22"/>
        </w:rPr>
        <w:t>areas may</w:t>
      </w:r>
      <w:r>
        <w:rPr>
          <w:spacing w:val="-14"/>
          <w:sz w:val="22"/>
        </w:rPr>
        <w:t> </w:t>
      </w:r>
      <w:r>
        <w:rPr>
          <w:sz w:val="22"/>
        </w:rPr>
        <w:t>not</w:t>
      </w:r>
      <w:r>
        <w:rPr>
          <w:spacing w:val="-13"/>
          <w:sz w:val="22"/>
        </w:rPr>
        <w:t> </w:t>
      </w:r>
      <w:r>
        <w:rPr>
          <w:sz w:val="22"/>
        </w:rPr>
        <w:t>be</w:t>
      </w:r>
      <w:r>
        <w:rPr>
          <w:spacing w:val="-13"/>
          <w:sz w:val="22"/>
        </w:rPr>
        <w:t> </w:t>
      </w:r>
      <w:r>
        <w:rPr>
          <w:sz w:val="22"/>
        </w:rPr>
        <w:t>suitable</w:t>
      </w:r>
      <w:r>
        <w:rPr>
          <w:spacing w:val="-13"/>
          <w:sz w:val="22"/>
        </w:rPr>
        <w:t> </w:t>
      </w:r>
      <w:r>
        <w:rPr>
          <w:sz w:val="22"/>
        </w:rPr>
        <w:t>for</w:t>
      </w:r>
      <w:r>
        <w:rPr>
          <w:spacing w:val="-12"/>
          <w:sz w:val="22"/>
        </w:rPr>
        <w:t> </w:t>
      </w:r>
      <w:r>
        <w:rPr>
          <w:sz w:val="22"/>
        </w:rPr>
        <w:t>new</w:t>
      </w:r>
      <w:r>
        <w:rPr>
          <w:spacing w:val="-13"/>
          <w:sz w:val="22"/>
        </w:rPr>
        <w:t> </w:t>
      </w:r>
      <w:r>
        <w:rPr>
          <w:sz w:val="22"/>
        </w:rPr>
        <w:t>development.</w:t>
      </w:r>
      <w:r>
        <w:rPr>
          <w:spacing w:val="-13"/>
          <w:sz w:val="22"/>
        </w:rPr>
        <w:t> </w:t>
      </w:r>
      <w:r>
        <w:rPr>
          <w:sz w:val="22"/>
        </w:rPr>
        <w:t>In</w:t>
      </w:r>
      <w:r>
        <w:rPr>
          <w:spacing w:val="-14"/>
          <w:sz w:val="22"/>
        </w:rPr>
        <w:t> </w:t>
      </w:r>
      <w:r>
        <w:rPr>
          <w:sz w:val="22"/>
        </w:rPr>
        <w:t>many</w:t>
      </w:r>
      <w:r>
        <w:rPr>
          <w:spacing w:val="-14"/>
          <w:sz w:val="22"/>
        </w:rPr>
        <w:t> </w:t>
      </w:r>
      <w:r>
        <w:rPr>
          <w:sz w:val="22"/>
        </w:rPr>
        <w:t>cases,</w:t>
      </w:r>
      <w:r>
        <w:rPr>
          <w:spacing w:val="-12"/>
          <w:sz w:val="22"/>
        </w:rPr>
        <w:t> </w:t>
      </w:r>
      <w:r>
        <w:rPr>
          <w:sz w:val="22"/>
        </w:rPr>
        <w:t>hazards</w:t>
      </w:r>
      <w:r>
        <w:rPr>
          <w:spacing w:val="-14"/>
          <w:sz w:val="22"/>
        </w:rPr>
        <w:t> </w:t>
      </w:r>
      <w:r>
        <w:rPr>
          <w:sz w:val="22"/>
        </w:rPr>
        <w:t>can</w:t>
      </w:r>
      <w:r>
        <w:rPr>
          <w:spacing w:val="-14"/>
          <w:sz w:val="22"/>
        </w:rPr>
        <w:t> </w:t>
      </w:r>
      <w:r>
        <w:rPr>
          <w:sz w:val="22"/>
        </w:rPr>
        <w:t>be</w:t>
      </w:r>
      <w:r>
        <w:rPr>
          <w:spacing w:val="-13"/>
          <w:sz w:val="22"/>
        </w:rPr>
        <w:t> </w:t>
      </w:r>
      <w:r>
        <w:rPr>
          <w:sz w:val="22"/>
        </w:rPr>
        <w:t>reduced</w:t>
      </w:r>
      <w:r>
        <w:rPr>
          <w:spacing w:val="-13"/>
          <w:sz w:val="22"/>
        </w:rPr>
        <w:t> </w:t>
      </w:r>
      <w:r>
        <w:rPr>
          <w:sz w:val="22"/>
        </w:rPr>
        <w:t>or</w:t>
      </w:r>
      <w:r>
        <w:rPr>
          <w:spacing w:val="-12"/>
          <w:sz w:val="22"/>
        </w:rPr>
        <w:t> </w:t>
      </w:r>
      <w:r>
        <w:rPr>
          <w:sz w:val="22"/>
        </w:rPr>
        <w:t>mitigated through engineering design or modified construction</w:t>
      </w:r>
      <w:r>
        <w:rPr>
          <w:spacing w:val="-8"/>
          <w:sz w:val="22"/>
        </w:rPr>
        <w:t> </w:t>
      </w:r>
      <w:r>
        <w:rPr>
          <w:sz w:val="22"/>
        </w:rPr>
        <w:t>practices.</w:t>
      </w:r>
    </w:p>
    <w:p>
      <w:pPr>
        <w:pStyle w:val="BodyText"/>
        <w:spacing w:before="120"/>
        <w:ind w:left="141" w:right="332"/>
        <w:jc w:val="both"/>
      </w:pPr>
      <w:r>
        <w:rPr/>
        <w:t>The</w:t>
      </w:r>
      <w:r>
        <w:rPr>
          <w:spacing w:val="-4"/>
        </w:rPr>
        <w:t> </w:t>
      </w:r>
      <w:r>
        <w:rPr/>
        <w:t>City</w:t>
      </w:r>
      <w:r>
        <w:rPr>
          <w:spacing w:val="-5"/>
        </w:rPr>
        <w:t> </w:t>
      </w:r>
      <w:r>
        <w:rPr/>
        <w:t>uses</w:t>
      </w:r>
      <w:r>
        <w:rPr>
          <w:spacing w:val="-3"/>
        </w:rPr>
        <w:t> </w:t>
      </w:r>
      <w:r>
        <w:rPr/>
        <w:t>the</w:t>
      </w:r>
      <w:r>
        <w:rPr>
          <w:spacing w:val="-4"/>
        </w:rPr>
        <w:t> </w:t>
      </w:r>
      <w:r>
        <w:rPr/>
        <w:t>best</w:t>
      </w:r>
      <w:r>
        <w:rPr>
          <w:spacing w:val="-5"/>
        </w:rPr>
        <w:t> </w:t>
      </w:r>
      <w:r>
        <w:rPr/>
        <w:t>available</w:t>
      </w:r>
      <w:r>
        <w:rPr>
          <w:spacing w:val="-4"/>
        </w:rPr>
        <w:t> </w:t>
      </w:r>
      <w:r>
        <w:rPr/>
        <w:t>science</w:t>
      </w:r>
      <w:r>
        <w:rPr>
          <w:spacing w:val="-3"/>
        </w:rPr>
        <w:t> </w:t>
      </w:r>
      <w:r>
        <w:rPr/>
        <w:t>(BAS)</w:t>
      </w:r>
      <w:r>
        <w:rPr>
          <w:spacing w:val="-7"/>
        </w:rPr>
        <w:t> </w:t>
      </w:r>
      <w:r>
        <w:rPr/>
        <w:t>in</w:t>
      </w:r>
      <w:r>
        <w:rPr>
          <w:spacing w:val="-5"/>
        </w:rPr>
        <w:t> </w:t>
      </w:r>
      <w:r>
        <w:rPr/>
        <w:t>developing</w:t>
      </w:r>
      <w:r>
        <w:rPr>
          <w:spacing w:val="-2"/>
        </w:rPr>
        <w:t> </w:t>
      </w:r>
      <w:r>
        <w:rPr/>
        <w:t>policies</w:t>
      </w:r>
      <w:r>
        <w:rPr>
          <w:spacing w:val="-3"/>
        </w:rPr>
        <w:t> </w:t>
      </w:r>
      <w:r>
        <w:rPr/>
        <w:t>and</w:t>
      </w:r>
      <w:r>
        <w:rPr>
          <w:spacing w:val="-4"/>
        </w:rPr>
        <w:t> </w:t>
      </w:r>
      <w:r>
        <w:rPr/>
        <w:t>development</w:t>
      </w:r>
      <w:r>
        <w:rPr>
          <w:spacing w:val="-5"/>
        </w:rPr>
        <w:t> </w:t>
      </w:r>
      <w:r>
        <w:rPr/>
        <w:t>regulations</w:t>
      </w:r>
      <w:r>
        <w:rPr>
          <w:spacing w:val="-3"/>
        </w:rPr>
        <w:t> </w:t>
      </w:r>
      <w:r>
        <w:rPr/>
        <w:t>to protect the functions and values of critical areas and give special consideration to conservation or protection measures. The BAS involves adopting information from local, state, or federal natural resource agencies that are appropriate for local circumstances; consultation with a qualified scientific</w:t>
      </w:r>
      <w:r>
        <w:rPr>
          <w:spacing w:val="-10"/>
        </w:rPr>
        <w:t> </w:t>
      </w:r>
      <w:r>
        <w:rPr/>
        <w:t>expert</w:t>
      </w:r>
      <w:r>
        <w:rPr>
          <w:spacing w:val="-12"/>
        </w:rPr>
        <w:t> </w:t>
      </w:r>
      <w:r>
        <w:rPr/>
        <w:t>or</w:t>
      </w:r>
      <w:r>
        <w:rPr>
          <w:spacing w:val="-11"/>
        </w:rPr>
        <w:t> </w:t>
      </w:r>
      <w:r>
        <w:rPr/>
        <w:t>team</w:t>
      </w:r>
      <w:r>
        <w:rPr>
          <w:spacing w:val="-10"/>
        </w:rPr>
        <w:t> </w:t>
      </w:r>
      <w:r>
        <w:rPr/>
        <w:t>to</w:t>
      </w:r>
      <w:r>
        <w:rPr>
          <w:spacing w:val="-11"/>
        </w:rPr>
        <w:t> </w:t>
      </w:r>
      <w:r>
        <w:rPr/>
        <w:t>assess</w:t>
      </w:r>
      <w:r>
        <w:rPr>
          <w:spacing w:val="-9"/>
        </w:rPr>
        <w:t> </w:t>
      </w:r>
      <w:r>
        <w:rPr/>
        <w:t>applicability</w:t>
      </w:r>
      <w:r>
        <w:rPr>
          <w:spacing w:val="-12"/>
        </w:rPr>
        <w:t> </w:t>
      </w:r>
      <w:r>
        <w:rPr/>
        <w:t>to</w:t>
      </w:r>
      <w:r>
        <w:rPr>
          <w:spacing w:val="-10"/>
        </w:rPr>
        <w:t> </w:t>
      </w:r>
      <w:r>
        <w:rPr/>
        <w:t>the</w:t>
      </w:r>
      <w:r>
        <w:rPr>
          <w:spacing w:val="-11"/>
        </w:rPr>
        <w:t> </w:t>
      </w:r>
      <w:r>
        <w:rPr/>
        <w:t>local</w:t>
      </w:r>
      <w:r>
        <w:rPr>
          <w:spacing w:val="-11"/>
        </w:rPr>
        <w:t> </w:t>
      </w:r>
      <w:r>
        <w:rPr/>
        <w:t>critical</w:t>
      </w:r>
      <w:r>
        <w:rPr>
          <w:spacing w:val="-10"/>
        </w:rPr>
        <w:t> </w:t>
      </w:r>
      <w:r>
        <w:rPr/>
        <w:t>area;</w:t>
      </w:r>
      <w:r>
        <w:rPr>
          <w:spacing w:val="-12"/>
        </w:rPr>
        <w:t> </w:t>
      </w:r>
      <w:r>
        <w:rPr/>
        <w:t>and</w:t>
      </w:r>
      <w:r>
        <w:rPr>
          <w:spacing w:val="-11"/>
        </w:rPr>
        <w:t> </w:t>
      </w:r>
      <w:r>
        <w:rPr/>
        <w:t>determination</w:t>
      </w:r>
      <w:r>
        <w:rPr>
          <w:spacing w:val="-12"/>
        </w:rPr>
        <w:t> </w:t>
      </w:r>
      <w:r>
        <w:rPr/>
        <w:t>if</w:t>
      </w:r>
      <w:r>
        <w:rPr>
          <w:spacing w:val="-11"/>
        </w:rPr>
        <w:t> </w:t>
      </w:r>
      <w:r>
        <w:rPr/>
        <w:t>a</w:t>
      </w:r>
      <w:r>
        <w:rPr>
          <w:spacing w:val="-10"/>
        </w:rPr>
        <w:t> </w:t>
      </w:r>
      <w:r>
        <w:rPr/>
        <w:t>person is a qualified scientific</w:t>
      </w:r>
      <w:r>
        <w:rPr>
          <w:spacing w:val="-6"/>
        </w:rPr>
        <w:t> </w:t>
      </w:r>
      <w:r>
        <w:rPr/>
        <w:t>expert.</w:t>
      </w:r>
    </w:p>
    <w:p>
      <w:pPr>
        <w:spacing w:before="199"/>
        <w:ind w:left="140" w:right="0" w:firstLine="0"/>
        <w:jc w:val="left"/>
        <w:rPr>
          <w:b/>
          <w:sz w:val="24"/>
        </w:rPr>
      </w:pPr>
      <w:bookmarkStart w:name="Shoreline" w:id="96"/>
      <w:bookmarkEnd w:id="96"/>
      <w:r>
        <w:rPr/>
      </w:r>
      <w:r>
        <w:rPr>
          <w:b/>
          <w:sz w:val="24"/>
        </w:rPr>
        <w:t>SHORELINE</w:t>
      </w:r>
    </w:p>
    <w:p>
      <w:pPr>
        <w:pStyle w:val="BodyText"/>
        <w:spacing w:before="119"/>
        <w:ind w:left="140" w:right="334"/>
        <w:jc w:val="both"/>
      </w:pPr>
      <w:r>
        <w:rPr/>
        <w:t>The GMA requires that Shoreline Management Plan (SMP) goals and policies are included in the Comprehensive</w:t>
      </w:r>
      <w:r>
        <w:rPr>
          <w:spacing w:val="-10"/>
        </w:rPr>
        <w:t> </w:t>
      </w:r>
      <w:r>
        <w:rPr/>
        <w:t>Plan</w:t>
      </w:r>
      <w:r>
        <w:rPr>
          <w:spacing w:val="-12"/>
        </w:rPr>
        <w:t> </w:t>
      </w:r>
      <w:r>
        <w:rPr/>
        <w:t>and</w:t>
      </w:r>
      <w:r>
        <w:rPr>
          <w:spacing w:val="-11"/>
        </w:rPr>
        <w:t> </w:t>
      </w:r>
      <w:r>
        <w:rPr/>
        <w:t>that</w:t>
      </w:r>
      <w:r>
        <w:rPr>
          <w:spacing w:val="-11"/>
        </w:rPr>
        <w:t> </w:t>
      </w:r>
      <w:r>
        <w:rPr/>
        <w:t>they</w:t>
      </w:r>
      <w:r>
        <w:rPr>
          <w:spacing w:val="-11"/>
        </w:rPr>
        <w:t> </w:t>
      </w:r>
      <w:r>
        <w:rPr/>
        <w:t>are</w:t>
      </w:r>
      <w:r>
        <w:rPr>
          <w:spacing w:val="-10"/>
        </w:rPr>
        <w:t> </w:t>
      </w:r>
      <w:r>
        <w:rPr/>
        <w:t>consistent</w:t>
      </w:r>
      <w:r>
        <w:rPr>
          <w:spacing w:val="-11"/>
        </w:rPr>
        <w:t> </w:t>
      </w:r>
      <w:r>
        <w:rPr/>
        <w:t>with</w:t>
      </w:r>
      <w:r>
        <w:rPr>
          <w:spacing w:val="-10"/>
        </w:rPr>
        <w:t> </w:t>
      </w:r>
      <w:r>
        <w:rPr/>
        <w:t>each</w:t>
      </w:r>
      <w:r>
        <w:rPr>
          <w:spacing w:val="-10"/>
        </w:rPr>
        <w:t> </w:t>
      </w:r>
      <w:r>
        <w:rPr/>
        <w:t>other.</w:t>
      </w:r>
      <w:r>
        <w:rPr>
          <w:spacing w:val="-10"/>
        </w:rPr>
        <w:t> </w:t>
      </w:r>
      <w:r>
        <w:rPr/>
        <w:t>The</w:t>
      </w:r>
      <w:r>
        <w:rPr>
          <w:spacing w:val="-10"/>
        </w:rPr>
        <w:t> </w:t>
      </w:r>
      <w:r>
        <w:rPr/>
        <w:t>City</w:t>
      </w:r>
      <w:r>
        <w:rPr>
          <w:spacing w:val="-11"/>
        </w:rPr>
        <w:t> </w:t>
      </w:r>
      <w:r>
        <w:rPr/>
        <w:t>of</w:t>
      </w:r>
      <w:r>
        <w:rPr>
          <w:spacing w:val="-10"/>
        </w:rPr>
        <w:t> </w:t>
      </w:r>
      <w:r>
        <w:rPr/>
        <w:t>Richland</w:t>
      </w:r>
      <w:r>
        <w:rPr>
          <w:spacing w:val="-11"/>
        </w:rPr>
        <w:t> </w:t>
      </w:r>
      <w:r>
        <w:rPr/>
        <w:t>received</w:t>
      </w:r>
      <w:r>
        <w:rPr>
          <w:spacing w:val="-13"/>
        </w:rPr>
        <w:t> </w:t>
      </w:r>
      <w:r>
        <w:rPr/>
        <w:t>grant funding from the Washington State Department of Ecology to develop an updated SMP. A primary purpose</w:t>
      </w:r>
      <w:r>
        <w:rPr>
          <w:spacing w:val="-9"/>
        </w:rPr>
        <w:t> </w:t>
      </w:r>
      <w:r>
        <w:rPr/>
        <w:t>of</w:t>
      </w:r>
      <w:r>
        <w:rPr>
          <w:spacing w:val="-9"/>
        </w:rPr>
        <w:t> </w:t>
      </w:r>
      <w:r>
        <w:rPr/>
        <w:t>this</w:t>
      </w:r>
      <w:r>
        <w:rPr>
          <w:spacing w:val="-8"/>
        </w:rPr>
        <w:t> </w:t>
      </w:r>
      <w:r>
        <w:rPr/>
        <w:t>effort</w:t>
      </w:r>
      <w:r>
        <w:rPr>
          <w:spacing w:val="-12"/>
        </w:rPr>
        <w:t> </w:t>
      </w:r>
      <w:r>
        <w:rPr/>
        <w:t>is</w:t>
      </w:r>
      <w:r>
        <w:rPr>
          <w:spacing w:val="-8"/>
        </w:rPr>
        <w:t> </w:t>
      </w:r>
      <w:r>
        <w:rPr/>
        <w:t>to</w:t>
      </w:r>
      <w:r>
        <w:rPr>
          <w:spacing w:val="-11"/>
        </w:rPr>
        <w:t> </w:t>
      </w:r>
      <w:r>
        <w:rPr/>
        <w:t>update</w:t>
      </w:r>
      <w:r>
        <w:rPr>
          <w:spacing w:val="-9"/>
        </w:rPr>
        <w:t> </w:t>
      </w:r>
      <w:r>
        <w:rPr/>
        <w:t>the</w:t>
      </w:r>
      <w:r>
        <w:rPr>
          <w:spacing w:val="-9"/>
        </w:rPr>
        <w:t> </w:t>
      </w:r>
      <w:r>
        <w:rPr/>
        <w:t>SMP</w:t>
      </w:r>
      <w:r>
        <w:rPr>
          <w:spacing w:val="-10"/>
        </w:rPr>
        <w:t> </w:t>
      </w:r>
      <w:r>
        <w:rPr/>
        <w:t>to</w:t>
      </w:r>
      <w:r>
        <w:rPr>
          <w:spacing w:val="-9"/>
        </w:rPr>
        <w:t> </w:t>
      </w:r>
      <w:r>
        <w:rPr/>
        <w:t>comply</w:t>
      </w:r>
      <w:r>
        <w:rPr>
          <w:spacing w:val="-12"/>
        </w:rPr>
        <w:t> </w:t>
      </w:r>
      <w:r>
        <w:rPr/>
        <w:t>with</w:t>
      </w:r>
      <w:r>
        <w:rPr>
          <w:spacing w:val="-9"/>
        </w:rPr>
        <w:t> </w:t>
      </w:r>
      <w:r>
        <w:rPr/>
        <w:t>Chapter</w:t>
      </w:r>
      <w:r>
        <w:rPr>
          <w:spacing w:val="-12"/>
        </w:rPr>
        <w:t> </w:t>
      </w:r>
      <w:r>
        <w:rPr/>
        <w:t>90.58</w:t>
      </w:r>
      <w:r>
        <w:rPr>
          <w:spacing w:val="-9"/>
        </w:rPr>
        <w:t> </w:t>
      </w:r>
      <w:r>
        <w:rPr/>
        <w:t>Revised</w:t>
      </w:r>
      <w:r>
        <w:rPr>
          <w:spacing w:val="-9"/>
        </w:rPr>
        <w:t> </w:t>
      </w:r>
      <w:r>
        <w:rPr/>
        <w:t>Code</w:t>
      </w:r>
      <w:r>
        <w:rPr>
          <w:spacing w:val="-9"/>
        </w:rPr>
        <w:t> </w:t>
      </w:r>
      <w:r>
        <w:rPr/>
        <w:t>of</w:t>
      </w:r>
      <w:r>
        <w:rPr>
          <w:spacing w:val="-11"/>
        </w:rPr>
        <w:t> </w:t>
      </w:r>
      <w:r>
        <w:rPr/>
        <w:t>Washington</w:t>
      </w:r>
    </w:p>
    <w:p>
      <w:pPr>
        <w:spacing w:after="0"/>
        <w:jc w:val="both"/>
        <w:sectPr>
          <w:pgSz w:w="12240" w:h="15840"/>
          <w:pgMar w:header="0" w:footer="1132" w:top="1420" w:bottom="1320" w:left="1300" w:right="1100"/>
        </w:sectPr>
      </w:pPr>
    </w:p>
    <w:p>
      <w:pPr>
        <w:pStyle w:val="BodyText"/>
        <w:spacing w:before="80"/>
        <w:ind w:left="140" w:right="336"/>
        <w:jc w:val="both"/>
      </w:pPr>
      <w:r>
        <w:rPr/>
        <w:t>(RCW), the Shoreline Management Act (SMA), and the Department of Ecology’s 2003 Shoreline Master Program Guidelines (Chapter 173-26 Washington Administrative Code [WAC]).</w:t>
      </w:r>
    </w:p>
    <w:p>
      <w:pPr>
        <w:pStyle w:val="BodyText"/>
        <w:spacing w:before="120"/>
        <w:ind w:left="140" w:right="335"/>
        <w:jc w:val="both"/>
      </w:pPr>
      <w:r>
        <w:rPr/>
        <w:t>The</w:t>
      </w:r>
      <w:r>
        <w:rPr>
          <w:spacing w:val="-11"/>
        </w:rPr>
        <w:t> </w:t>
      </w:r>
      <w:r>
        <w:rPr/>
        <w:t>City</w:t>
      </w:r>
      <w:r>
        <w:rPr>
          <w:spacing w:val="-10"/>
        </w:rPr>
        <w:t> </w:t>
      </w:r>
      <w:r>
        <w:rPr/>
        <w:t>of</w:t>
      </w:r>
      <w:r>
        <w:rPr>
          <w:spacing w:val="-8"/>
        </w:rPr>
        <w:t> </w:t>
      </w:r>
      <w:r>
        <w:rPr/>
        <w:t>Richland</w:t>
      </w:r>
      <w:r>
        <w:rPr>
          <w:spacing w:val="-9"/>
        </w:rPr>
        <w:t> </w:t>
      </w:r>
      <w:r>
        <w:rPr/>
        <w:t>worked</w:t>
      </w:r>
      <w:r>
        <w:rPr>
          <w:spacing w:val="-9"/>
        </w:rPr>
        <w:t> </w:t>
      </w:r>
      <w:r>
        <w:rPr/>
        <w:t>closely</w:t>
      </w:r>
      <w:r>
        <w:rPr>
          <w:spacing w:val="-9"/>
        </w:rPr>
        <w:t> </w:t>
      </w:r>
      <w:r>
        <w:rPr/>
        <w:t>with</w:t>
      </w:r>
      <w:r>
        <w:rPr>
          <w:spacing w:val="-9"/>
        </w:rPr>
        <w:t> </w:t>
      </w:r>
      <w:r>
        <w:rPr/>
        <w:t>the</w:t>
      </w:r>
      <w:r>
        <w:rPr>
          <w:spacing w:val="-11"/>
        </w:rPr>
        <w:t> </w:t>
      </w:r>
      <w:r>
        <w:rPr/>
        <w:t>citizens</w:t>
      </w:r>
      <w:r>
        <w:rPr>
          <w:spacing w:val="-8"/>
        </w:rPr>
        <w:t> </w:t>
      </w:r>
      <w:r>
        <w:rPr/>
        <w:t>and</w:t>
      </w:r>
      <w:r>
        <w:rPr>
          <w:spacing w:val="-8"/>
        </w:rPr>
        <w:t> </w:t>
      </w:r>
      <w:r>
        <w:rPr/>
        <w:t>the</w:t>
      </w:r>
      <w:r>
        <w:rPr>
          <w:spacing w:val="-9"/>
        </w:rPr>
        <w:t> </w:t>
      </w:r>
      <w:r>
        <w:rPr/>
        <w:t>Department</w:t>
      </w:r>
      <w:r>
        <w:rPr>
          <w:spacing w:val="-9"/>
        </w:rPr>
        <w:t> </w:t>
      </w:r>
      <w:r>
        <w:rPr/>
        <w:t>of</w:t>
      </w:r>
      <w:r>
        <w:rPr>
          <w:spacing w:val="-8"/>
        </w:rPr>
        <w:t> </w:t>
      </w:r>
      <w:r>
        <w:rPr/>
        <w:t>Ecology</w:t>
      </w:r>
      <w:r>
        <w:rPr>
          <w:spacing w:val="-10"/>
        </w:rPr>
        <w:t> </w:t>
      </w:r>
      <w:r>
        <w:rPr/>
        <w:t>and</w:t>
      </w:r>
      <w:r>
        <w:rPr>
          <w:spacing w:val="-9"/>
        </w:rPr>
        <w:t> </w:t>
      </w:r>
      <w:r>
        <w:rPr/>
        <w:t>updated</w:t>
      </w:r>
      <w:r>
        <w:rPr>
          <w:spacing w:val="-8"/>
        </w:rPr>
        <w:t> </w:t>
      </w:r>
      <w:r>
        <w:rPr/>
        <w:t>the SMP in 2014. The goals and policies of the SMP are incorporated by reference in the Comprehensive Plan.</w:t>
      </w:r>
    </w:p>
    <w:p>
      <w:pPr>
        <w:pStyle w:val="BodyText"/>
        <w:spacing w:before="119"/>
        <w:ind w:left="139" w:right="335"/>
        <w:jc w:val="both"/>
      </w:pPr>
      <w:r>
        <w:rPr/>
        <w:t>The City has prepared an Inventory and Analysis of local shoreline ecological, land use, and other resources to provide the scientific basis of the program. The City has approximately 2,600 acres of land on the Columbia and Yakima Rivers shoreline. The City’s overall approach of shoreline use is as follows:</w:t>
      </w:r>
    </w:p>
    <w:p>
      <w:pPr>
        <w:pStyle w:val="ListParagraph"/>
        <w:numPr>
          <w:ilvl w:val="0"/>
          <w:numId w:val="2"/>
        </w:numPr>
        <w:tabs>
          <w:tab w:pos="860" w:val="left" w:leader="none"/>
          <w:tab w:pos="861" w:val="left" w:leader="none"/>
        </w:tabs>
        <w:spacing w:line="240" w:lineRule="auto" w:before="60" w:after="0"/>
        <w:ind w:left="860" w:right="335" w:hanging="361"/>
        <w:jc w:val="left"/>
        <w:rPr>
          <w:sz w:val="22"/>
        </w:rPr>
      </w:pPr>
      <w:r>
        <w:rPr>
          <w:sz w:val="22"/>
        </w:rPr>
        <w:t>The</w:t>
      </w:r>
      <w:r>
        <w:rPr>
          <w:spacing w:val="-14"/>
          <w:sz w:val="22"/>
        </w:rPr>
        <w:t> </w:t>
      </w:r>
      <w:r>
        <w:rPr>
          <w:sz w:val="22"/>
        </w:rPr>
        <w:t>utilization</w:t>
      </w:r>
      <w:r>
        <w:rPr>
          <w:spacing w:val="-15"/>
          <w:sz w:val="22"/>
        </w:rPr>
        <w:t> </w:t>
      </w:r>
      <w:r>
        <w:rPr>
          <w:sz w:val="22"/>
        </w:rPr>
        <w:t>of</w:t>
      </w:r>
      <w:r>
        <w:rPr>
          <w:spacing w:val="-14"/>
          <w:sz w:val="22"/>
        </w:rPr>
        <w:t> </w:t>
      </w:r>
      <w:r>
        <w:rPr>
          <w:sz w:val="22"/>
        </w:rPr>
        <w:t>shorelines</w:t>
      </w:r>
      <w:r>
        <w:rPr>
          <w:spacing w:val="-13"/>
          <w:sz w:val="22"/>
        </w:rPr>
        <w:t> </w:t>
      </w:r>
      <w:r>
        <w:rPr>
          <w:sz w:val="22"/>
        </w:rPr>
        <w:t>for</w:t>
      </w:r>
      <w:r>
        <w:rPr>
          <w:spacing w:val="-14"/>
          <w:sz w:val="22"/>
        </w:rPr>
        <w:t> </w:t>
      </w:r>
      <w:r>
        <w:rPr>
          <w:sz w:val="22"/>
        </w:rPr>
        <w:t>economically</w:t>
      </w:r>
      <w:r>
        <w:rPr>
          <w:spacing w:val="-15"/>
          <w:sz w:val="22"/>
        </w:rPr>
        <w:t> </w:t>
      </w:r>
      <w:r>
        <w:rPr>
          <w:sz w:val="22"/>
        </w:rPr>
        <w:t>productive</w:t>
      </w:r>
      <w:r>
        <w:rPr>
          <w:spacing w:val="-14"/>
          <w:sz w:val="22"/>
        </w:rPr>
        <w:t> </w:t>
      </w:r>
      <w:r>
        <w:rPr>
          <w:sz w:val="22"/>
        </w:rPr>
        <w:t>uses</w:t>
      </w:r>
      <w:r>
        <w:rPr>
          <w:spacing w:val="-14"/>
          <w:sz w:val="22"/>
        </w:rPr>
        <w:t> </w:t>
      </w:r>
      <w:r>
        <w:rPr>
          <w:sz w:val="22"/>
        </w:rPr>
        <w:t>that</w:t>
      </w:r>
      <w:r>
        <w:rPr>
          <w:spacing w:val="-14"/>
          <w:sz w:val="22"/>
        </w:rPr>
        <w:t> </w:t>
      </w:r>
      <w:r>
        <w:rPr>
          <w:sz w:val="22"/>
        </w:rPr>
        <w:t>are</w:t>
      </w:r>
      <w:r>
        <w:rPr>
          <w:spacing w:val="-14"/>
          <w:sz w:val="22"/>
        </w:rPr>
        <w:t> </w:t>
      </w:r>
      <w:r>
        <w:rPr>
          <w:sz w:val="22"/>
        </w:rPr>
        <w:t>particularly</w:t>
      </w:r>
      <w:r>
        <w:rPr>
          <w:spacing w:val="-14"/>
          <w:sz w:val="22"/>
        </w:rPr>
        <w:t> </w:t>
      </w:r>
      <w:r>
        <w:rPr>
          <w:sz w:val="22"/>
        </w:rPr>
        <w:t>dependent on shoreline location or</w:t>
      </w:r>
      <w:r>
        <w:rPr>
          <w:spacing w:val="-7"/>
          <w:sz w:val="22"/>
        </w:rPr>
        <w:t> </w:t>
      </w:r>
      <w:r>
        <w:rPr>
          <w:sz w:val="22"/>
        </w:rPr>
        <w:t>use.</w:t>
      </w:r>
    </w:p>
    <w:p>
      <w:pPr>
        <w:pStyle w:val="ListParagraph"/>
        <w:numPr>
          <w:ilvl w:val="0"/>
          <w:numId w:val="2"/>
        </w:numPr>
        <w:tabs>
          <w:tab w:pos="860" w:val="left" w:leader="none"/>
          <w:tab w:pos="861" w:val="left" w:leader="none"/>
        </w:tabs>
        <w:spacing w:line="240" w:lineRule="auto" w:before="60" w:after="0"/>
        <w:ind w:left="860" w:right="0" w:hanging="361"/>
        <w:jc w:val="left"/>
        <w:rPr>
          <w:sz w:val="22"/>
        </w:rPr>
      </w:pPr>
      <w:r>
        <w:rPr>
          <w:sz w:val="22"/>
        </w:rPr>
        <w:t>The</w:t>
      </w:r>
      <w:r>
        <w:rPr>
          <w:spacing w:val="-6"/>
          <w:sz w:val="22"/>
        </w:rPr>
        <w:t> </w:t>
      </w:r>
      <w:r>
        <w:rPr>
          <w:sz w:val="22"/>
        </w:rPr>
        <w:t>utilization</w:t>
      </w:r>
      <w:r>
        <w:rPr>
          <w:spacing w:val="-8"/>
          <w:sz w:val="22"/>
        </w:rPr>
        <w:t> </w:t>
      </w:r>
      <w:r>
        <w:rPr>
          <w:sz w:val="22"/>
        </w:rPr>
        <w:t>of</w:t>
      </w:r>
      <w:r>
        <w:rPr>
          <w:spacing w:val="-6"/>
          <w:sz w:val="22"/>
        </w:rPr>
        <w:t> </w:t>
      </w:r>
      <w:r>
        <w:rPr>
          <w:sz w:val="22"/>
        </w:rPr>
        <w:t>shorelines</w:t>
      </w:r>
      <w:r>
        <w:rPr>
          <w:spacing w:val="-4"/>
          <w:sz w:val="22"/>
        </w:rPr>
        <w:t> </w:t>
      </w:r>
      <w:r>
        <w:rPr>
          <w:sz w:val="22"/>
        </w:rPr>
        <w:t>and</w:t>
      </w:r>
      <w:r>
        <w:rPr>
          <w:spacing w:val="-7"/>
          <w:sz w:val="22"/>
        </w:rPr>
        <w:t> </w:t>
      </w:r>
      <w:r>
        <w:rPr>
          <w:sz w:val="22"/>
        </w:rPr>
        <w:t>the</w:t>
      </w:r>
      <w:r>
        <w:rPr>
          <w:spacing w:val="-6"/>
          <w:sz w:val="22"/>
        </w:rPr>
        <w:t> </w:t>
      </w:r>
      <w:r>
        <w:rPr>
          <w:sz w:val="22"/>
        </w:rPr>
        <w:t>waters</w:t>
      </w:r>
      <w:r>
        <w:rPr>
          <w:spacing w:val="-6"/>
          <w:sz w:val="22"/>
        </w:rPr>
        <w:t> </w:t>
      </w:r>
      <w:r>
        <w:rPr>
          <w:sz w:val="22"/>
        </w:rPr>
        <w:t>they</w:t>
      </w:r>
      <w:r>
        <w:rPr>
          <w:spacing w:val="-7"/>
          <w:sz w:val="22"/>
        </w:rPr>
        <w:t> </w:t>
      </w:r>
      <w:r>
        <w:rPr>
          <w:sz w:val="22"/>
        </w:rPr>
        <w:t>encompass</w:t>
      </w:r>
      <w:r>
        <w:rPr>
          <w:spacing w:val="-6"/>
          <w:sz w:val="22"/>
        </w:rPr>
        <w:t> </w:t>
      </w:r>
      <w:r>
        <w:rPr>
          <w:sz w:val="22"/>
        </w:rPr>
        <w:t>for</w:t>
      </w:r>
      <w:r>
        <w:rPr>
          <w:spacing w:val="-7"/>
          <w:sz w:val="22"/>
        </w:rPr>
        <w:t> </w:t>
      </w:r>
      <w:r>
        <w:rPr>
          <w:sz w:val="22"/>
        </w:rPr>
        <w:t>public</w:t>
      </w:r>
      <w:r>
        <w:rPr>
          <w:spacing w:val="-5"/>
          <w:sz w:val="22"/>
        </w:rPr>
        <w:t> </w:t>
      </w:r>
      <w:r>
        <w:rPr>
          <w:sz w:val="22"/>
        </w:rPr>
        <w:t>access</w:t>
      </w:r>
      <w:r>
        <w:rPr>
          <w:spacing w:val="-8"/>
          <w:sz w:val="22"/>
        </w:rPr>
        <w:t> </w:t>
      </w:r>
      <w:r>
        <w:rPr>
          <w:sz w:val="22"/>
        </w:rPr>
        <w:t>and</w:t>
      </w:r>
      <w:r>
        <w:rPr>
          <w:spacing w:val="-7"/>
          <w:sz w:val="22"/>
        </w:rPr>
        <w:t> </w:t>
      </w:r>
      <w:r>
        <w:rPr>
          <w:sz w:val="22"/>
        </w:rPr>
        <w:t>recreation.</w:t>
      </w:r>
    </w:p>
    <w:p>
      <w:pPr>
        <w:pStyle w:val="ListParagraph"/>
        <w:numPr>
          <w:ilvl w:val="0"/>
          <w:numId w:val="2"/>
        </w:numPr>
        <w:tabs>
          <w:tab w:pos="860" w:val="left" w:leader="none"/>
          <w:tab w:pos="861" w:val="left" w:leader="none"/>
        </w:tabs>
        <w:spacing w:line="240" w:lineRule="auto" w:before="62" w:after="0"/>
        <w:ind w:left="860" w:right="0" w:hanging="361"/>
        <w:jc w:val="left"/>
        <w:rPr>
          <w:sz w:val="22"/>
        </w:rPr>
      </w:pPr>
      <w:r>
        <w:rPr>
          <w:sz w:val="22"/>
        </w:rPr>
        <w:t>Protection and restoration of the ecological functions of shoreline natural</w:t>
      </w:r>
      <w:r>
        <w:rPr>
          <w:spacing w:val="-17"/>
          <w:sz w:val="22"/>
        </w:rPr>
        <w:t> </w:t>
      </w:r>
      <w:r>
        <w:rPr>
          <w:sz w:val="22"/>
        </w:rPr>
        <w:t>resources.</w:t>
      </w:r>
    </w:p>
    <w:p>
      <w:pPr>
        <w:pStyle w:val="ListParagraph"/>
        <w:numPr>
          <w:ilvl w:val="0"/>
          <w:numId w:val="2"/>
        </w:numPr>
        <w:tabs>
          <w:tab w:pos="860" w:val="left" w:leader="none"/>
          <w:tab w:pos="861" w:val="left" w:leader="none"/>
        </w:tabs>
        <w:spacing w:line="240" w:lineRule="auto" w:before="59" w:after="0"/>
        <w:ind w:left="860" w:right="0" w:hanging="361"/>
        <w:jc w:val="left"/>
        <w:rPr>
          <w:sz w:val="22"/>
        </w:rPr>
      </w:pPr>
      <w:r>
        <w:rPr>
          <w:sz w:val="22"/>
        </w:rPr>
        <w:t>Protection of the public right of navigation and corollary uses of waters of the</w:t>
      </w:r>
      <w:r>
        <w:rPr>
          <w:spacing w:val="-22"/>
          <w:sz w:val="22"/>
        </w:rPr>
        <w:t> </w:t>
      </w:r>
      <w:r>
        <w:rPr>
          <w:sz w:val="22"/>
        </w:rPr>
        <w:t>state.</w:t>
      </w:r>
    </w:p>
    <w:p>
      <w:pPr>
        <w:pStyle w:val="ListParagraph"/>
        <w:numPr>
          <w:ilvl w:val="0"/>
          <w:numId w:val="2"/>
        </w:numPr>
        <w:tabs>
          <w:tab w:pos="860" w:val="left" w:leader="none"/>
          <w:tab w:pos="861" w:val="left" w:leader="none"/>
        </w:tabs>
        <w:spacing w:line="240" w:lineRule="auto" w:before="61" w:after="0"/>
        <w:ind w:left="860" w:right="333" w:hanging="361"/>
        <w:jc w:val="left"/>
        <w:rPr>
          <w:sz w:val="22"/>
        </w:rPr>
      </w:pPr>
      <w:r>
        <w:rPr>
          <w:sz w:val="22"/>
        </w:rPr>
        <w:t>The protection and restoration of buildings and sites having historic, cultural, and educational</w:t>
      </w:r>
      <w:r>
        <w:rPr>
          <w:spacing w:val="-2"/>
          <w:sz w:val="22"/>
        </w:rPr>
        <w:t> </w:t>
      </w:r>
      <w:r>
        <w:rPr>
          <w:sz w:val="22"/>
        </w:rPr>
        <w:t>value.</w:t>
      </w:r>
    </w:p>
    <w:p>
      <w:pPr>
        <w:pStyle w:val="ListParagraph"/>
        <w:numPr>
          <w:ilvl w:val="0"/>
          <w:numId w:val="2"/>
        </w:numPr>
        <w:tabs>
          <w:tab w:pos="860" w:val="left" w:leader="none"/>
          <w:tab w:pos="861" w:val="left" w:leader="none"/>
        </w:tabs>
        <w:spacing w:line="240" w:lineRule="auto" w:before="58" w:after="0"/>
        <w:ind w:left="860" w:right="0" w:hanging="361"/>
        <w:jc w:val="left"/>
        <w:rPr>
          <w:sz w:val="22"/>
        </w:rPr>
      </w:pPr>
      <w:r>
        <w:rPr>
          <w:sz w:val="22"/>
        </w:rPr>
        <w:t>Planning for public facilities and utilities correlated with other shoreline</w:t>
      </w:r>
      <w:r>
        <w:rPr>
          <w:spacing w:val="-9"/>
          <w:sz w:val="22"/>
        </w:rPr>
        <w:t> </w:t>
      </w:r>
      <w:r>
        <w:rPr>
          <w:sz w:val="22"/>
        </w:rPr>
        <w:t>uses.</w:t>
      </w:r>
    </w:p>
    <w:p>
      <w:pPr>
        <w:pStyle w:val="ListParagraph"/>
        <w:numPr>
          <w:ilvl w:val="0"/>
          <w:numId w:val="2"/>
        </w:numPr>
        <w:tabs>
          <w:tab w:pos="861" w:val="left" w:leader="none"/>
          <w:tab w:pos="862" w:val="left" w:leader="none"/>
        </w:tabs>
        <w:spacing w:line="240" w:lineRule="auto" w:before="61" w:after="0"/>
        <w:ind w:left="861" w:right="0" w:hanging="361"/>
        <w:jc w:val="left"/>
        <w:rPr>
          <w:sz w:val="22"/>
        </w:rPr>
      </w:pPr>
      <w:r>
        <w:rPr>
          <w:sz w:val="22"/>
        </w:rPr>
        <w:t>Prevention and minimization of flood</w:t>
      </w:r>
      <w:r>
        <w:rPr>
          <w:spacing w:val="-8"/>
          <w:sz w:val="22"/>
        </w:rPr>
        <w:t> </w:t>
      </w:r>
      <w:r>
        <w:rPr>
          <w:sz w:val="22"/>
        </w:rPr>
        <w:t>damages.</w:t>
      </w:r>
    </w:p>
    <w:p>
      <w:pPr>
        <w:pStyle w:val="ListParagraph"/>
        <w:numPr>
          <w:ilvl w:val="0"/>
          <w:numId w:val="2"/>
        </w:numPr>
        <w:tabs>
          <w:tab w:pos="861" w:val="left" w:leader="none"/>
          <w:tab w:pos="862" w:val="left" w:leader="none"/>
        </w:tabs>
        <w:spacing w:line="240" w:lineRule="auto" w:before="59" w:after="0"/>
        <w:ind w:left="861" w:right="0" w:hanging="361"/>
        <w:jc w:val="left"/>
        <w:rPr>
          <w:sz w:val="22"/>
        </w:rPr>
      </w:pPr>
      <w:r>
        <w:rPr>
          <w:sz w:val="22"/>
        </w:rPr>
        <w:t>Recognizing and protecting private property</w:t>
      </w:r>
      <w:r>
        <w:rPr>
          <w:spacing w:val="-5"/>
          <w:sz w:val="22"/>
        </w:rPr>
        <w:t> </w:t>
      </w:r>
      <w:r>
        <w:rPr>
          <w:sz w:val="22"/>
        </w:rPr>
        <w:t>rights.</w:t>
      </w:r>
    </w:p>
    <w:p>
      <w:pPr>
        <w:pStyle w:val="ListParagraph"/>
        <w:numPr>
          <w:ilvl w:val="0"/>
          <w:numId w:val="2"/>
        </w:numPr>
        <w:tabs>
          <w:tab w:pos="861" w:val="left" w:leader="none"/>
          <w:tab w:pos="862" w:val="left" w:leader="none"/>
        </w:tabs>
        <w:spacing w:line="240" w:lineRule="auto" w:before="62" w:after="0"/>
        <w:ind w:left="861" w:right="0" w:hanging="361"/>
        <w:jc w:val="left"/>
        <w:rPr>
          <w:sz w:val="22"/>
        </w:rPr>
      </w:pPr>
      <w:r>
        <w:rPr>
          <w:sz w:val="22"/>
        </w:rPr>
        <w:t>Coordination of the SMP with other relevant local, state, and federal</w:t>
      </w:r>
      <w:r>
        <w:rPr>
          <w:spacing w:val="-19"/>
          <w:sz w:val="22"/>
        </w:rPr>
        <w:t> </w:t>
      </w:r>
      <w:r>
        <w:rPr>
          <w:sz w:val="22"/>
        </w:rPr>
        <w:t>programs.</w:t>
      </w:r>
    </w:p>
    <w:p>
      <w:pPr>
        <w:spacing w:before="199"/>
        <w:ind w:left="140" w:right="0" w:firstLine="0"/>
        <w:jc w:val="both"/>
        <w:rPr>
          <w:b/>
          <w:sz w:val="24"/>
        </w:rPr>
      </w:pPr>
      <w:bookmarkStart w:name="OPEN SPACE" w:id="97"/>
      <w:bookmarkEnd w:id="97"/>
      <w:r>
        <w:rPr/>
      </w:r>
      <w:r>
        <w:rPr>
          <w:b/>
          <w:sz w:val="24"/>
        </w:rPr>
        <w:t>OPEN SPACE</w:t>
      </w:r>
    </w:p>
    <w:p>
      <w:pPr>
        <w:pStyle w:val="BodyText"/>
        <w:spacing w:before="120"/>
        <w:ind w:left="139" w:right="333"/>
        <w:jc w:val="both"/>
      </w:pPr>
      <w:r>
        <w:rPr/>
        <w:t>Open space in the Richland and its UGA comprises over 17 percent of the total land. These areas include natural areas (Natural Open Space) and more formal developed parks and trails (Developed Open Space). Park and trail facilities are discussed in detail in the Capital Facilities Element. This section discusses the natural elements of Richland’s open space system, which comprise approximately 9 percent of the land area within the City.</w:t>
      </w:r>
    </w:p>
    <w:p>
      <w:pPr>
        <w:pStyle w:val="BodyText"/>
        <w:spacing w:before="119"/>
        <w:ind w:left="140" w:right="335"/>
        <w:jc w:val="both"/>
      </w:pPr>
      <w:r>
        <w:rPr/>
        <w:t>The Tapteal Greenway, located on the lower Yakima River, is one of Richland’s most notable open space areas. The entire Greenway is a 35-mile natural corridor that runs from Kiona at Benton City to the river’s confluence with the Columbia River at Bateman Island in Richland. It goes through the Chamna Natural Preserve and W.E. Johnson Park that are discussed below. It has been preserved as an area where wildlife, natural vegetation, and people can co-exist. It provides potential opportunities for non-motorized recreation, education, and habitat protection.</w:t>
      </w:r>
    </w:p>
    <w:p>
      <w:pPr>
        <w:pStyle w:val="BodyText"/>
        <w:spacing w:before="121"/>
        <w:ind w:left="139" w:right="335"/>
        <w:jc w:val="both"/>
      </w:pPr>
      <w:r>
        <w:rPr/>
        <w:t>The</w:t>
      </w:r>
      <w:r>
        <w:rPr>
          <w:spacing w:val="-14"/>
        </w:rPr>
        <w:t> </w:t>
      </w:r>
      <w:r>
        <w:rPr/>
        <w:t>Chamna</w:t>
      </w:r>
      <w:r>
        <w:rPr>
          <w:spacing w:val="-13"/>
        </w:rPr>
        <w:t> </w:t>
      </w:r>
      <w:r>
        <w:rPr/>
        <w:t>Natural</w:t>
      </w:r>
      <w:r>
        <w:rPr>
          <w:spacing w:val="-14"/>
        </w:rPr>
        <w:t> </w:t>
      </w:r>
      <w:r>
        <w:rPr/>
        <w:t>Preserve</w:t>
      </w:r>
      <w:r>
        <w:rPr>
          <w:spacing w:val="-13"/>
        </w:rPr>
        <w:t> </w:t>
      </w:r>
      <w:r>
        <w:rPr/>
        <w:t>is</w:t>
      </w:r>
      <w:r>
        <w:rPr>
          <w:spacing w:val="-13"/>
        </w:rPr>
        <w:t> </w:t>
      </w:r>
      <w:r>
        <w:rPr/>
        <w:t>about</w:t>
      </w:r>
      <w:r>
        <w:rPr>
          <w:spacing w:val="-13"/>
        </w:rPr>
        <w:t> </w:t>
      </w:r>
      <w:r>
        <w:rPr/>
        <w:t>276</w:t>
      </w:r>
      <w:r>
        <w:rPr>
          <w:spacing w:val="-14"/>
        </w:rPr>
        <w:t> </w:t>
      </w:r>
      <w:r>
        <w:rPr/>
        <w:t>acres</w:t>
      </w:r>
      <w:r>
        <w:rPr>
          <w:spacing w:val="-12"/>
        </w:rPr>
        <w:t> </w:t>
      </w:r>
      <w:r>
        <w:rPr/>
        <w:t>and</w:t>
      </w:r>
      <w:r>
        <w:rPr>
          <w:spacing w:val="-13"/>
        </w:rPr>
        <w:t> </w:t>
      </w:r>
      <w:r>
        <w:rPr/>
        <w:t>is</w:t>
      </w:r>
      <w:r>
        <w:rPr>
          <w:spacing w:val="-13"/>
        </w:rPr>
        <w:t> </w:t>
      </w:r>
      <w:r>
        <w:rPr/>
        <w:t>located</w:t>
      </w:r>
      <w:r>
        <w:rPr>
          <w:spacing w:val="-13"/>
        </w:rPr>
        <w:t> </w:t>
      </w:r>
      <w:r>
        <w:rPr/>
        <w:t>on</w:t>
      </w:r>
      <w:r>
        <w:rPr>
          <w:spacing w:val="-15"/>
        </w:rPr>
        <w:t> </w:t>
      </w:r>
      <w:r>
        <w:rPr/>
        <w:t>the</w:t>
      </w:r>
      <w:r>
        <w:rPr>
          <w:spacing w:val="-13"/>
        </w:rPr>
        <w:t> </w:t>
      </w:r>
      <w:r>
        <w:rPr/>
        <w:t>north</w:t>
      </w:r>
      <w:r>
        <w:rPr>
          <w:spacing w:val="-13"/>
        </w:rPr>
        <w:t> </w:t>
      </w:r>
      <w:r>
        <w:rPr/>
        <w:t>bank</w:t>
      </w:r>
      <w:r>
        <w:rPr>
          <w:spacing w:val="-13"/>
        </w:rPr>
        <w:t> </w:t>
      </w:r>
      <w:r>
        <w:rPr/>
        <w:t>of</w:t>
      </w:r>
      <w:r>
        <w:rPr>
          <w:spacing w:val="-14"/>
        </w:rPr>
        <w:t> </w:t>
      </w:r>
      <w:r>
        <w:rPr/>
        <w:t>the</w:t>
      </w:r>
      <w:r>
        <w:rPr>
          <w:spacing w:val="-13"/>
        </w:rPr>
        <w:t> </w:t>
      </w:r>
      <w:r>
        <w:rPr/>
        <w:t>Yakima</w:t>
      </w:r>
      <w:r>
        <w:rPr>
          <w:spacing w:val="-13"/>
        </w:rPr>
        <w:t> </w:t>
      </w:r>
      <w:r>
        <w:rPr/>
        <w:t>River. It</w:t>
      </w:r>
      <w:r>
        <w:rPr>
          <w:spacing w:val="-7"/>
        </w:rPr>
        <w:t> </w:t>
      </w:r>
      <w:r>
        <w:rPr/>
        <w:t>is</w:t>
      </w:r>
      <w:r>
        <w:rPr>
          <w:spacing w:val="-6"/>
        </w:rPr>
        <w:t> </w:t>
      </w:r>
      <w:r>
        <w:rPr/>
        <w:t>part</w:t>
      </w:r>
      <w:r>
        <w:rPr>
          <w:spacing w:val="-8"/>
        </w:rPr>
        <w:t> </w:t>
      </w:r>
      <w:r>
        <w:rPr/>
        <w:t>of</w:t>
      </w:r>
      <w:r>
        <w:rPr>
          <w:spacing w:val="-6"/>
        </w:rPr>
        <w:t> </w:t>
      </w:r>
      <w:r>
        <w:rPr/>
        <w:t>the</w:t>
      </w:r>
      <w:r>
        <w:rPr>
          <w:spacing w:val="-8"/>
        </w:rPr>
        <w:t> </w:t>
      </w:r>
      <w:r>
        <w:rPr/>
        <w:t>Yakima</w:t>
      </w:r>
      <w:r>
        <w:rPr>
          <w:spacing w:val="-7"/>
        </w:rPr>
        <w:t> </w:t>
      </w:r>
      <w:r>
        <w:rPr/>
        <w:t>River</w:t>
      </w:r>
      <w:r>
        <w:rPr>
          <w:spacing w:val="-7"/>
        </w:rPr>
        <w:t> </w:t>
      </w:r>
      <w:r>
        <w:rPr/>
        <w:t>delta</w:t>
      </w:r>
      <w:r>
        <w:rPr>
          <w:spacing w:val="-6"/>
        </w:rPr>
        <w:t> </w:t>
      </w:r>
      <w:r>
        <w:rPr/>
        <w:t>and</w:t>
      </w:r>
      <w:r>
        <w:rPr>
          <w:spacing w:val="-7"/>
        </w:rPr>
        <w:t> </w:t>
      </w:r>
      <w:r>
        <w:rPr/>
        <w:t>is</w:t>
      </w:r>
      <w:r>
        <w:rPr>
          <w:spacing w:val="-7"/>
        </w:rPr>
        <w:t> </w:t>
      </w:r>
      <w:r>
        <w:rPr/>
        <w:t>managed</w:t>
      </w:r>
      <w:r>
        <w:rPr>
          <w:spacing w:val="-6"/>
        </w:rPr>
        <w:t> </w:t>
      </w:r>
      <w:r>
        <w:rPr/>
        <w:t>by</w:t>
      </w:r>
      <w:r>
        <w:rPr>
          <w:spacing w:val="-8"/>
        </w:rPr>
        <w:t> </w:t>
      </w:r>
      <w:r>
        <w:rPr/>
        <w:t>the</w:t>
      </w:r>
      <w:r>
        <w:rPr>
          <w:spacing w:val="-5"/>
        </w:rPr>
        <w:t> </w:t>
      </w:r>
      <w:r>
        <w:rPr/>
        <w:t>Tapteal</w:t>
      </w:r>
      <w:r>
        <w:rPr>
          <w:spacing w:val="-7"/>
        </w:rPr>
        <w:t> </w:t>
      </w:r>
      <w:r>
        <w:rPr/>
        <w:t>Greenway</w:t>
      </w:r>
      <w:r>
        <w:rPr>
          <w:spacing w:val="-7"/>
        </w:rPr>
        <w:t> </w:t>
      </w:r>
      <w:r>
        <w:rPr/>
        <w:t>Association.</w:t>
      </w:r>
      <w:r>
        <w:rPr>
          <w:spacing w:val="-6"/>
        </w:rPr>
        <w:t> </w:t>
      </w:r>
      <w:r>
        <w:rPr/>
        <w:t>The</w:t>
      </w:r>
      <w:r>
        <w:rPr>
          <w:spacing w:val="-9"/>
        </w:rPr>
        <w:t> </w:t>
      </w:r>
      <w:r>
        <w:rPr/>
        <w:t>Tapteal Greenway Association manages other lands owned by the USACE as a nature preserve with limited non-motorized access. Habitat area includes about 100 acres of upland, with 50 acres of abandoned farm fields (Anchor QEA, 2014). Riverview Preserve is a 268-acre area owned and managed by the USACE at the confluence of the Yakima and Columbia Rivers; Bateman Island is 160 acres in the Yakima River Delta under USACE ownership and leased to the</w:t>
      </w:r>
      <w:r>
        <w:rPr>
          <w:spacing w:val="-16"/>
        </w:rPr>
        <w:t> </w:t>
      </w:r>
      <w:r>
        <w:rPr/>
        <w:t>City.</w:t>
      </w:r>
    </w:p>
    <w:p>
      <w:pPr>
        <w:pStyle w:val="BodyText"/>
        <w:spacing w:before="119"/>
        <w:ind w:left="139" w:right="338" w:hanging="1"/>
        <w:jc w:val="both"/>
      </w:pPr>
      <w:r>
        <w:rPr/>
        <w:t>W.E. Johnson Park is primarily a natural open space area consisting of 236 acres. It has about a half mile of Yakima River frontage. It is located south of Van Giesen Street.</w:t>
      </w:r>
    </w:p>
    <w:p>
      <w:pPr>
        <w:pStyle w:val="BodyText"/>
        <w:spacing w:before="120"/>
        <w:ind w:left="139" w:right="335"/>
        <w:jc w:val="both"/>
      </w:pPr>
      <w:r>
        <w:rPr/>
        <w:t>The Amon Basin includes approximately 75 acres of City-owned open space and is located on the southeast side of the City east of Leslie Road. The Amon Basin Natural Preserve has been preserved</w:t>
      </w:r>
    </w:p>
    <w:p>
      <w:pPr>
        <w:spacing w:after="0"/>
        <w:jc w:val="both"/>
        <w:sectPr>
          <w:pgSz w:w="12240" w:h="15840"/>
          <w:pgMar w:header="0" w:footer="1132" w:top="1360" w:bottom="1320" w:left="1300" w:right="1100"/>
        </w:sectPr>
      </w:pPr>
    </w:p>
    <w:p>
      <w:pPr>
        <w:pStyle w:val="BodyText"/>
        <w:spacing w:before="80"/>
        <w:ind w:left="139" w:right="335"/>
        <w:jc w:val="both"/>
      </w:pPr>
      <w:r>
        <w:rPr/>
        <w:t>as compensatory mitigation for SR 240 bridge expansion project over the Yakima River delta that took</w:t>
      </w:r>
      <w:r>
        <w:rPr>
          <w:spacing w:val="-5"/>
        </w:rPr>
        <w:t> </w:t>
      </w:r>
      <w:r>
        <w:rPr/>
        <w:t>place</w:t>
      </w:r>
      <w:r>
        <w:rPr>
          <w:spacing w:val="-4"/>
        </w:rPr>
        <w:t> </w:t>
      </w:r>
      <w:r>
        <w:rPr/>
        <w:t>in</w:t>
      </w:r>
      <w:r>
        <w:rPr>
          <w:spacing w:val="-4"/>
        </w:rPr>
        <w:t> </w:t>
      </w:r>
      <w:r>
        <w:rPr/>
        <w:t>2005.</w:t>
      </w:r>
      <w:r>
        <w:rPr>
          <w:spacing w:val="-7"/>
        </w:rPr>
        <w:t> </w:t>
      </w:r>
      <w:r>
        <w:rPr/>
        <w:t>The</w:t>
      </w:r>
      <w:r>
        <w:rPr>
          <w:spacing w:val="-5"/>
        </w:rPr>
        <w:t> </w:t>
      </w:r>
      <w:r>
        <w:rPr/>
        <w:t>mitigation</w:t>
      </w:r>
      <w:r>
        <w:rPr>
          <w:spacing w:val="-5"/>
        </w:rPr>
        <w:t> </w:t>
      </w:r>
      <w:r>
        <w:rPr/>
        <w:t>area</w:t>
      </w:r>
      <w:r>
        <w:rPr>
          <w:spacing w:val="-2"/>
        </w:rPr>
        <w:t> </w:t>
      </w:r>
      <w:r>
        <w:rPr/>
        <w:t>includes</w:t>
      </w:r>
      <w:r>
        <w:rPr>
          <w:spacing w:val="-3"/>
        </w:rPr>
        <w:t> </w:t>
      </w:r>
      <w:r>
        <w:rPr/>
        <w:t>upland</w:t>
      </w:r>
      <w:r>
        <w:rPr>
          <w:spacing w:val="-5"/>
        </w:rPr>
        <w:t> </w:t>
      </w:r>
      <w:r>
        <w:rPr/>
        <w:t>and</w:t>
      </w:r>
      <w:r>
        <w:rPr>
          <w:spacing w:val="-4"/>
        </w:rPr>
        <w:t> </w:t>
      </w:r>
      <w:r>
        <w:rPr/>
        <w:t>wetland</w:t>
      </w:r>
      <w:r>
        <w:rPr>
          <w:spacing w:val="-5"/>
        </w:rPr>
        <w:t> </w:t>
      </w:r>
      <w:r>
        <w:rPr/>
        <w:t>habitat.</w:t>
      </w:r>
      <w:r>
        <w:rPr>
          <w:spacing w:val="-3"/>
        </w:rPr>
        <w:t> </w:t>
      </w:r>
      <w:r>
        <w:rPr/>
        <w:t>Irrigation</w:t>
      </w:r>
      <w:r>
        <w:rPr>
          <w:spacing w:val="-8"/>
        </w:rPr>
        <w:t> </w:t>
      </w:r>
      <w:r>
        <w:rPr/>
        <w:t>canal</w:t>
      </w:r>
      <w:r>
        <w:rPr>
          <w:spacing w:val="-3"/>
        </w:rPr>
        <w:t> </w:t>
      </w:r>
      <w:r>
        <w:rPr/>
        <w:t>system operations,</w:t>
      </w:r>
      <w:r>
        <w:rPr>
          <w:spacing w:val="-9"/>
        </w:rPr>
        <w:t> </w:t>
      </w:r>
      <w:r>
        <w:rPr/>
        <w:t>raised</w:t>
      </w:r>
      <w:r>
        <w:rPr>
          <w:spacing w:val="-9"/>
        </w:rPr>
        <w:t> </w:t>
      </w:r>
      <w:r>
        <w:rPr/>
        <w:t>groundwater</w:t>
      </w:r>
      <w:r>
        <w:rPr>
          <w:spacing w:val="-8"/>
        </w:rPr>
        <w:t> </w:t>
      </w:r>
      <w:r>
        <w:rPr/>
        <w:t>tables</w:t>
      </w:r>
      <w:r>
        <w:rPr>
          <w:spacing w:val="-8"/>
        </w:rPr>
        <w:t> </w:t>
      </w:r>
      <w:r>
        <w:rPr/>
        <w:t>and</w:t>
      </w:r>
      <w:r>
        <w:rPr>
          <w:spacing w:val="-8"/>
        </w:rPr>
        <w:t> </w:t>
      </w:r>
      <w:r>
        <w:rPr/>
        <w:t>associated</w:t>
      </w:r>
      <w:r>
        <w:rPr>
          <w:spacing w:val="-9"/>
        </w:rPr>
        <w:t> </w:t>
      </w:r>
      <w:r>
        <w:rPr/>
        <w:t>seepage</w:t>
      </w:r>
      <w:r>
        <w:rPr>
          <w:spacing w:val="-8"/>
        </w:rPr>
        <w:t> </w:t>
      </w:r>
      <w:r>
        <w:rPr/>
        <w:t>and</w:t>
      </w:r>
      <w:r>
        <w:rPr>
          <w:spacing w:val="-9"/>
        </w:rPr>
        <w:t> </w:t>
      </w:r>
      <w:r>
        <w:rPr/>
        <w:t>return</w:t>
      </w:r>
      <w:r>
        <w:rPr>
          <w:spacing w:val="-10"/>
        </w:rPr>
        <w:t> </w:t>
      </w:r>
      <w:r>
        <w:rPr/>
        <w:t>flow</w:t>
      </w:r>
      <w:r>
        <w:rPr>
          <w:spacing w:val="-8"/>
        </w:rPr>
        <w:t> </w:t>
      </w:r>
      <w:r>
        <w:rPr/>
        <w:t>surface</w:t>
      </w:r>
      <w:r>
        <w:rPr>
          <w:spacing w:val="-9"/>
        </w:rPr>
        <w:t> </w:t>
      </w:r>
      <w:r>
        <w:rPr/>
        <w:t>in</w:t>
      </w:r>
      <w:r>
        <w:rPr>
          <w:spacing w:val="-9"/>
        </w:rPr>
        <w:t> </w:t>
      </w:r>
      <w:r>
        <w:rPr/>
        <w:t>this</w:t>
      </w:r>
      <w:r>
        <w:rPr>
          <w:spacing w:val="-8"/>
        </w:rPr>
        <w:t> </w:t>
      </w:r>
      <w:r>
        <w:rPr/>
        <w:t>natural drainage</w:t>
      </w:r>
      <w:r>
        <w:rPr>
          <w:spacing w:val="-6"/>
        </w:rPr>
        <w:t> </w:t>
      </w:r>
      <w:r>
        <w:rPr/>
        <w:t>and</w:t>
      </w:r>
      <w:r>
        <w:rPr>
          <w:spacing w:val="-6"/>
        </w:rPr>
        <w:t> </w:t>
      </w:r>
      <w:r>
        <w:rPr/>
        <w:t>run</w:t>
      </w:r>
      <w:r>
        <w:rPr>
          <w:spacing w:val="-6"/>
        </w:rPr>
        <w:t> </w:t>
      </w:r>
      <w:r>
        <w:rPr/>
        <w:t>through</w:t>
      </w:r>
      <w:r>
        <w:rPr>
          <w:spacing w:val="-8"/>
        </w:rPr>
        <w:t> </w:t>
      </w:r>
      <w:r>
        <w:rPr/>
        <w:t>the</w:t>
      </w:r>
      <w:r>
        <w:rPr>
          <w:spacing w:val="-6"/>
        </w:rPr>
        <w:t> </w:t>
      </w:r>
      <w:r>
        <w:rPr/>
        <w:t>Amon</w:t>
      </w:r>
      <w:r>
        <w:rPr>
          <w:spacing w:val="-7"/>
        </w:rPr>
        <w:t> </w:t>
      </w:r>
      <w:r>
        <w:rPr/>
        <w:t>Basin</w:t>
      </w:r>
      <w:r>
        <w:rPr>
          <w:spacing w:val="-7"/>
        </w:rPr>
        <w:t> </w:t>
      </w:r>
      <w:r>
        <w:rPr/>
        <w:t>and</w:t>
      </w:r>
      <w:r>
        <w:rPr>
          <w:spacing w:val="-6"/>
        </w:rPr>
        <w:t> </w:t>
      </w:r>
      <w:r>
        <w:rPr/>
        <w:t>other</w:t>
      </w:r>
      <w:r>
        <w:rPr>
          <w:spacing w:val="-8"/>
        </w:rPr>
        <w:t> </w:t>
      </w:r>
      <w:r>
        <w:rPr/>
        <w:t>areas</w:t>
      </w:r>
      <w:r>
        <w:rPr>
          <w:spacing w:val="-8"/>
        </w:rPr>
        <w:t> </w:t>
      </w:r>
      <w:r>
        <w:rPr/>
        <w:t>into</w:t>
      </w:r>
      <w:r>
        <w:rPr>
          <w:spacing w:val="-5"/>
        </w:rPr>
        <w:t> </w:t>
      </w:r>
      <w:r>
        <w:rPr/>
        <w:t>the</w:t>
      </w:r>
      <w:r>
        <w:rPr>
          <w:spacing w:val="-8"/>
        </w:rPr>
        <w:t> </w:t>
      </w:r>
      <w:r>
        <w:rPr/>
        <w:t>Yakima</w:t>
      </w:r>
      <w:r>
        <w:rPr>
          <w:spacing w:val="-6"/>
        </w:rPr>
        <w:t> </w:t>
      </w:r>
      <w:r>
        <w:rPr/>
        <w:t>River</w:t>
      </w:r>
      <w:r>
        <w:rPr>
          <w:spacing w:val="-6"/>
        </w:rPr>
        <w:t> </w:t>
      </w:r>
      <w:r>
        <w:rPr/>
        <w:t>near</w:t>
      </w:r>
      <w:r>
        <w:rPr>
          <w:spacing w:val="-7"/>
        </w:rPr>
        <w:t> </w:t>
      </w:r>
      <w:r>
        <w:rPr/>
        <w:t>the</w:t>
      </w:r>
      <w:r>
        <w:rPr>
          <w:spacing w:val="-5"/>
        </w:rPr>
        <w:t> </w:t>
      </w:r>
      <w:r>
        <w:rPr/>
        <w:t>confluence with the Columbia</w:t>
      </w:r>
      <w:r>
        <w:rPr>
          <w:spacing w:val="-5"/>
        </w:rPr>
        <w:t> </w:t>
      </w:r>
      <w:r>
        <w:rPr/>
        <w:t>River.</w:t>
      </w:r>
    </w:p>
    <w:p>
      <w:pPr>
        <w:pStyle w:val="BodyText"/>
        <w:spacing w:before="119"/>
        <w:ind w:left="140" w:right="336"/>
        <w:jc w:val="both"/>
      </w:pPr>
      <w:r>
        <w:rPr/>
        <w:t>On the Columbia River, the City managed major open space land includes Leslie Groves Park located between Snyder Street and Ferry Street; and the Columbia Point South area, which is a largely undeveloped</w:t>
      </w:r>
      <w:r>
        <w:rPr>
          <w:spacing w:val="-8"/>
        </w:rPr>
        <w:t> </w:t>
      </w:r>
      <w:r>
        <w:rPr/>
        <w:t>area</w:t>
      </w:r>
      <w:r>
        <w:rPr>
          <w:spacing w:val="-6"/>
        </w:rPr>
        <w:t> </w:t>
      </w:r>
      <w:r>
        <w:rPr/>
        <w:t>of</w:t>
      </w:r>
      <w:r>
        <w:rPr>
          <w:spacing w:val="-6"/>
        </w:rPr>
        <w:t> </w:t>
      </w:r>
      <w:r>
        <w:rPr/>
        <w:t>230</w:t>
      </w:r>
      <w:r>
        <w:rPr>
          <w:spacing w:val="-9"/>
        </w:rPr>
        <w:t> </w:t>
      </w:r>
      <w:r>
        <w:rPr/>
        <w:t>acres</w:t>
      </w:r>
      <w:r>
        <w:rPr>
          <w:spacing w:val="-6"/>
        </w:rPr>
        <w:t> </w:t>
      </w:r>
      <w:r>
        <w:rPr/>
        <w:t>located</w:t>
      </w:r>
      <w:r>
        <w:rPr>
          <w:spacing w:val="-7"/>
        </w:rPr>
        <w:t> </w:t>
      </w:r>
      <w:r>
        <w:rPr/>
        <w:t>at</w:t>
      </w:r>
      <w:r>
        <w:rPr>
          <w:spacing w:val="-7"/>
        </w:rPr>
        <w:t> </w:t>
      </w:r>
      <w:r>
        <w:rPr/>
        <w:t>the</w:t>
      </w:r>
      <w:r>
        <w:rPr>
          <w:spacing w:val="-6"/>
        </w:rPr>
        <w:t> </w:t>
      </w:r>
      <w:r>
        <w:rPr/>
        <w:t>confluence</w:t>
      </w:r>
      <w:r>
        <w:rPr>
          <w:spacing w:val="-6"/>
        </w:rPr>
        <w:t> </w:t>
      </w:r>
      <w:r>
        <w:rPr/>
        <w:t>of</w:t>
      </w:r>
      <w:r>
        <w:rPr>
          <w:spacing w:val="-6"/>
        </w:rPr>
        <w:t> </w:t>
      </w:r>
      <w:r>
        <w:rPr/>
        <w:t>the</w:t>
      </w:r>
      <w:r>
        <w:rPr>
          <w:spacing w:val="-6"/>
        </w:rPr>
        <w:t> </w:t>
      </w:r>
      <w:r>
        <w:rPr/>
        <w:t>Yakima</w:t>
      </w:r>
      <w:r>
        <w:rPr>
          <w:spacing w:val="-7"/>
        </w:rPr>
        <w:t> </w:t>
      </w:r>
      <w:r>
        <w:rPr/>
        <w:t>River</w:t>
      </w:r>
      <w:r>
        <w:rPr>
          <w:spacing w:val="-7"/>
        </w:rPr>
        <w:t> </w:t>
      </w:r>
      <w:r>
        <w:rPr/>
        <w:t>and</w:t>
      </w:r>
      <w:r>
        <w:rPr>
          <w:spacing w:val="-7"/>
        </w:rPr>
        <w:t> </w:t>
      </w:r>
      <w:r>
        <w:rPr/>
        <w:t>the</w:t>
      </w:r>
      <w:r>
        <w:rPr>
          <w:spacing w:val="-6"/>
        </w:rPr>
        <w:t> </w:t>
      </w:r>
      <w:r>
        <w:rPr/>
        <w:t>Columbia</w:t>
      </w:r>
      <w:r>
        <w:rPr>
          <w:spacing w:val="-7"/>
        </w:rPr>
        <w:t> </w:t>
      </w:r>
      <w:r>
        <w:rPr/>
        <w:t>River. Other major open space land includes the islands on the river that are part of the McNary National Wildlife</w:t>
      </w:r>
      <w:r>
        <w:rPr>
          <w:spacing w:val="-1"/>
        </w:rPr>
        <w:t> </w:t>
      </w:r>
      <w:r>
        <w:rPr/>
        <w:t>Refuge.</w:t>
      </w:r>
    </w:p>
    <w:p>
      <w:pPr>
        <w:spacing w:before="201"/>
        <w:ind w:left="140" w:right="0" w:firstLine="0"/>
        <w:jc w:val="both"/>
        <w:rPr>
          <w:b/>
          <w:sz w:val="24"/>
        </w:rPr>
      </w:pPr>
      <w:bookmarkStart w:name="MINERAL RESOURCES" w:id="98"/>
      <w:bookmarkEnd w:id="98"/>
      <w:r>
        <w:rPr/>
      </w:r>
      <w:r>
        <w:rPr>
          <w:b/>
          <w:sz w:val="24"/>
        </w:rPr>
        <w:t>MINERAL RESOURCES</w:t>
      </w:r>
    </w:p>
    <w:p>
      <w:pPr>
        <w:pStyle w:val="BodyText"/>
        <w:spacing w:before="119"/>
        <w:ind w:left="140" w:right="338"/>
        <w:jc w:val="both"/>
      </w:pPr>
      <w:r>
        <w:rPr/>
        <w:t>Mineral</w:t>
      </w:r>
      <w:r>
        <w:rPr>
          <w:spacing w:val="-5"/>
        </w:rPr>
        <w:t> </w:t>
      </w:r>
      <w:r>
        <w:rPr/>
        <w:t>resource</w:t>
      </w:r>
      <w:r>
        <w:rPr>
          <w:spacing w:val="-4"/>
        </w:rPr>
        <w:t> </w:t>
      </w:r>
      <w:r>
        <w:rPr/>
        <w:t>lands</w:t>
      </w:r>
      <w:r>
        <w:rPr>
          <w:spacing w:val="-3"/>
        </w:rPr>
        <w:t> </w:t>
      </w:r>
      <w:r>
        <w:rPr/>
        <w:t>are</w:t>
      </w:r>
      <w:r>
        <w:rPr>
          <w:spacing w:val="-4"/>
        </w:rPr>
        <w:t> </w:t>
      </w:r>
      <w:r>
        <w:rPr/>
        <w:t>natural</w:t>
      </w:r>
      <w:r>
        <w:rPr>
          <w:spacing w:val="-5"/>
        </w:rPr>
        <w:t> </w:t>
      </w:r>
      <w:r>
        <w:rPr/>
        <w:t>resource</w:t>
      </w:r>
      <w:r>
        <w:rPr>
          <w:spacing w:val="-4"/>
        </w:rPr>
        <w:t> </w:t>
      </w:r>
      <w:r>
        <w:rPr/>
        <w:t>lands</w:t>
      </w:r>
      <w:r>
        <w:rPr>
          <w:spacing w:val="-3"/>
        </w:rPr>
        <w:t> </w:t>
      </w:r>
      <w:r>
        <w:rPr/>
        <w:t>primarily</w:t>
      </w:r>
      <w:r>
        <w:rPr>
          <w:spacing w:val="-5"/>
        </w:rPr>
        <w:t> </w:t>
      </w:r>
      <w:r>
        <w:rPr/>
        <w:t>devoted</w:t>
      </w:r>
      <w:r>
        <w:rPr>
          <w:spacing w:val="-6"/>
        </w:rPr>
        <w:t> </w:t>
      </w:r>
      <w:r>
        <w:rPr/>
        <w:t>to</w:t>
      </w:r>
      <w:r>
        <w:rPr>
          <w:spacing w:val="-4"/>
        </w:rPr>
        <w:t> </w:t>
      </w:r>
      <w:r>
        <w:rPr/>
        <w:t>the</w:t>
      </w:r>
      <w:r>
        <w:rPr>
          <w:spacing w:val="-4"/>
        </w:rPr>
        <w:t> </w:t>
      </w:r>
      <w:r>
        <w:rPr/>
        <w:t>extraction</w:t>
      </w:r>
      <w:r>
        <w:rPr>
          <w:spacing w:val="-5"/>
        </w:rPr>
        <w:t> </w:t>
      </w:r>
      <w:r>
        <w:rPr/>
        <w:t>of</w:t>
      </w:r>
      <w:r>
        <w:rPr>
          <w:spacing w:val="-4"/>
        </w:rPr>
        <w:t> </w:t>
      </w:r>
      <w:r>
        <w:rPr/>
        <w:t>minerals</w:t>
      </w:r>
      <w:r>
        <w:rPr>
          <w:spacing w:val="-4"/>
        </w:rPr>
        <w:t> </w:t>
      </w:r>
      <w:r>
        <w:rPr/>
        <w:t>or that have known or potential long-term commercial significance for the extraction of</w:t>
      </w:r>
      <w:r>
        <w:rPr>
          <w:spacing w:val="-24"/>
        </w:rPr>
        <w:t> </w:t>
      </w:r>
      <w:r>
        <w:rPr/>
        <w:t>minerals.</w:t>
      </w:r>
    </w:p>
    <w:p>
      <w:pPr>
        <w:pStyle w:val="BodyText"/>
        <w:spacing w:before="120"/>
        <w:ind w:left="140" w:right="336"/>
        <w:jc w:val="both"/>
      </w:pPr>
      <w:r>
        <w:rPr/>
        <w:t>Each city and county planning under the Washington State GMA is required to designate natural resource</w:t>
      </w:r>
      <w:r>
        <w:rPr>
          <w:spacing w:val="-5"/>
        </w:rPr>
        <w:t> </w:t>
      </w:r>
      <w:r>
        <w:rPr/>
        <w:t>lands</w:t>
      </w:r>
      <w:r>
        <w:rPr>
          <w:spacing w:val="-4"/>
        </w:rPr>
        <w:t> </w:t>
      </w:r>
      <w:r>
        <w:rPr/>
        <w:t>where</w:t>
      </w:r>
      <w:r>
        <w:rPr>
          <w:spacing w:val="-7"/>
        </w:rPr>
        <w:t> </w:t>
      </w:r>
      <w:r>
        <w:rPr/>
        <w:t>appropriate,</w:t>
      </w:r>
      <w:r>
        <w:rPr>
          <w:spacing w:val="-4"/>
        </w:rPr>
        <w:t> </w:t>
      </w:r>
      <w:r>
        <w:rPr/>
        <w:t>and</w:t>
      </w:r>
      <w:r>
        <w:rPr>
          <w:spacing w:val="-6"/>
        </w:rPr>
        <w:t> </w:t>
      </w:r>
      <w:r>
        <w:rPr/>
        <w:t>adopt</w:t>
      </w:r>
      <w:r>
        <w:rPr>
          <w:spacing w:val="-6"/>
        </w:rPr>
        <w:t> </w:t>
      </w:r>
      <w:r>
        <w:rPr/>
        <w:t>development</w:t>
      </w:r>
      <w:r>
        <w:rPr>
          <w:spacing w:val="-5"/>
        </w:rPr>
        <w:t> </w:t>
      </w:r>
      <w:r>
        <w:rPr/>
        <w:t>regulations</w:t>
      </w:r>
      <w:r>
        <w:rPr>
          <w:spacing w:val="-4"/>
        </w:rPr>
        <w:t> </w:t>
      </w:r>
      <w:r>
        <w:rPr/>
        <w:t>to</w:t>
      </w:r>
      <w:r>
        <w:rPr>
          <w:spacing w:val="-7"/>
        </w:rPr>
        <w:t> </w:t>
      </w:r>
      <w:r>
        <w:rPr/>
        <w:t>assure</w:t>
      </w:r>
      <w:r>
        <w:rPr>
          <w:spacing w:val="-5"/>
        </w:rPr>
        <w:t> </w:t>
      </w:r>
      <w:r>
        <w:rPr/>
        <w:t>the</w:t>
      </w:r>
      <w:r>
        <w:rPr>
          <w:spacing w:val="-6"/>
        </w:rPr>
        <w:t> </w:t>
      </w:r>
      <w:r>
        <w:rPr/>
        <w:t>conservation</w:t>
      </w:r>
      <w:r>
        <w:rPr>
          <w:spacing w:val="-6"/>
        </w:rPr>
        <w:t> </w:t>
      </w:r>
      <w:r>
        <w:rPr/>
        <w:t>of agricultural, forest, and mineral resource lands (RCW 36.70A.060, RCW 36.70A.170). Jurisdictions need to designate mineral resource lands that are not already characterized by urban growth and that have long-term significance for the extraction of</w:t>
      </w:r>
      <w:r>
        <w:rPr>
          <w:spacing w:val="-10"/>
        </w:rPr>
        <w:t> </w:t>
      </w:r>
      <w:r>
        <w:rPr/>
        <w:t>minerals.</w:t>
      </w:r>
    </w:p>
    <w:p>
      <w:pPr>
        <w:pStyle w:val="BodyText"/>
        <w:spacing w:before="122"/>
        <w:ind w:left="140" w:right="336"/>
        <w:jc w:val="both"/>
      </w:pPr>
      <w:r>
        <w:rPr/>
        <w:t>In order to classify mineral resource lands, cities and counties are required to consult with the Department of Natural Resources. Lands from which extraction of mineral occurs or can be anticipated shall be identified and classified as mineral resource lands (WAC 365-190-070).</w:t>
      </w:r>
    </w:p>
    <w:p>
      <w:pPr>
        <w:pStyle w:val="BodyText"/>
        <w:spacing w:before="119"/>
        <w:ind w:left="139" w:right="335"/>
        <w:jc w:val="both"/>
      </w:pPr>
      <w:r>
        <w:rPr/>
        <w:t>Classification criteria shall be established according to the state guidelines in WAC 365- 190-070. Areas shall be classified as mineral resource lands based on geologic, environmental, and economic factors, existing land uses, and land ownership. Cities and counties should classify lands with long- term commercial significance for extracting at least one of the following minerals: sand, gravel, and valuable metallic substances. Other minerals may be classified as appropriate. Classification should be based on the maps and information provided by the Washington State Department of Natural Resources and the United States Bureau of Mines.</w:t>
      </w:r>
    </w:p>
    <w:p>
      <w:pPr>
        <w:pStyle w:val="BodyText"/>
        <w:spacing w:before="119"/>
        <w:ind w:left="139" w:right="337"/>
        <w:jc w:val="both"/>
      </w:pPr>
      <w:r>
        <w:rPr/>
        <w:t>The</w:t>
      </w:r>
      <w:r>
        <w:rPr>
          <w:spacing w:val="-6"/>
        </w:rPr>
        <w:t> </w:t>
      </w:r>
      <w:r>
        <w:rPr/>
        <w:t>City</w:t>
      </w:r>
      <w:r>
        <w:rPr>
          <w:spacing w:val="-8"/>
        </w:rPr>
        <w:t> </w:t>
      </w:r>
      <w:r>
        <w:rPr/>
        <w:t>undertook</w:t>
      </w:r>
      <w:r>
        <w:rPr>
          <w:spacing w:val="-7"/>
        </w:rPr>
        <w:t> </w:t>
      </w:r>
      <w:r>
        <w:rPr/>
        <w:t>a</w:t>
      </w:r>
      <w:r>
        <w:rPr>
          <w:spacing w:val="-6"/>
        </w:rPr>
        <w:t> </w:t>
      </w:r>
      <w:r>
        <w:rPr/>
        <w:t>detailed</w:t>
      </w:r>
      <w:r>
        <w:rPr>
          <w:spacing w:val="-7"/>
        </w:rPr>
        <w:t> </w:t>
      </w:r>
      <w:r>
        <w:rPr/>
        <w:t>analysis</w:t>
      </w:r>
      <w:r>
        <w:rPr>
          <w:spacing w:val="-6"/>
        </w:rPr>
        <w:t> </w:t>
      </w:r>
      <w:r>
        <w:rPr/>
        <w:t>of</w:t>
      </w:r>
      <w:r>
        <w:rPr>
          <w:spacing w:val="-6"/>
        </w:rPr>
        <w:t> </w:t>
      </w:r>
      <w:r>
        <w:rPr/>
        <w:t>its</w:t>
      </w:r>
      <w:r>
        <w:rPr>
          <w:spacing w:val="-5"/>
        </w:rPr>
        <w:t> </w:t>
      </w:r>
      <w:r>
        <w:rPr/>
        <w:t>mineral</w:t>
      </w:r>
      <w:r>
        <w:rPr>
          <w:spacing w:val="-9"/>
        </w:rPr>
        <w:t> </w:t>
      </w:r>
      <w:r>
        <w:rPr/>
        <w:t>resources</w:t>
      </w:r>
      <w:r>
        <w:rPr>
          <w:spacing w:val="-6"/>
        </w:rPr>
        <w:t> </w:t>
      </w:r>
      <w:r>
        <w:rPr/>
        <w:t>in</w:t>
      </w:r>
      <w:r>
        <w:rPr>
          <w:spacing w:val="-8"/>
        </w:rPr>
        <w:t> </w:t>
      </w:r>
      <w:r>
        <w:rPr/>
        <w:t>1998</w:t>
      </w:r>
      <w:r>
        <w:rPr>
          <w:spacing w:val="-6"/>
        </w:rPr>
        <w:t> </w:t>
      </w:r>
      <w:r>
        <w:rPr/>
        <w:t>and</w:t>
      </w:r>
      <w:r>
        <w:rPr>
          <w:spacing w:val="-7"/>
        </w:rPr>
        <w:t> </w:t>
      </w:r>
      <w:r>
        <w:rPr/>
        <w:t>determined</w:t>
      </w:r>
      <w:r>
        <w:rPr>
          <w:spacing w:val="-7"/>
        </w:rPr>
        <w:t> </w:t>
      </w:r>
      <w:r>
        <w:rPr/>
        <w:t>that</w:t>
      </w:r>
      <w:r>
        <w:rPr>
          <w:spacing w:val="-7"/>
        </w:rPr>
        <w:t> </w:t>
      </w:r>
      <w:r>
        <w:rPr/>
        <w:t>no</w:t>
      </w:r>
      <w:r>
        <w:rPr>
          <w:spacing w:val="-5"/>
        </w:rPr>
        <w:t> </w:t>
      </w:r>
      <w:r>
        <w:rPr/>
        <w:t>lands within the Richland Urban Growth Area should be designated as mineral resource</w:t>
      </w:r>
      <w:r>
        <w:rPr>
          <w:spacing w:val="-21"/>
        </w:rPr>
        <w:t> </w:t>
      </w:r>
      <w:r>
        <w:rPr/>
        <w:t>lands.</w:t>
      </w:r>
    </w:p>
    <w:p>
      <w:pPr>
        <w:spacing w:after="0"/>
        <w:jc w:val="both"/>
        <w:sectPr>
          <w:pgSz w:w="12240" w:h="15840"/>
          <w:pgMar w:header="0" w:footer="1132" w:top="1360" w:bottom="1320" w:left="1300" w:right="1100"/>
        </w:sectPr>
      </w:pPr>
    </w:p>
    <w:p>
      <w:pPr>
        <w:pStyle w:val="Heading2"/>
      </w:pPr>
      <w:bookmarkStart w:name="Housing" w:id="99"/>
      <w:bookmarkEnd w:id="99"/>
      <w:r>
        <w:rPr>
          <w:b w:val="0"/>
        </w:rPr>
      </w:r>
      <w:bookmarkStart w:name="Section One" w:id="100"/>
      <w:bookmarkEnd w:id="100"/>
      <w:r>
        <w:rPr>
          <w:b w:val="0"/>
        </w:rPr>
      </w:r>
      <w:bookmarkStart w:name="_bookmark45" w:id="101"/>
      <w:bookmarkEnd w:id="101"/>
      <w:r>
        <w:rPr>
          <w:b w:val="0"/>
        </w:rPr>
      </w:r>
      <w:bookmarkStart w:name="_bookmark46" w:id="102"/>
      <w:bookmarkEnd w:id="102"/>
      <w:r>
        <w:rPr>
          <w:b w:val="0"/>
        </w:rPr>
      </w:r>
      <w:r>
        <w:rPr/>
        <w:t>HOUSING</w:t>
      </w:r>
    </w:p>
    <w:p>
      <w:pPr>
        <w:pStyle w:val="Heading7"/>
        <w:spacing w:before="199"/>
        <w:ind w:left="140"/>
      </w:pPr>
      <w:r>
        <w:rPr>
          <w:color w:val="4F81BC"/>
        </w:rPr>
        <w:t>SECTION ONE</w:t>
      </w:r>
    </w:p>
    <w:p>
      <w:pPr>
        <w:pStyle w:val="Heading6"/>
        <w:spacing w:before="201"/>
      </w:pPr>
      <w:bookmarkStart w:name="Introduction" w:id="103"/>
      <w:bookmarkEnd w:id="103"/>
      <w:r>
        <w:rPr>
          <w:b w:val="0"/>
        </w:rPr>
      </w:r>
      <w:bookmarkStart w:name="_bookmark47" w:id="104"/>
      <w:bookmarkEnd w:id="104"/>
      <w:r>
        <w:rPr>
          <w:b w:val="0"/>
        </w:rPr>
      </w:r>
      <w:r>
        <w:rPr/>
        <w:t>INTRODUCTION</w:t>
      </w:r>
    </w:p>
    <w:p>
      <w:pPr>
        <w:pStyle w:val="BodyText"/>
        <w:spacing w:before="120"/>
        <w:ind w:left="140" w:right="334"/>
        <w:jc w:val="both"/>
      </w:pPr>
      <w:r>
        <w:rPr/>
        <w:t>The Washington State GMA established Housing as one of the fourteen planning goals to be used exclusively for guiding the development of comprehensive plans and development regulations. The adopted goal for Housing states: “Encourage the availability of affordable housing to all economic segments of the population of this state, promote a variety residential densities and housing types, and encourage preservation of existing housing stock.” This section analyzes existing housing and</w:t>
      </w:r>
      <w:bookmarkStart w:name="Section Two" w:id="105"/>
      <w:bookmarkEnd w:id="105"/>
      <w:r>
        <w:rPr/>
      </w:r>
      <w:bookmarkStart w:name="_bookmark48" w:id="106"/>
      <w:bookmarkEnd w:id="106"/>
      <w:r>
        <w:rPr/>
      </w:r>
      <w:r>
        <w:rPr/>
        <w:t> projected housing demand in Richland.</w:t>
      </w:r>
    </w:p>
    <w:p>
      <w:pPr>
        <w:pStyle w:val="Heading7"/>
        <w:spacing w:before="200"/>
        <w:ind w:left="140"/>
        <w:jc w:val="both"/>
      </w:pPr>
      <w:r>
        <w:rPr>
          <w:color w:val="4F81BC"/>
        </w:rPr>
        <w:t>SECTION TWO</w:t>
      </w:r>
    </w:p>
    <w:p>
      <w:pPr>
        <w:spacing w:before="198"/>
        <w:ind w:left="139" w:right="0" w:firstLine="0"/>
        <w:jc w:val="left"/>
        <w:rPr>
          <w:b/>
          <w:sz w:val="32"/>
        </w:rPr>
      </w:pPr>
      <w:bookmarkStart w:name="EXISTING Inventory and Programs" w:id="107"/>
      <w:bookmarkEnd w:id="107"/>
      <w:r>
        <w:rPr/>
      </w:r>
      <w:bookmarkStart w:name="_bookmark49" w:id="108"/>
      <w:bookmarkEnd w:id="108"/>
      <w:r>
        <w:rPr/>
      </w:r>
      <w:r>
        <w:rPr>
          <w:b/>
          <w:sz w:val="32"/>
        </w:rPr>
        <w:t>EXISTING INVENTORY AND PROGRAMS</w:t>
      </w:r>
    </w:p>
    <w:p>
      <w:pPr>
        <w:pStyle w:val="BodyText"/>
        <w:spacing w:before="121"/>
        <w:ind w:left="140" w:right="547"/>
      </w:pPr>
      <w:r>
        <w:rPr/>
        <w:t>The 2015 American Community Survey (ACS) data indicates 22,130 housing units in Richland. About 65 percent of the housing units are owner-occupied, and 35 percent renter-occupied. Table HE-1 below indicates housing types and occupancy.</w:t>
      </w:r>
    </w:p>
    <w:p>
      <w:pPr>
        <w:spacing w:before="121"/>
        <w:ind w:left="140" w:right="0" w:firstLine="0"/>
        <w:jc w:val="both"/>
        <w:rPr>
          <w:rFonts w:ascii="Arial"/>
          <w:b/>
          <w:sz w:val="20"/>
        </w:rPr>
      </w:pPr>
      <w:r>
        <w:rPr>
          <w:rFonts w:ascii="Arial"/>
          <w:b/>
          <w:sz w:val="20"/>
        </w:rPr>
        <w:t>Table HE-1: Existing Housing Inventory</w:t>
      </w:r>
    </w:p>
    <w:p>
      <w:pPr>
        <w:pStyle w:val="BodyText"/>
        <w:spacing w:before="6"/>
        <w:rPr>
          <w:rFonts w:ascii="Arial"/>
          <w:b/>
          <w:sz w:val="10"/>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831"/>
        <w:gridCol w:w="2023"/>
        <w:gridCol w:w="1668"/>
      </w:tblGrid>
      <w:tr>
        <w:trPr>
          <w:trHeight w:val="402" w:hRule="atLeast"/>
        </w:trPr>
        <w:tc>
          <w:tcPr>
            <w:tcW w:w="4831" w:type="dxa"/>
            <w:shd w:val="clear" w:color="auto" w:fill="B8CCE3"/>
          </w:tcPr>
          <w:p>
            <w:pPr>
              <w:pStyle w:val="TableParagraph"/>
              <w:spacing w:before="0"/>
              <w:ind w:left="0"/>
              <w:rPr>
                <w:rFonts w:ascii="Times New Roman"/>
                <w:sz w:val="22"/>
              </w:rPr>
            </w:pPr>
          </w:p>
        </w:tc>
        <w:tc>
          <w:tcPr>
            <w:tcW w:w="2023" w:type="dxa"/>
            <w:shd w:val="clear" w:color="auto" w:fill="B8CCE3"/>
          </w:tcPr>
          <w:p>
            <w:pPr>
              <w:pStyle w:val="TableParagraph"/>
              <w:spacing w:before="119"/>
              <w:rPr>
                <w:b/>
                <w:sz w:val="22"/>
              </w:rPr>
            </w:pPr>
            <w:r>
              <w:rPr>
                <w:b/>
                <w:sz w:val="22"/>
              </w:rPr>
              <w:t>Estimate in 2015</w:t>
            </w:r>
          </w:p>
        </w:tc>
        <w:tc>
          <w:tcPr>
            <w:tcW w:w="1668" w:type="dxa"/>
            <w:shd w:val="clear" w:color="auto" w:fill="B8CCE3"/>
          </w:tcPr>
          <w:p>
            <w:pPr>
              <w:pStyle w:val="TableParagraph"/>
              <w:spacing w:before="119"/>
              <w:ind w:left="108"/>
              <w:rPr>
                <w:b/>
                <w:sz w:val="22"/>
              </w:rPr>
            </w:pPr>
            <w:r>
              <w:rPr>
                <w:b/>
                <w:w w:val="100"/>
                <w:sz w:val="22"/>
              </w:rPr>
              <w:t>%</w:t>
            </w:r>
          </w:p>
        </w:tc>
      </w:tr>
      <w:tr>
        <w:trPr>
          <w:trHeight w:val="318" w:hRule="atLeast"/>
        </w:trPr>
        <w:tc>
          <w:tcPr>
            <w:tcW w:w="4831" w:type="dxa"/>
          </w:tcPr>
          <w:p>
            <w:pPr>
              <w:pStyle w:val="TableParagraph"/>
              <w:spacing w:line="239" w:lineRule="exact"/>
              <w:rPr>
                <w:sz w:val="22"/>
              </w:rPr>
            </w:pPr>
            <w:r>
              <w:rPr>
                <w:sz w:val="22"/>
              </w:rPr>
              <w:t>Total Housing units</w:t>
            </w:r>
          </w:p>
        </w:tc>
        <w:tc>
          <w:tcPr>
            <w:tcW w:w="2023" w:type="dxa"/>
          </w:tcPr>
          <w:p>
            <w:pPr>
              <w:pStyle w:val="TableParagraph"/>
              <w:spacing w:line="239" w:lineRule="exact"/>
              <w:rPr>
                <w:sz w:val="22"/>
              </w:rPr>
            </w:pPr>
            <w:r>
              <w:rPr>
                <w:sz w:val="22"/>
              </w:rPr>
              <w:t>22,130</w:t>
            </w:r>
          </w:p>
        </w:tc>
        <w:tc>
          <w:tcPr>
            <w:tcW w:w="1668" w:type="dxa"/>
          </w:tcPr>
          <w:p>
            <w:pPr>
              <w:pStyle w:val="TableParagraph"/>
              <w:spacing w:line="239" w:lineRule="exact"/>
              <w:ind w:left="108"/>
              <w:rPr>
                <w:sz w:val="22"/>
              </w:rPr>
            </w:pPr>
            <w:r>
              <w:rPr>
                <w:sz w:val="22"/>
              </w:rPr>
              <w:t>100.00</w:t>
            </w:r>
          </w:p>
        </w:tc>
      </w:tr>
      <w:tr>
        <w:trPr>
          <w:trHeight w:val="316" w:hRule="atLeast"/>
        </w:trPr>
        <w:tc>
          <w:tcPr>
            <w:tcW w:w="4831" w:type="dxa"/>
          </w:tcPr>
          <w:p>
            <w:pPr>
              <w:pStyle w:val="TableParagraph"/>
              <w:spacing w:line="237" w:lineRule="exact"/>
              <w:ind w:left="827"/>
              <w:rPr>
                <w:sz w:val="22"/>
              </w:rPr>
            </w:pPr>
            <w:r>
              <w:rPr>
                <w:sz w:val="22"/>
              </w:rPr>
              <w:t>Occupied housing units</w:t>
            </w:r>
          </w:p>
        </w:tc>
        <w:tc>
          <w:tcPr>
            <w:tcW w:w="2023" w:type="dxa"/>
          </w:tcPr>
          <w:p>
            <w:pPr>
              <w:pStyle w:val="TableParagraph"/>
              <w:spacing w:line="237" w:lineRule="exact"/>
              <w:rPr>
                <w:sz w:val="22"/>
              </w:rPr>
            </w:pPr>
            <w:r>
              <w:rPr>
                <w:sz w:val="22"/>
              </w:rPr>
              <w:t>20,792</w:t>
            </w:r>
          </w:p>
        </w:tc>
        <w:tc>
          <w:tcPr>
            <w:tcW w:w="1668" w:type="dxa"/>
          </w:tcPr>
          <w:p>
            <w:pPr>
              <w:pStyle w:val="TableParagraph"/>
              <w:spacing w:line="237" w:lineRule="exact"/>
              <w:ind w:left="0" w:right="868"/>
              <w:jc w:val="right"/>
              <w:rPr>
                <w:sz w:val="22"/>
              </w:rPr>
            </w:pPr>
            <w:r>
              <w:rPr>
                <w:sz w:val="22"/>
              </w:rPr>
              <w:t>94.00</w:t>
            </w:r>
          </w:p>
        </w:tc>
      </w:tr>
      <w:tr>
        <w:trPr>
          <w:trHeight w:val="318" w:hRule="atLeast"/>
        </w:trPr>
        <w:tc>
          <w:tcPr>
            <w:tcW w:w="4831" w:type="dxa"/>
          </w:tcPr>
          <w:p>
            <w:pPr>
              <w:pStyle w:val="TableParagraph"/>
              <w:spacing w:line="239" w:lineRule="exact"/>
              <w:ind w:left="827"/>
              <w:rPr>
                <w:sz w:val="22"/>
              </w:rPr>
            </w:pPr>
            <w:r>
              <w:rPr>
                <w:sz w:val="22"/>
              </w:rPr>
              <w:t>Vacant housing units</w:t>
            </w:r>
          </w:p>
        </w:tc>
        <w:tc>
          <w:tcPr>
            <w:tcW w:w="2023" w:type="dxa"/>
          </w:tcPr>
          <w:p>
            <w:pPr>
              <w:pStyle w:val="TableParagraph"/>
              <w:spacing w:line="239" w:lineRule="exact"/>
              <w:rPr>
                <w:sz w:val="22"/>
              </w:rPr>
            </w:pPr>
            <w:r>
              <w:rPr>
                <w:sz w:val="22"/>
              </w:rPr>
              <w:t>1,338</w:t>
            </w:r>
          </w:p>
        </w:tc>
        <w:tc>
          <w:tcPr>
            <w:tcW w:w="1668" w:type="dxa"/>
          </w:tcPr>
          <w:p>
            <w:pPr>
              <w:pStyle w:val="TableParagraph"/>
              <w:spacing w:line="239" w:lineRule="exact"/>
              <w:ind w:left="0" w:right="847"/>
              <w:jc w:val="right"/>
              <w:rPr>
                <w:sz w:val="22"/>
              </w:rPr>
            </w:pPr>
            <w:r>
              <w:rPr>
                <w:sz w:val="22"/>
              </w:rPr>
              <w:t>6.00</w:t>
            </w:r>
          </w:p>
        </w:tc>
      </w:tr>
      <w:tr>
        <w:trPr>
          <w:trHeight w:val="316" w:hRule="atLeast"/>
        </w:trPr>
        <w:tc>
          <w:tcPr>
            <w:tcW w:w="4831" w:type="dxa"/>
          </w:tcPr>
          <w:p>
            <w:pPr>
              <w:pStyle w:val="TableParagraph"/>
              <w:spacing w:line="237" w:lineRule="exact"/>
              <w:rPr>
                <w:sz w:val="22"/>
              </w:rPr>
            </w:pPr>
            <w:r>
              <w:rPr>
                <w:sz w:val="22"/>
              </w:rPr>
              <w:t>Owner-occupied housing units</w:t>
            </w:r>
          </w:p>
        </w:tc>
        <w:tc>
          <w:tcPr>
            <w:tcW w:w="2023" w:type="dxa"/>
          </w:tcPr>
          <w:p>
            <w:pPr>
              <w:pStyle w:val="TableParagraph"/>
              <w:spacing w:line="237" w:lineRule="exact"/>
              <w:rPr>
                <w:sz w:val="22"/>
              </w:rPr>
            </w:pPr>
            <w:r>
              <w:rPr>
                <w:sz w:val="22"/>
              </w:rPr>
              <w:t>13,622</w:t>
            </w:r>
          </w:p>
        </w:tc>
        <w:tc>
          <w:tcPr>
            <w:tcW w:w="1668" w:type="dxa"/>
          </w:tcPr>
          <w:p>
            <w:pPr>
              <w:pStyle w:val="TableParagraph"/>
              <w:spacing w:line="237" w:lineRule="exact"/>
              <w:ind w:left="0" w:right="868"/>
              <w:jc w:val="right"/>
              <w:rPr>
                <w:sz w:val="22"/>
              </w:rPr>
            </w:pPr>
            <w:r>
              <w:rPr>
                <w:sz w:val="22"/>
              </w:rPr>
              <w:t>65.50</w:t>
            </w:r>
          </w:p>
        </w:tc>
      </w:tr>
      <w:tr>
        <w:trPr>
          <w:trHeight w:val="318" w:hRule="atLeast"/>
        </w:trPr>
        <w:tc>
          <w:tcPr>
            <w:tcW w:w="4831" w:type="dxa"/>
          </w:tcPr>
          <w:p>
            <w:pPr>
              <w:pStyle w:val="TableParagraph"/>
              <w:spacing w:line="237" w:lineRule="exact" w:before="62"/>
              <w:rPr>
                <w:sz w:val="22"/>
              </w:rPr>
            </w:pPr>
            <w:r>
              <w:rPr>
                <w:sz w:val="22"/>
              </w:rPr>
              <w:t>Renter-occupied housing units</w:t>
            </w:r>
          </w:p>
        </w:tc>
        <w:tc>
          <w:tcPr>
            <w:tcW w:w="2023" w:type="dxa"/>
          </w:tcPr>
          <w:p>
            <w:pPr>
              <w:pStyle w:val="TableParagraph"/>
              <w:spacing w:line="237" w:lineRule="exact" w:before="62"/>
              <w:rPr>
                <w:sz w:val="22"/>
              </w:rPr>
            </w:pPr>
            <w:r>
              <w:rPr>
                <w:sz w:val="22"/>
              </w:rPr>
              <w:t>7,170</w:t>
            </w:r>
          </w:p>
        </w:tc>
        <w:tc>
          <w:tcPr>
            <w:tcW w:w="1668" w:type="dxa"/>
          </w:tcPr>
          <w:p>
            <w:pPr>
              <w:pStyle w:val="TableParagraph"/>
              <w:spacing w:line="237" w:lineRule="exact" w:before="62"/>
              <w:ind w:left="0" w:right="868"/>
              <w:jc w:val="right"/>
              <w:rPr>
                <w:sz w:val="22"/>
              </w:rPr>
            </w:pPr>
            <w:r>
              <w:rPr>
                <w:sz w:val="22"/>
              </w:rPr>
              <w:t>34.50</w:t>
            </w:r>
          </w:p>
        </w:tc>
      </w:tr>
      <w:tr>
        <w:trPr>
          <w:trHeight w:val="318" w:hRule="atLeast"/>
        </w:trPr>
        <w:tc>
          <w:tcPr>
            <w:tcW w:w="4831" w:type="dxa"/>
            <w:shd w:val="clear" w:color="auto" w:fill="D9D9D9"/>
          </w:tcPr>
          <w:p>
            <w:pPr>
              <w:pStyle w:val="TableParagraph"/>
              <w:spacing w:line="239" w:lineRule="exact"/>
              <w:rPr>
                <w:sz w:val="22"/>
              </w:rPr>
            </w:pPr>
            <w:r>
              <w:rPr>
                <w:sz w:val="22"/>
              </w:rPr>
              <w:t>Unit types</w:t>
            </w:r>
          </w:p>
        </w:tc>
        <w:tc>
          <w:tcPr>
            <w:tcW w:w="2023" w:type="dxa"/>
            <w:shd w:val="clear" w:color="auto" w:fill="D9D9D9"/>
          </w:tcPr>
          <w:p>
            <w:pPr>
              <w:pStyle w:val="TableParagraph"/>
              <w:spacing w:before="0"/>
              <w:ind w:left="0"/>
              <w:rPr>
                <w:rFonts w:ascii="Times New Roman"/>
                <w:sz w:val="22"/>
              </w:rPr>
            </w:pPr>
          </w:p>
        </w:tc>
        <w:tc>
          <w:tcPr>
            <w:tcW w:w="1668" w:type="dxa"/>
            <w:shd w:val="clear" w:color="auto" w:fill="D9D9D9"/>
          </w:tcPr>
          <w:p>
            <w:pPr>
              <w:pStyle w:val="TableParagraph"/>
              <w:spacing w:before="0"/>
              <w:ind w:left="0"/>
              <w:rPr>
                <w:rFonts w:ascii="Times New Roman"/>
                <w:sz w:val="22"/>
              </w:rPr>
            </w:pPr>
          </w:p>
        </w:tc>
      </w:tr>
      <w:tr>
        <w:trPr>
          <w:trHeight w:val="316" w:hRule="atLeast"/>
        </w:trPr>
        <w:tc>
          <w:tcPr>
            <w:tcW w:w="4831" w:type="dxa"/>
          </w:tcPr>
          <w:p>
            <w:pPr>
              <w:pStyle w:val="TableParagraph"/>
              <w:spacing w:line="237" w:lineRule="exact"/>
              <w:ind w:left="827"/>
              <w:rPr>
                <w:sz w:val="22"/>
              </w:rPr>
            </w:pPr>
            <w:r>
              <w:rPr>
                <w:sz w:val="22"/>
              </w:rPr>
              <w:t>1-unit, detached</w:t>
            </w:r>
          </w:p>
        </w:tc>
        <w:tc>
          <w:tcPr>
            <w:tcW w:w="2023" w:type="dxa"/>
          </w:tcPr>
          <w:p>
            <w:pPr>
              <w:pStyle w:val="TableParagraph"/>
              <w:spacing w:line="237" w:lineRule="exact"/>
              <w:rPr>
                <w:sz w:val="22"/>
              </w:rPr>
            </w:pPr>
            <w:r>
              <w:rPr>
                <w:sz w:val="22"/>
              </w:rPr>
              <w:t>13,858</w:t>
            </w:r>
          </w:p>
        </w:tc>
        <w:tc>
          <w:tcPr>
            <w:tcW w:w="1668" w:type="dxa"/>
          </w:tcPr>
          <w:p>
            <w:pPr>
              <w:pStyle w:val="TableParagraph"/>
              <w:spacing w:line="237" w:lineRule="exact"/>
              <w:ind w:left="108"/>
              <w:rPr>
                <w:sz w:val="22"/>
              </w:rPr>
            </w:pPr>
            <w:r>
              <w:rPr>
                <w:sz w:val="22"/>
              </w:rPr>
              <w:t>62.60</w:t>
            </w:r>
          </w:p>
        </w:tc>
      </w:tr>
      <w:tr>
        <w:trPr>
          <w:trHeight w:val="318" w:hRule="atLeast"/>
        </w:trPr>
        <w:tc>
          <w:tcPr>
            <w:tcW w:w="4831" w:type="dxa"/>
          </w:tcPr>
          <w:p>
            <w:pPr>
              <w:pStyle w:val="TableParagraph"/>
              <w:spacing w:line="237" w:lineRule="exact" w:before="62"/>
              <w:ind w:left="827"/>
              <w:rPr>
                <w:sz w:val="22"/>
              </w:rPr>
            </w:pPr>
            <w:r>
              <w:rPr>
                <w:sz w:val="22"/>
              </w:rPr>
              <w:t>1-unit, attached</w:t>
            </w:r>
          </w:p>
        </w:tc>
        <w:tc>
          <w:tcPr>
            <w:tcW w:w="2023" w:type="dxa"/>
          </w:tcPr>
          <w:p>
            <w:pPr>
              <w:pStyle w:val="TableParagraph"/>
              <w:spacing w:line="237" w:lineRule="exact" w:before="62"/>
              <w:ind w:left="251"/>
              <w:rPr>
                <w:sz w:val="22"/>
              </w:rPr>
            </w:pPr>
            <w:r>
              <w:rPr>
                <w:sz w:val="22"/>
              </w:rPr>
              <w:t>1,142</w:t>
            </w:r>
          </w:p>
        </w:tc>
        <w:tc>
          <w:tcPr>
            <w:tcW w:w="1668" w:type="dxa"/>
          </w:tcPr>
          <w:p>
            <w:pPr>
              <w:pStyle w:val="TableParagraph"/>
              <w:spacing w:line="237" w:lineRule="exact" w:before="62"/>
              <w:ind w:left="252"/>
              <w:rPr>
                <w:sz w:val="22"/>
              </w:rPr>
            </w:pPr>
            <w:r>
              <w:rPr>
                <w:sz w:val="22"/>
              </w:rPr>
              <w:t>5.20</w:t>
            </w:r>
          </w:p>
        </w:tc>
      </w:tr>
      <w:tr>
        <w:trPr>
          <w:trHeight w:val="318" w:hRule="atLeast"/>
        </w:trPr>
        <w:tc>
          <w:tcPr>
            <w:tcW w:w="4831" w:type="dxa"/>
          </w:tcPr>
          <w:p>
            <w:pPr>
              <w:pStyle w:val="TableParagraph"/>
              <w:spacing w:line="239" w:lineRule="exact"/>
              <w:ind w:left="827"/>
              <w:rPr>
                <w:sz w:val="22"/>
              </w:rPr>
            </w:pPr>
            <w:r>
              <w:rPr>
                <w:sz w:val="22"/>
              </w:rPr>
              <w:t>2 units</w:t>
            </w:r>
          </w:p>
        </w:tc>
        <w:tc>
          <w:tcPr>
            <w:tcW w:w="2023" w:type="dxa"/>
          </w:tcPr>
          <w:p>
            <w:pPr>
              <w:pStyle w:val="TableParagraph"/>
              <w:spacing w:line="239" w:lineRule="exact"/>
              <w:ind w:left="251"/>
              <w:rPr>
                <w:sz w:val="22"/>
              </w:rPr>
            </w:pPr>
            <w:r>
              <w:rPr>
                <w:sz w:val="22"/>
              </w:rPr>
              <w:t>1,356</w:t>
            </w:r>
          </w:p>
        </w:tc>
        <w:tc>
          <w:tcPr>
            <w:tcW w:w="1668" w:type="dxa"/>
          </w:tcPr>
          <w:p>
            <w:pPr>
              <w:pStyle w:val="TableParagraph"/>
              <w:spacing w:line="239" w:lineRule="exact"/>
              <w:ind w:left="252"/>
              <w:rPr>
                <w:sz w:val="22"/>
              </w:rPr>
            </w:pPr>
            <w:r>
              <w:rPr>
                <w:sz w:val="22"/>
              </w:rPr>
              <w:t>6.10</w:t>
            </w:r>
          </w:p>
        </w:tc>
      </w:tr>
      <w:tr>
        <w:trPr>
          <w:trHeight w:val="316" w:hRule="atLeast"/>
        </w:trPr>
        <w:tc>
          <w:tcPr>
            <w:tcW w:w="4831" w:type="dxa"/>
          </w:tcPr>
          <w:p>
            <w:pPr>
              <w:pStyle w:val="TableParagraph"/>
              <w:spacing w:line="237" w:lineRule="exact"/>
              <w:ind w:left="827"/>
              <w:rPr>
                <w:sz w:val="22"/>
              </w:rPr>
            </w:pPr>
            <w:r>
              <w:rPr>
                <w:sz w:val="22"/>
              </w:rPr>
              <w:t>3 or 4 units</w:t>
            </w:r>
          </w:p>
        </w:tc>
        <w:tc>
          <w:tcPr>
            <w:tcW w:w="2023" w:type="dxa"/>
          </w:tcPr>
          <w:p>
            <w:pPr>
              <w:pStyle w:val="TableParagraph"/>
              <w:spacing w:line="237" w:lineRule="exact"/>
              <w:ind w:left="395"/>
              <w:rPr>
                <w:sz w:val="22"/>
              </w:rPr>
            </w:pPr>
            <w:r>
              <w:rPr>
                <w:sz w:val="22"/>
              </w:rPr>
              <w:t>666</w:t>
            </w:r>
          </w:p>
        </w:tc>
        <w:tc>
          <w:tcPr>
            <w:tcW w:w="1668" w:type="dxa"/>
          </w:tcPr>
          <w:p>
            <w:pPr>
              <w:pStyle w:val="TableParagraph"/>
              <w:spacing w:line="237" w:lineRule="exact"/>
              <w:ind w:left="252"/>
              <w:rPr>
                <w:sz w:val="22"/>
              </w:rPr>
            </w:pPr>
            <w:r>
              <w:rPr>
                <w:sz w:val="22"/>
              </w:rPr>
              <w:t>3.00</w:t>
            </w:r>
          </w:p>
        </w:tc>
      </w:tr>
      <w:tr>
        <w:trPr>
          <w:trHeight w:val="318" w:hRule="atLeast"/>
        </w:trPr>
        <w:tc>
          <w:tcPr>
            <w:tcW w:w="4831" w:type="dxa"/>
          </w:tcPr>
          <w:p>
            <w:pPr>
              <w:pStyle w:val="TableParagraph"/>
              <w:spacing w:line="239" w:lineRule="exact"/>
              <w:ind w:left="827"/>
              <w:rPr>
                <w:sz w:val="22"/>
              </w:rPr>
            </w:pPr>
            <w:r>
              <w:rPr>
                <w:sz w:val="22"/>
              </w:rPr>
              <w:t>5 to 9 units</w:t>
            </w:r>
          </w:p>
        </w:tc>
        <w:tc>
          <w:tcPr>
            <w:tcW w:w="2023" w:type="dxa"/>
          </w:tcPr>
          <w:p>
            <w:pPr>
              <w:pStyle w:val="TableParagraph"/>
              <w:spacing w:line="239" w:lineRule="exact"/>
              <w:ind w:left="251"/>
              <w:rPr>
                <w:sz w:val="22"/>
              </w:rPr>
            </w:pPr>
            <w:r>
              <w:rPr>
                <w:sz w:val="22"/>
              </w:rPr>
              <w:t>1,098</w:t>
            </w:r>
          </w:p>
        </w:tc>
        <w:tc>
          <w:tcPr>
            <w:tcW w:w="1668" w:type="dxa"/>
          </w:tcPr>
          <w:p>
            <w:pPr>
              <w:pStyle w:val="TableParagraph"/>
              <w:spacing w:line="239" w:lineRule="exact"/>
              <w:ind w:left="252"/>
              <w:rPr>
                <w:sz w:val="22"/>
              </w:rPr>
            </w:pPr>
            <w:r>
              <w:rPr>
                <w:sz w:val="22"/>
              </w:rPr>
              <w:t>5.00</w:t>
            </w:r>
          </w:p>
        </w:tc>
      </w:tr>
      <w:tr>
        <w:trPr>
          <w:trHeight w:val="318" w:hRule="atLeast"/>
        </w:trPr>
        <w:tc>
          <w:tcPr>
            <w:tcW w:w="4831" w:type="dxa"/>
          </w:tcPr>
          <w:p>
            <w:pPr>
              <w:pStyle w:val="TableParagraph"/>
              <w:spacing w:line="239" w:lineRule="exact"/>
              <w:ind w:left="827"/>
              <w:rPr>
                <w:sz w:val="22"/>
              </w:rPr>
            </w:pPr>
            <w:r>
              <w:rPr>
                <w:sz w:val="22"/>
              </w:rPr>
              <w:t>10 to 19 units</w:t>
            </w:r>
          </w:p>
        </w:tc>
        <w:tc>
          <w:tcPr>
            <w:tcW w:w="2023" w:type="dxa"/>
          </w:tcPr>
          <w:p>
            <w:pPr>
              <w:pStyle w:val="TableParagraph"/>
              <w:spacing w:line="239" w:lineRule="exact"/>
              <w:ind w:left="251"/>
              <w:rPr>
                <w:sz w:val="22"/>
              </w:rPr>
            </w:pPr>
            <w:r>
              <w:rPr>
                <w:sz w:val="22"/>
              </w:rPr>
              <w:t>1,077</w:t>
            </w:r>
          </w:p>
        </w:tc>
        <w:tc>
          <w:tcPr>
            <w:tcW w:w="1668" w:type="dxa"/>
          </w:tcPr>
          <w:p>
            <w:pPr>
              <w:pStyle w:val="TableParagraph"/>
              <w:spacing w:line="239" w:lineRule="exact"/>
              <w:ind w:left="252"/>
              <w:rPr>
                <w:sz w:val="22"/>
              </w:rPr>
            </w:pPr>
            <w:r>
              <w:rPr>
                <w:sz w:val="22"/>
              </w:rPr>
              <w:t>4.90</w:t>
            </w:r>
          </w:p>
        </w:tc>
      </w:tr>
      <w:tr>
        <w:trPr>
          <w:trHeight w:val="316" w:hRule="atLeast"/>
        </w:trPr>
        <w:tc>
          <w:tcPr>
            <w:tcW w:w="4831" w:type="dxa"/>
          </w:tcPr>
          <w:p>
            <w:pPr>
              <w:pStyle w:val="TableParagraph"/>
              <w:spacing w:line="237" w:lineRule="exact"/>
              <w:ind w:left="827"/>
              <w:rPr>
                <w:sz w:val="22"/>
              </w:rPr>
            </w:pPr>
            <w:r>
              <w:rPr>
                <w:sz w:val="22"/>
              </w:rPr>
              <w:t>20 or more units</w:t>
            </w:r>
          </w:p>
        </w:tc>
        <w:tc>
          <w:tcPr>
            <w:tcW w:w="2023" w:type="dxa"/>
          </w:tcPr>
          <w:p>
            <w:pPr>
              <w:pStyle w:val="TableParagraph"/>
              <w:spacing w:line="237" w:lineRule="exact"/>
              <w:ind w:left="251"/>
              <w:rPr>
                <w:sz w:val="22"/>
              </w:rPr>
            </w:pPr>
            <w:r>
              <w:rPr>
                <w:sz w:val="22"/>
              </w:rPr>
              <w:t>2,112</w:t>
            </w:r>
          </w:p>
        </w:tc>
        <w:tc>
          <w:tcPr>
            <w:tcW w:w="1668" w:type="dxa"/>
          </w:tcPr>
          <w:p>
            <w:pPr>
              <w:pStyle w:val="TableParagraph"/>
              <w:spacing w:line="237" w:lineRule="exact"/>
              <w:ind w:left="252"/>
              <w:rPr>
                <w:sz w:val="22"/>
              </w:rPr>
            </w:pPr>
            <w:r>
              <w:rPr>
                <w:sz w:val="22"/>
              </w:rPr>
              <w:t>9.50</w:t>
            </w:r>
          </w:p>
        </w:tc>
      </w:tr>
      <w:tr>
        <w:trPr>
          <w:trHeight w:val="318" w:hRule="atLeast"/>
        </w:trPr>
        <w:tc>
          <w:tcPr>
            <w:tcW w:w="4831" w:type="dxa"/>
          </w:tcPr>
          <w:p>
            <w:pPr>
              <w:pStyle w:val="TableParagraph"/>
              <w:spacing w:line="239" w:lineRule="exact"/>
              <w:ind w:left="827"/>
              <w:rPr>
                <w:sz w:val="22"/>
              </w:rPr>
            </w:pPr>
            <w:r>
              <w:rPr>
                <w:sz w:val="22"/>
              </w:rPr>
              <w:t>Mobile home</w:t>
            </w:r>
          </w:p>
        </w:tc>
        <w:tc>
          <w:tcPr>
            <w:tcW w:w="2023" w:type="dxa"/>
          </w:tcPr>
          <w:p>
            <w:pPr>
              <w:pStyle w:val="TableParagraph"/>
              <w:spacing w:line="239" w:lineRule="exact"/>
              <w:ind w:left="395"/>
              <w:rPr>
                <w:sz w:val="22"/>
              </w:rPr>
            </w:pPr>
            <w:r>
              <w:rPr>
                <w:sz w:val="22"/>
              </w:rPr>
              <w:t>786</w:t>
            </w:r>
          </w:p>
        </w:tc>
        <w:tc>
          <w:tcPr>
            <w:tcW w:w="1668" w:type="dxa"/>
          </w:tcPr>
          <w:p>
            <w:pPr>
              <w:pStyle w:val="TableParagraph"/>
              <w:spacing w:line="239" w:lineRule="exact"/>
              <w:ind w:left="252"/>
              <w:rPr>
                <w:sz w:val="22"/>
              </w:rPr>
            </w:pPr>
            <w:r>
              <w:rPr>
                <w:sz w:val="22"/>
              </w:rPr>
              <w:t>3.60</w:t>
            </w:r>
          </w:p>
        </w:tc>
      </w:tr>
      <w:tr>
        <w:trPr>
          <w:trHeight w:val="316" w:hRule="atLeast"/>
        </w:trPr>
        <w:tc>
          <w:tcPr>
            <w:tcW w:w="4831" w:type="dxa"/>
          </w:tcPr>
          <w:p>
            <w:pPr>
              <w:pStyle w:val="TableParagraph"/>
              <w:spacing w:line="237" w:lineRule="exact"/>
              <w:ind w:left="827"/>
              <w:rPr>
                <w:sz w:val="22"/>
              </w:rPr>
            </w:pPr>
            <w:r>
              <w:rPr>
                <w:sz w:val="22"/>
              </w:rPr>
              <w:t>Boat, RV, van, etc.</w:t>
            </w:r>
          </w:p>
        </w:tc>
        <w:tc>
          <w:tcPr>
            <w:tcW w:w="2023" w:type="dxa"/>
          </w:tcPr>
          <w:p>
            <w:pPr>
              <w:pStyle w:val="TableParagraph"/>
              <w:spacing w:line="237" w:lineRule="exact"/>
              <w:ind w:left="494"/>
              <w:rPr>
                <w:sz w:val="22"/>
              </w:rPr>
            </w:pPr>
            <w:r>
              <w:rPr>
                <w:sz w:val="22"/>
              </w:rPr>
              <w:t>35</w:t>
            </w:r>
          </w:p>
        </w:tc>
        <w:tc>
          <w:tcPr>
            <w:tcW w:w="1668" w:type="dxa"/>
          </w:tcPr>
          <w:p>
            <w:pPr>
              <w:pStyle w:val="TableParagraph"/>
              <w:spacing w:line="237" w:lineRule="exact"/>
              <w:ind w:left="252"/>
              <w:rPr>
                <w:sz w:val="22"/>
              </w:rPr>
            </w:pPr>
            <w:r>
              <w:rPr>
                <w:sz w:val="22"/>
              </w:rPr>
              <w:t>0.20</w:t>
            </w:r>
          </w:p>
        </w:tc>
      </w:tr>
    </w:tbl>
    <w:p>
      <w:pPr>
        <w:spacing w:before="59"/>
        <w:ind w:left="360" w:right="0" w:firstLine="0"/>
        <w:jc w:val="both"/>
        <w:rPr>
          <w:i/>
          <w:sz w:val="20"/>
        </w:rPr>
      </w:pPr>
      <w:r>
        <w:rPr>
          <w:i/>
          <w:sz w:val="20"/>
        </w:rPr>
        <w:t>Source: American Community Survey, 2015</w:t>
      </w:r>
    </w:p>
    <w:p>
      <w:pPr>
        <w:pStyle w:val="BodyText"/>
        <w:spacing w:before="121"/>
        <w:ind w:left="140" w:right="335"/>
        <w:jc w:val="both"/>
      </w:pPr>
      <w:r>
        <w:rPr/>
        <w:t>The US Department of Housing and Urban Development provides the City of Richland with federal Community Development Block Grant (CDBG) and Home Investment Partnership Program (HOME) funds on an annual basis.</w:t>
      </w:r>
    </w:p>
    <w:p>
      <w:pPr>
        <w:spacing w:after="0"/>
        <w:jc w:val="both"/>
        <w:sectPr>
          <w:pgSz w:w="12240" w:h="15840"/>
          <w:pgMar w:header="0" w:footer="1132" w:top="1360" w:bottom="1320" w:left="1300" w:right="1100"/>
        </w:sectPr>
      </w:pPr>
    </w:p>
    <w:p>
      <w:pPr>
        <w:pStyle w:val="BodyText"/>
        <w:spacing w:before="80"/>
        <w:ind w:left="140" w:right="334"/>
        <w:jc w:val="both"/>
      </w:pPr>
      <w:r>
        <w:rPr/>
        <w:t>In 2016, $468,330 of HOME funds was awarded to the Tri Cities HOME Consortium (Cities of Richland, Kennewick, and Pasco). Each year, ten percent of the award is used for administrative purposes, fifteen percent is set aside for a Community Housing Development Organization (CHDO) affordable housing development project, and the balance of the award is divided among the three Cities. The HOME funds were used to provide eligible low- and moderate-income first-time homebuyers</w:t>
      </w:r>
      <w:r>
        <w:rPr>
          <w:spacing w:val="-8"/>
        </w:rPr>
        <w:t> </w:t>
      </w:r>
      <w:r>
        <w:rPr/>
        <w:t>with</w:t>
      </w:r>
      <w:r>
        <w:rPr>
          <w:spacing w:val="-9"/>
        </w:rPr>
        <w:t> </w:t>
      </w:r>
      <w:r>
        <w:rPr/>
        <w:t>the</w:t>
      </w:r>
      <w:r>
        <w:rPr>
          <w:spacing w:val="-8"/>
        </w:rPr>
        <w:t> </w:t>
      </w:r>
      <w:r>
        <w:rPr/>
        <w:t>necessary</w:t>
      </w:r>
      <w:r>
        <w:rPr>
          <w:spacing w:val="-10"/>
        </w:rPr>
        <w:t> </w:t>
      </w:r>
      <w:r>
        <w:rPr/>
        <w:t>funds</w:t>
      </w:r>
      <w:r>
        <w:rPr>
          <w:spacing w:val="-7"/>
        </w:rPr>
        <w:t> </w:t>
      </w:r>
      <w:r>
        <w:rPr/>
        <w:t>to</w:t>
      </w:r>
      <w:r>
        <w:rPr>
          <w:spacing w:val="-9"/>
        </w:rPr>
        <w:t> </w:t>
      </w:r>
      <w:r>
        <w:rPr/>
        <w:t>assist</w:t>
      </w:r>
      <w:r>
        <w:rPr>
          <w:spacing w:val="-8"/>
        </w:rPr>
        <w:t> </w:t>
      </w:r>
      <w:r>
        <w:rPr/>
        <w:t>with</w:t>
      </w:r>
      <w:r>
        <w:rPr>
          <w:spacing w:val="-11"/>
        </w:rPr>
        <w:t> </w:t>
      </w:r>
      <w:r>
        <w:rPr/>
        <w:t>down</w:t>
      </w:r>
      <w:r>
        <w:rPr>
          <w:spacing w:val="-9"/>
        </w:rPr>
        <w:t> </w:t>
      </w:r>
      <w:r>
        <w:rPr/>
        <w:t>payment</w:t>
      </w:r>
      <w:r>
        <w:rPr>
          <w:spacing w:val="-9"/>
        </w:rPr>
        <w:t> </w:t>
      </w:r>
      <w:r>
        <w:rPr/>
        <w:t>and</w:t>
      </w:r>
      <w:r>
        <w:rPr>
          <w:spacing w:val="-8"/>
        </w:rPr>
        <w:t> </w:t>
      </w:r>
      <w:r>
        <w:rPr/>
        <w:t>closing</w:t>
      </w:r>
      <w:r>
        <w:rPr>
          <w:spacing w:val="-8"/>
        </w:rPr>
        <w:t> </w:t>
      </w:r>
      <w:r>
        <w:rPr/>
        <w:t>costs,</w:t>
      </w:r>
      <w:r>
        <w:rPr>
          <w:spacing w:val="-8"/>
        </w:rPr>
        <w:t> </w:t>
      </w:r>
      <w:r>
        <w:rPr/>
        <w:t>making</w:t>
      </w:r>
      <w:r>
        <w:rPr>
          <w:spacing w:val="-10"/>
        </w:rPr>
        <w:t> </w:t>
      </w:r>
      <w:r>
        <w:rPr/>
        <w:t>it</w:t>
      </w:r>
      <w:r>
        <w:rPr>
          <w:spacing w:val="-8"/>
        </w:rPr>
        <w:t> </w:t>
      </w:r>
      <w:r>
        <w:rPr/>
        <w:t>more affordable to purchase their first home in Richland. In 2016, the City provided approximately $ 163,581 in funding to assist sixteen borrowers with the purchase of their first</w:t>
      </w:r>
      <w:r>
        <w:rPr>
          <w:spacing w:val="-23"/>
        </w:rPr>
        <w:t> </w:t>
      </w:r>
      <w:r>
        <w:rPr/>
        <w:t>home.</w:t>
      </w:r>
    </w:p>
    <w:p>
      <w:pPr>
        <w:pStyle w:val="BodyText"/>
        <w:spacing w:before="120"/>
        <w:ind w:left="139" w:right="335"/>
        <w:jc w:val="both"/>
      </w:pPr>
      <w:r>
        <w:rPr/>
        <w:t>A</w:t>
      </w:r>
      <w:r>
        <w:rPr>
          <w:spacing w:val="-12"/>
        </w:rPr>
        <w:t> </w:t>
      </w:r>
      <w:r>
        <w:rPr/>
        <w:t>portion</w:t>
      </w:r>
      <w:r>
        <w:rPr>
          <w:spacing w:val="-12"/>
        </w:rPr>
        <w:t> </w:t>
      </w:r>
      <w:r>
        <w:rPr/>
        <w:t>of</w:t>
      </w:r>
      <w:r>
        <w:rPr>
          <w:spacing w:val="-10"/>
        </w:rPr>
        <w:t> </w:t>
      </w:r>
      <w:r>
        <w:rPr/>
        <w:t>CDBG</w:t>
      </w:r>
      <w:r>
        <w:rPr>
          <w:spacing w:val="-12"/>
        </w:rPr>
        <w:t> </w:t>
      </w:r>
      <w:r>
        <w:rPr/>
        <w:t>funds</w:t>
      </w:r>
      <w:r>
        <w:rPr>
          <w:spacing w:val="-9"/>
        </w:rPr>
        <w:t> </w:t>
      </w:r>
      <w:r>
        <w:rPr/>
        <w:t>are</w:t>
      </w:r>
      <w:r>
        <w:rPr>
          <w:spacing w:val="-11"/>
        </w:rPr>
        <w:t> </w:t>
      </w:r>
      <w:r>
        <w:rPr/>
        <w:t>made</w:t>
      </w:r>
      <w:r>
        <w:rPr>
          <w:spacing w:val="-11"/>
        </w:rPr>
        <w:t> </w:t>
      </w:r>
      <w:r>
        <w:rPr/>
        <w:t>available</w:t>
      </w:r>
      <w:r>
        <w:rPr>
          <w:spacing w:val="-11"/>
        </w:rPr>
        <w:t> </w:t>
      </w:r>
      <w:r>
        <w:rPr/>
        <w:t>each</w:t>
      </w:r>
      <w:r>
        <w:rPr>
          <w:spacing w:val="-11"/>
        </w:rPr>
        <w:t> </w:t>
      </w:r>
      <w:r>
        <w:rPr/>
        <w:t>year</w:t>
      </w:r>
      <w:r>
        <w:rPr>
          <w:spacing w:val="-11"/>
        </w:rPr>
        <w:t> </w:t>
      </w:r>
      <w:r>
        <w:rPr/>
        <w:t>through</w:t>
      </w:r>
      <w:r>
        <w:rPr>
          <w:spacing w:val="-11"/>
        </w:rPr>
        <w:t> </w:t>
      </w:r>
      <w:r>
        <w:rPr/>
        <w:t>the</w:t>
      </w:r>
      <w:r>
        <w:rPr>
          <w:spacing w:val="-10"/>
        </w:rPr>
        <w:t> </w:t>
      </w:r>
      <w:r>
        <w:rPr/>
        <w:t>revolving</w:t>
      </w:r>
      <w:r>
        <w:rPr>
          <w:spacing w:val="-10"/>
        </w:rPr>
        <w:t> </w:t>
      </w:r>
      <w:r>
        <w:rPr/>
        <w:t>loan</w:t>
      </w:r>
      <w:r>
        <w:rPr>
          <w:spacing w:val="-12"/>
        </w:rPr>
        <w:t> </w:t>
      </w:r>
      <w:r>
        <w:rPr/>
        <w:t>fund</w:t>
      </w:r>
      <w:r>
        <w:rPr>
          <w:spacing w:val="-11"/>
        </w:rPr>
        <w:t> </w:t>
      </w:r>
      <w:r>
        <w:rPr/>
        <w:t>to</w:t>
      </w:r>
      <w:r>
        <w:rPr>
          <w:spacing w:val="-11"/>
        </w:rPr>
        <w:t> </w:t>
      </w:r>
      <w:r>
        <w:rPr/>
        <w:t>eligible</w:t>
      </w:r>
      <w:r>
        <w:rPr>
          <w:spacing w:val="-10"/>
        </w:rPr>
        <w:t> </w:t>
      </w:r>
      <w:r>
        <w:rPr/>
        <w:t>low- and moderate-income homeowners to make needed health and safety repairs to the home they own and</w:t>
      </w:r>
      <w:r>
        <w:rPr>
          <w:spacing w:val="-10"/>
        </w:rPr>
        <w:t> </w:t>
      </w:r>
      <w:r>
        <w:rPr/>
        <w:t>are</w:t>
      </w:r>
      <w:r>
        <w:rPr>
          <w:spacing w:val="-9"/>
        </w:rPr>
        <w:t> </w:t>
      </w:r>
      <w:r>
        <w:rPr/>
        <w:t>living</w:t>
      </w:r>
      <w:r>
        <w:rPr>
          <w:spacing w:val="-11"/>
        </w:rPr>
        <w:t> </w:t>
      </w:r>
      <w:r>
        <w:rPr/>
        <w:t>in</w:t>
      </w:r>
      <w:r>
        <w:rPr>
          <w:spacing w:val="-10"/>
        </w:rPr>
        <w:t> </w:t>
      </w:r>
      <w:r>
        <w:rPr/>
        <w:t>through</w:t>
      </w:r>
      <w:r>
        <w:rPr>
          <w:spacing w:val="-9"/>
        </w:rPr>
        <w:t> </w:t>
      </w:r>
      <w:r>
        <w:rPr/>
        <w:t>the</w:t>
      </w:r>
      <w:r>
        <w:rPr>
          <w:spacing w:val="-10"/>
        </w:rPr>
        <w:t> </w:t>
      </w:r>
      <w:r>
        <w:rPr/>
        <w:t>Owner-Occupied</w:t>
      </w:r>
      <w:r>
        <w:rPr>
          <w:spacing w:val="-9"/>
        </w:rPr>
        <w:t> </w:t>
      </w:r>
      <w:r>
        <w:rPr/>
        <w:t>Rehabilitation</w:t>
      </w:r>
      <w:r>
        <w:rPr>
          <w:spacing w:val="-10"/>
        </w:rPr>
        <w:t> </w:t>
      </w:r>
      <w:r>
        <w:rPr/>
        <w:t>program.</w:t>
      </w:r>
      <w:r>
        <w:rPr>
          <w:spacing w:val="-10"/>
        </w:rPr>
        <w:t> </w:t>
      </w:r>
      <w:r>
        <w:rPr/>
        <w:t>Homeowners</w:t>
      </w:r>
      <w:r>
        <w:rPr>
          <w:spacing w:val="-10"/>
        </w:rPr>
        <w:t> </w:t>
      </w:r>
      <w:r>
        <w:rPr/>
        <w:t>can</w:t>
      </w:r>
      <w:r>
        <w:rPr>
          <w:spacing w:val="-10"/>
        </w:rPr>
        <w:t> </w:t>
      </w:r>
      <w:r>
        <w:rPr/>
        <w:t>apply</w:t>
      </w:r>
      <w:r>
        <w:rPr>
          <w:spacing w:val="-11"/>
        </w:rPr>
        <w:t> </w:t>
      </w:r>
      <w:r>
        <w:rPr/>
        <w:t>for</w:t>
      </w:r>
      <w:r>
        <w:rPr>
          <w:spacing w:val="-9"/>
        </w:rPr>
        <w:t> </w:t>
      </w:r>
      <w:r>
        <w:rPr/>
        <w:t>up to $20,000 to make needed repairs and weatherization improvements to their home. The loan is secured</w:t>
      </w:r>
      <w:r>
        <w:rPr>
          <w:spacing w:val="-10"/>
        </w:rPr>
        <w:t> </w:t>
      </w:r>
      <w:r>
        <w:rPr/>
        <w:t>by</w:t>
      </w:r>
      <w:r>
        <w:rPr>
          <w:spacing w:val="-10"/>
        </w:rPr>
        <w:t> </w:t>
      </w:r>
      <w:r>
        <w:rPr/>
        <w:t>a</w:t>
      </w:r>
      <w:r>
        <w:rPr>
          <w:spacing w:val="-9"/>
        </w:rPr>
        <w:t> </w:t>
      </w:r>
      <w:r>
        <w:rPr/>
        <w:t>lien</w:t>
      </w:r>
      <w:r>
        <w:rPr>
          <w:spacing w:val="-10"/>
        </w:rPr>
        <w:t> </w:t>
      </w:r>
      <w:r>
        <w:rPr/>
        <w:t>on</w:t>
      </w:r>
      <w:r>
        <w:rPr>
          <w:spacing w:val="-11"/>
        </w:rPr>
        <w:t> </w:t>
      </w:r>
      <w:r>
        <w:rPr/>
        <w:t>the</w:t>
      </w:r>
      <w:r>
        <w:rPr>
          <w:spacing w:val="-9"/>
        </w:rPr>
        <w:t> </w:t>
      </w:r>
      <w:r>
        <w:rPr/>
        <w:t>property.</w:t>
      </w:r>
      <w:r>
        <w:rPr>
          <w:spacing w:val="-9"/>
        </w:rPr>
        <w:t> </w:t>
      </w:r>
      <w:r>
        <w:rPr/>
        <w:t>The</w:t>
      </w:r>
      <w:r>
        <w:rPr>
          <w:spacing w:val="-9"/>
        </w:rPr>
        <w:t> </w:t>
      </w:r>
      <w:r>
        <w:rPr/>
        <w:t>loan</w:t>
      </w:r>
      <w:r>
        <w:rPr>
          <w:spacing w:val="-11"/>
        </w:rPr>
        <w:t> </w:t>
      </w:r>
      <w:r>
        <w:rPr/>
        <w:t>is</w:t>
      </w:r>
      <w:r>
        <w:rPr>
          <w:spacing w:val="-8"/>
        </w:rPr>
        <w:t> </w:t>
      </w:r>
      <w:r>
        <w:rPr/>
        <w:t>zero</w:t>
      </w:r>
      <w:r>
        <w:rPr>
          <w:spacing w:val="-9"/>
        </w:rPr>
        <w:t> </w:t>
      </w:r>
      <w:r>
        <w:rPr/>
        <w:t>percent</w:t>
      </w:r>
      <w:r>
        <w:rPr>
          <w:spacing w:val="-9"/>
        </w:rPr>
        <w:t> </w:t>
      </w:r>
      <w:r>
        <w:rPr/>
        <w:t>interest,</w:t>
      </w:r>
      <w:r>
        <w:rPr>
          <w:spacing w:val="-10"/>
        </w:rPr>
        <w:t> </w:t>
      </w:r>
      <w:r>
        <w:rPr/>
        <w:t>non-payment.</w:t>
      </w:r>
      <w:r>
        <w:rPr>
          <w:spacing w:val="-9"/>
        </w:rPr>
        <w:t> </w:t>
      </w:r>
      <w:r>
        <w:rPr/>
        <w:t>The</w:t>
      </w:r>
      <w:r>
        <w:rPr>
          <w:spacing w:val="-9"/>
        </w:rPr>
        <w:t> </w:t>
      </w:r>
      <w:r>
        <w:rPr/>
        <w:t>loan</w:t>
      </w:r>
      <w:r>
        <w:rPr>
          <w:spacing w:val="-10"/>
        </w:rPr>
        <w:t> </w:t>
      </w:r>
      <w:r>
        <w:rPr/>
        <w:t>is</w:t>
      </w:r>
      <w:r>
        <w:rPr>
          <w:spacing w:val="-9"/>
        </w:rPr>
        <w:t> </w:t>
      </w:r>
      <w:r>
        <w:rPr/>
        <w:t>due</w:t>
      </w:r>
      <w:r>
        <w:rPr>
          <w:spacing w:val="-9"/>
        </w:rPr>
        <w:t> </w:t>
      </w:r>
      <w:r>
        <w:rPr/>
        <w:t>and payable when the homeowner refinances, sells, or no longer uses the property as their primary residence.</w:t>
      </w:r>
    </w:p>
    <w:p>
      <w:pPr>
        <w:pStyle w:val="BodyText"/>
        <w:spacing w:before="120"/>
        <w:ind w:left="139" w:right="334"/>
        <w:jc w:val="both"/>
      </w:pPr>
      <w:r>
        <w:rPr/>
        <w:t>Similar to the rest of the state, Richland faces the challenge of homelessness. The total number of homeless population in Benton and Franklin Counties in 2014 was 226 (Benton-Franklin Health District, 2014). The City recognizes the need to address homelessness through various measures, programs and outreach.</w:t>
      </w:r>
    </w:p>
    <w:p>
      <w:pPr>
        <w:pStyle w:val="Heading7"/>
        <w:spacing w:before="199"/>
        <w:ind w:left="140"/>
        <w:jc w:val="both"/>
      </w:pPr>
      <w:bookmarkStart w:name="Section Three" w:id="109"/>
      <w:bookmarkEnd w:id="109"/>
      <w:r>
        <w:rPr/>
      </w:r>
      <w:bookmarkStart w:name="_bookmark50" w:id="110"/>
      <w:bookmarkEnd w:id="110"/>
      <w:r>
        <w:rPr/>
      </w:r>
      <w:r>
        <w:rPr>
          <w:color w:val="4F81BC"/>
        </w:rPr>
        <w:t>SECTION THREE</w:t>
      </w:r>
    </w:p>
    <w:p>
      <w:pPr>
        <w:pStyle w:val="Heading6"/>
        <w:spacing w:before="201"/>
        <w:ind w:left="139"/>
        <w:jc w:val="both"/>
      </w:pPr>
      <w:bookmarkStart w:name="Projected Needs" w:id="111"/>
      <w:bookmarkEnd w:id="111"/>
      <w:r>
        <w:rPr>
          <w:b w:val="0"/>
        </w:rPr>
      </w:r>
      <w:bookmarkStart w:name="_bookmark51" w:id="112"/>
      <w:bookmarkEnd w:id="112"/>
      <w:r>
        <w:rPr>
          <w:b w:val="0"/>
        </w:rPr>
      </w:r>
      <w:r>
        <w:rPr/>
        <w:t>PROJECTED NEEDS</w:t>
      </w:r>
    </w:p>
    <w:p>
      <w:pPr>
        <w:pStyle w:val="BodyText"/>
        <w:spacing w:before="120"/>
        <w:ind w:left="139" w:right="335"/>
        <w:jc w:val="both"/>
      </w:pPr>
      <w:r>
        <w:rPr/>
        <w:t>As</w:t>
      </w:r>
      <w:r>
        <w:rPr>
          <w:spacing w:val="-8"/>
        </w:rPr>
        <w:t> </w:t>
      </w:r>
      <w:r>
        <w:rPr/>
        <w:t>discussed</w:t>
      </w:r>
      <w:r>
        <w:rPr>
          <w:spacing w:val="-9"/>
        </w:rPr>
        <w:t> </w:t>
      </w:r>
      <w:r>
        <w:rPr/>
        <w:t>in</w:t>
      </w:r>
      <w:r>
        <w:rPr>
          <w:spacing w:val="-10"/>
        </w:rPr>
        <w:t> </w:t>
      </w:r>
      <w:r>
        <w:rPr/>
        <w:t>the</w:t>
      </w:r>
      <w:r>
        <w:rPr>
          <w:spacing w:val="-8"/>
        </w:rPr>
        <w:t> </w:t>
      </w:r>
      <w:r>
        <w:rPr/>
        <w:t>Land</w:t>
      </w:r>
      <w:r>
        <w:rPr>
          <w:spacing w:val="-9"/>
        </w:rPr>
        <w:t> </w:t>
      </w:r>
      <w:r>
        <w:rPr/>
        <w:t>Use</w:t>
      </w:r>
      <w:r>
        <w:rPr>
          <w:spacing w:val="-9"/>
        </w:rPr>
        <w:t> </w:t>
      </w:r>
      <w:r>
        <w:rPr/>
        <w:t>Chapter,</w:t>
      </w:r>
      <w:r>
        <w:rPr>
          <w:spacing w:val="-8"/>
        </w:rPr>
        <w:t> </w:t>
      </w:r>
      <w:r>
        <w:rPr/>
        <w:t>Richland’s</w:t>
      </w:r>
      <w:r>
        <w:rPr>
          <w:spacing w:val="-8"/>
        </w:rPr>
        <w:t> </w:t>
      </w:r>
      <w:r>
        <w:rPr/>
        <w:t>population</w:t>
      </w:r>
      <w:r>
        <w:rPr>
          <w:spacing w:val="-10"/>
        </w:rPr>
        <w:t> </w:t>
      </w:r>
      <w:r>
        <w:rPr/>
        <w:t>is</w:t>
      </w:r>
      <w:r>
        <w:rPr>
          <w:spacing w:val="-7"/>
        </w:rPr>
        <w:t> </w:t>
      </w:r>
      <w:r>
        <w:rPr/>
        <w:t>expected</w:t>
      </w:r>
      <w:r>
        <w:rPr>
          <w:spacing w:val="-9"/>
        </w:rPr>
        <w:t> </w:t>
      </w:r>
      <w:r>
        <w:rPr/>
        <w:t>to</w:t>
      </w:r>
      <w:r>
        <w:rPr>
          <w:spacing w:val="-11"/>
        </w:rPr>
        <w:t> </w:t>
      </w:r>
      <w:r>
        <w:rPr/>
        <w:t>grow</w:t>
      </w:r>
      <w:r>
        <w:rPr>
          <w:spacing w:val="-9"/>
        </w:rPr>
        <w:t> </w:t>
      </w:r>
      <w:r>
        <w:rPr/>
        <w:t>from</w:t>
      </w:r>
      <w:r>
        <w:rPr>
          <w:spacing w:val="-8"/>
        </w:rPr>
        <w:t> </w:t>
      </w:r>
      <w:r>
        <w:rPr/>
        <w:t>53,410</w:t>
      </w:r>
      <w:r>
        <w:rPr>
          <w:spacing w:val="-11"/>
        </w:rPr>
        <w:t> </w:t>
      </w:r>
      <w:r>
        <w:rPr/>
        <w:t>in</w:t>
      </w:r>
      <w:r>
        <w:rPr>
          <w:spacing w:val="-9"/>
        </w:rPr>
        <w:t> </w:t>
      </w:r>
      <w:r>
        <w:rPr/>
        <w:t>2016 to</w:t>
      </w:r>
      <w:r>
        <w:rPr>
          <w:spacing w:val="-13"/>
        </w:rPr>
        <w:t> </w:t>
      </w:r>
      <w:r>
        <w:rPr/>
        <w:t>78,431</w:t>
      </w:r>
      <w:r>
        <w:rPr>
          <w:spacing w:val="-13"/>
        </w:rPr>
        <w:t> </w:t>
      </w:r>
      <w:r>
        <w:rPr/>
        <w:t>in</w:t>
      </w:r>
      <w:r>
        <w:rPr>
          <w:spacing w:val="-15"/>
        </w:rPr>
        <w:t> </w:t>
      </w:r>
      <w:r>
        <w:rPr/>
        <w:t>20</w:t>
      </w:r>
      <w:r>
        <w:rPr>
          <w:spacing w:val="-13"/>
        </w:rPr>
        <w:t> </w:t>
      </w:r>
      <w:r>
        <w:rPr/>
        <w:t>years,</w:t>
      </w:r>
      <w:r>
        <w:rPr>
          <w:spacing w:val="-14"/>
        </w:rPr>
        <w:t> </w:t>
      </w:r>
      <w:r>
        <w:rPr/>
        <w:t>adding</w:t>
      </w:r>
      <w:r>
        <w:rPr>
          <w:spacing w:val="-12"/>
        </w:rPr>
        <w:t> </w:t>
      </w:r>
      <w:r>
        <w:rPr/>
        <w:t>23,699</w:t>
      </w:r>
      <w:r>
        <w:rPr>
          <w:spacing w:val="-14"/>
        </w:rPr>
        <w:t> </w:t>
      </w:r>
      <w:r>
        <w:rPr/>
        <w:t>people</w:t>
      </w:r>
      <w:r>
        <w:rPr>
          <w:spacing w:val="-13"/>
        </w:rPr>
        <w:t> </w:t>
      </w:r>
      <w:r>
        <w:rPr/>
        <w:t>in</w:t>
      </w:r>
      <w:r>
        <w:rPr>
          <w:spacing w:val="-14"/>
        </w:rPr>
        <w:t> </w:t>
      </w:r>
      <w:r>
        <w:rPr/>
        <w:t>the</w:t>
      </w:r>
      <w:r>
        <w:rPr>
          <w:spacing w:val="-16"/>
        </w:rPr>
        <w:t> </w:t>
      </w:r>
      <w:r>
        <w:rPr/>
        <w:t>City</w:t>
      </w:r>
      <w:r>
        <w:rPr>
          <w:spacing w:val="-14"/>
        </w:rPr>
        <w:t> </w:t>
      </w:r>
      <w:r>
        <w:rPr/>
        <w:t>and</w:t>
      </w:r>
      <w:r>
        <w:rPr>
          <w:spacing w:val="-14"/>
        </w:rPr>
        <w:t> </w:t>
      </w:r>
      <w:r>
        <w:rPr/>
        <w:t>UGA</w:t>
      </w:r>
      <w:r>
        <w:rPr>
          <w:spacing w:val="-14"/>
        </w:rPr>
        <w:t> </w:t>
      </w:r>
      <w:r>
        <w:rPr/>
        <w:t>by</w:t>
      </w:r>
      <w:r>
        <w:rPr>
          <w:spacing w:val="-15"/>
        </w:rPr>
        <w:t> </w:t>
      </w:r>
      <w:r>
        <w:rPr/>
        <w:t>2037.</w:t>
      </w:r>
      <w:r>
        <w:rPr>
          <w:spacing w:val="-13"/>
        </w:rPr>
        <w:t> </w:t>
      </w:r>
      <w:r>
        <w:rPr/>
        <w:t>Using</w:t>
      </w:r>
      <w:r>
        <w:rPr>
          <w:spacing w:val="-14"/>
        </w:rPr>
        <w:t> </w:t>
      </w:r>
      <w:r>
        <w:rPr/>
        <w:t>the</w:t>
      </w:r>
      <w:r>
        <w:rPr>
          <w:spacing w:val="-14"/>
        </w:rPr>
        <w:t> </w:t>
      </w:r>
      <w:r>
        <w:rPr/>
        <w:t>average</w:t>
      </w:r>
      <w:r>
        <w:rPr>
          <w:spacing w:val="-13"/>
        </w:rPr>
        <w:t> </w:t>
      </w:r>
      <w:r>
        <w:rPr/>
        <w:t>household size</w:t>
      </w:r>
      <w:r>
        <w:rPr>
          <w:spacing w:val="-4"/>
        </w:rPr>
        <w:t> </w:t>
      </w:r>
      <w:r>
        <w:rPr/>
        <w:t>of</w:t>
      </w:r>
      <w:r>
        <w:rPr>
          <w:spacing w:val="-4"/>
        </w:rPr>
        <w:t> </w:t>
      </w:r>
      <w:r>
        <w:rPr/>
        <w:t>2.4</w:t>
      </w:r>
      <w:r>
        <w:rPr>
          <w:spacing w:val="-4"/>
        </w:rPr>
        <w:t> </w:t>
      </w:r>
      <w:r>
        <w:rPr/>
        <w:t>persons</w:t>
      </w:r>
      <w:r>
        <w:rPr>
          <w:spacing w:val="-3"/>
        </w:rPr>
        <w:t> </w:t>
      </w:r>
      <w:r>
        <w:rPr/>
        <w:t>per</w:t>
      </w:r>
      <w:r>
        <w:rPr>
          <w:spacing w:val="-4"/>
        </w:rPr>
        <w:t> </w:t>
      </w:r>
      <w:r>
        <w:rPr/>
        <w:t>unit,</w:t>
      </w:r>
      <w:r>
        <w:rPr>
          <w:spacing w:val="-4"/>
        </w:rPr>
        <w:t> </w:t>
      </w:r>
      <w:r>
        <w:rPr/>
        <w:t>this</w:t>
      </w:r>
      <w:r>
        <w:rPr>
          <w:spacing w:val="-3"/>
        </w:rPr>
        <w:t> </w:t>
      </w:r>
      <w:r>
        <w:rPr/>
        <w:t>additional</w:t>
      </w:r>
      <w:r>
        <w:rPr>
          <w:spacing w:val="-4"/>
        </w:rPr>
        <w:t> </w:t>
      </w:r>
      <w:r>
        <w:rPr/>
        <w:t>population</w:t>
      </w:r>
      <w:r>
        <w:rPr>
          <w:spacing w:val="-5"/>
        </w:rPr>
        <w:t> </w:t>
      </w:r>
      <w:r>
        <w:rPr/>
        <w:t>will</w:t>
      </w:r>
      <w:r>
        <w:rPr>
          <w:spacing w:val="-3"/>
        </w:rPr>
        <w:t> </w:t>
      </w:r>
      <w:r>
        <w:rPr/>
        <w:t>require</w:t>
      </w:r>
      <w:r>
        <w:rPr>
          <w:spacing w:val="-4"/>
        </w:rPr>
        <w:t> </w:t>
      </w:r>
      <w:r>
        <w:rPr/>
        <w:t>9,875</w:t>
      </w:r>
      <w:r>
        <w:rPr>
          <w:spacing w:val="-4"/>
        </w:rPr>
        <w:t> </w:t>
      </w:r>
      <w:r>
        <w:rPr/>
        <w:t>housing</w:t>
      </w:r>
      <w:r>
        <w:rPr>
          <w:spacing w:val="-3"/>
        </w:rPr>
        <w:t> </w:t>
      </w:r>
      <w:r>
        <w:rPr/>
        <w:t>units.</w:t>
      </w:r>
      <w:r>
        <w:rPr>
          <w:spacing w:val="-4"/>
        </w:rPr>
        <w:t> </w:t>
      </w:r>
      <w:r>
        <w:rPr/>
        <w:t>According</w:t>
      </w:r>
      <w:r>
        <w:rPr>
          <w:spacing w:val="-2"/>
        </w:rPr>
        <w:t> </w:t>
      </w:r>
      <w:r>
        <w:rPr/>
        <w:t>to the land use analysis, existing vacant buildable land will provide 9,295 units in a variety of housing types (single-family, multi-family, townhome, condo, etc.). An additional 580 housing units will be required to meet the demand of future</w:t>
      </w:r>
      <w:r>
        <w:rPr>
          <w:spacing w:val="-8"/>
        </w:rPr>
        <w:t> </w:t>
      </w:r>
      <w:r>
        <w:rPr/>
        <w:t>housing.</w:t>
      </w:r>
    </w:p>
    <w:p>
      <w:pPr>
        <w:pStyle w:val="BodyText"/>
        <w:spacing w:before="119"/>
        <w:ind w:left="139" w:right="336"/>
        <w:jc w:val="both"/>
      </w:pPr>
      <w:r>
        <w:rPr/>
        <w:t>Currently, there is a shortage of senior affordable housing in Richland. Based on the discussion with the affordable housing groups for seniors (Shalom Ecumenical Center and Luther Senior Center), over</w:t>
      </w:r>
      <w:r>
        <w:rPr>
          <w:spacing w:val="-14"/>
        </w:rPr>
        <w:t> </w:t>
      </w:r>
      <w:r>
        <w:rPr/>
        <w:t>the</w:t>
      </w:r>
      <w:r>
        <w:rPr>
          <w:spacing w:val="-14"/>
        </w:rPr>
        <w:t> </w:t>
      </w:r>
      <w:r>
        <w:rPr/>
        <w:t>period</w:t>
      </w:r>
      <w:r>
        <w:rPr>
          <w:spacing w:val="-14"/>
        </w:rPr>
        <w:t> </w:t>
      </w:r>
      <w:r>
        <w:rPr/>
        <w:t>of</w:t>
      </w:r>
      <w:r>
        <w:rPr>
          <w:spacing w:val="-13"/>
        </w:rPr>
        <w:t> </w:t>
      </w:r>
      <w:r>
        <w:rPr/>
        <w:t>2010</w:t>
      </w:r>
      <w:r>
        <w:rPr>
          <w:spacing w:val="-14"/>
        </w:rPr>
        <w:t> </w:t>
      </w:r>
      <w:r>
        <w:rPr/>
        <w:t>and</w:t>
      </w:r>
      <w:r>
        <w:rPr>
          <w:spacing w:val="-14"/>
        </w:rPr>
        <w:t> </w:t>
      </w:r>
      <w:r>
        <w:rPr/>
        <w:t>2016,</w:t>
      </w:r>
      <w:r>
        <w:rPr>
          <w:spacing w:val="-13"/>
        </w:rPr>
        <w:t> </w:t>
      </w:r>
      <w:r>
        <w:rPr/>
        <w:t>occupancy</w:t>
      </w:r>
      <w:r>
        <w:rPr>
          <w:spacing w:val="-15"/>
        </w:rPr>
        <w:t> </w:t>
      </w:r>
      <w:r>
        <w:rPr/>
        <w:t>at</w:t>
      </w:r>
      <w:r>
        <w:rPr>
          <w:spacing w:val="-14"/>
        </w:rPr>
        <w:t> </w:t>
      </w:r>
      <w:r>
        <w:rPr/>
        <w:t>the</w:t>
      </w:r>
      <w:r>
        <w:rPr>
          <w:spacing w:val="-15"/>
        </w:rPr>
        <w:t> </w:t>
      </w:r>
      <w:r>
        <w:rPr/>
        <w:t>senior</w:t>
      </w:r>
      <w:r>
        <w:rPr>
          <w:spacing w:val="-14"/>
        </w:rPr>
        <w:t> </w:t>
      </w:r>
      <w:r>
        <w:rPr/>
        <w:t>housing</w:t>
      </w:r>
      <w:r>
        <w:rPr>
          <w:spacing w:val="-13"/>
        </w:rPr>
        <w:t> </w:t>
      </w:r>
      <w:r>
        <w:rPr/>
        <w:t>communities</w:t>
      </w:r>
      <w:r>
        <w:rPr>
          <w:spacing w:val="-12"/>
        </w:rPr>
        <w:t> </w:t>
      </w:r>
      <w:r>
        <w:rPr/>
        <w:t>averaged</w:t>
      </w:r>
      <w:r>
        <w:rPr>
          <w:spacing w:val="-14"/>
        </w:rPr>
        <w:t> </w:t>
      </w:r>
      <w:r>
        <w:rPr/>
        <w:t>98%.</w:t>
      </w:r>
      <w:r>
        <w:rPr>
          <w:spacing w:val="-14"/>
        </w:rPr>
        <w:t> </w:t>
      </w:r>
      <w:r>
        <w:rPr/>
        <w:t>Some</w:t>
      </w:r>
      <w:bookmarkStart w:name="Recommendations" w:id="113"/>
      <w:bookmarkEnd w:id="113"/>
      <w:r>
        <w:rPr/>
      </w:r>
      <w:r>
        <w:rPr/>
        <w:t> senior rental housing communities also have a long waiting</w:t>
      </w:r>
      <w:r>
        <w:rPr>
          <w:spacing w:val="-9"/>
        </w:rPr>
        <w:t> </w:t>
      </w:r>
      <w:r>
        <w:rPr/>
        <w:t>list.</w:t>
      </w:r>
    </w:p>
    <w:p>
      <w:pPr>
        <w:spacing w:before="202"/>
        <w:ind w:left="140" w:right="0" w:firstLine="0"/>
        <w:jc w:val="left"/>
        <w:rPr>
          <w:b/>
          <w:sz w:val="24"/>
        </w:rPr>
      </w:pPr>
      <w:r>
        <w:rPr>
          <w:b/>
          <w:sz w:val="24"/>
        </w:rPr>
        <w:t>RECOMMENDATIONS</w:t>
      </w:r>
    </w:p>
    <w:p>
      <w:pPr>
        <w:pStyle w:val="BodyText"/>
        <w:spacing w:before="119"/>
        <w:ind w:left="139" w:right="335"/>
        <w:jc w:val="both"/>
      </w:pPr>
      <w:r>
        <w:rPr/>
        <w:t>This demand of additional housing will be met by developments in the existing planned areas, infill developments,</w:t>
      </w:r>
      <w:r>
        <w:rPr>
          <w:spacing w:val="-9"/>
        </w:rPr>
        <w:t> </w:t>
      </w:r>
      <w:r>
        <w:rPr/>
        <w:t>and</w:t>
      </w:r>
      <w:r>
        <w:rPr>
          <w:spacing w:val="-9"/>
        </w:rPr>
        <w:t> </w:t>
      </w:r>
      <w:r>
        <w:rPr/>
        <w:t>by</w:t>
      </w:r>
      <w:r>
        <w:rPr>
          <w:spacing w:val="-10"/>
        </w:rPr>
        <w:t> </w:t>
      </w:r>
      <w:r>
        <w:rPr/>
        <w:t>re-designating</w:t>
      </w:r>
      <w:r>
        <w:rPr>
          <w:spacing w:val="-8"/>
        </w:rPr>
        <w:t> </w:t>
      </w:r>
      <w:r>
        <w:rPr/>
        <w:t>two</w:t>
      </w:r>
      <w:r>
        <w:rPr>
          <w:spacing w:val="-9"/>
        </w:rPr>
        <w:t> </w:t>
      </w:r>
      <w:r>
        <w:rPr/>
        <w:t>underutilized</w:t>
      </w:r>
      <w:r>
        <w:rPr>
          <w:spacing w:val="-9"/>
        </w:rPr>
        <w:t> </w:t>
      </w:r>
      <w:r>
        <w:rPr/>
        <w:t>areas</w:t>
      </w:r>
      <w:r>
        <w:rPr>
          <w:spacing w:val="-8"/>
        </w:rPr>
        <w:t> </w:t>
      </w:r>
      <w:r>
        <w:rPr/>
        <w:t>currently</w:t>
      </w:r>
      <w:r>
        <w:rPr>
          <w:spacing w:val="-10"/>
        </w:rPr>
        <w:t> </w:t>
      </w:r>
      <w:r>
        <w:rPr/>
        <w:t>designated</w:t>
      </w:r>
      <w:r>
        <w:rPr>
          <w:spacing w:val="-9"/>
        </w:rPr>
        <w:t> </w:t>
      </w:r>
      <w:r>
        <w:rPr/>
        <w:t>Urban</w:t>
      </w:r>
      <w:r>
        <w:rPr>
          <w:spacing w:val="-10"/>
        </w:rPr>
        <w:t> </w:t>
      </w:r>
      <w:r>
        <w:rPr/>
        <w:t>Reserve</w:t>
      </w:r>
      <w:r>
        <w:rPr>
          <w:spacing w:val="-9"/>
        </w:rPr>
        <w:t> </w:t>
      </w:r>
      <w:r>
        <w:rPr/>
        <w:t>to a mix of residential, commercial, and public facilities land use. One area is located on the west side near the City View area, and the other area is located on the north side near the Horn Rapids development. Details of the land uses are discussed in the Land Use Chapter of this</w:t>
      </w:r>
      <w:r>
        <w:rPr>
          <w:spacing w:val="-21"/>
        </w:rPr>
        <w:t> </w:t>
      </w:r>
      <w:r>
        <w:rPr/>
        <w:t>Plan.</w:t>
      </w:r>
    </w:p>
    <w:p>
      <w:pPr>
        <w:pStyle w:val="BodyText"/>
        <w:spacing w:before="119"/>
        <w:ind w:left="140" w:right="332" w:hanging="1"/>
        <w:jc w:val="both"/>
      </w:pPr>
      <w:r>
        <w:rPr/>
        <w:t>The City’s current housing assistance programs - CDBG and HOME - will continue to assist homeownership for Richland citizens.</w:t>
      </w:r>
    </w:p>
    <w:p>
      <w:pPr>
        <w:spacing w:after="0"/>
        <w:jc w:val="both"/>
        <w:sectPr>
          <w:pgSz w:w="12240" w:h="15840"/>
          <w:pgMar w:header="0" w:footer="1132" w:top="1360" w:bottom="1320" w:left="1300" w:right="1100"/>
        </w:sectPr>
      </w:pPr>
    </w:p>
    <w:p>
      <w:pPr>
        <w:pStyle w:val="Heading2"/>
      </w:pPr>
      <w:bookmarkStart w:name="Transportation" w:id="114"/>
      <w:bookmarkEnd w:id="114"/>
      <w:r>
        <w:rPr>
          <w:b w:val="0"/>
        </w:rPr>
      </w:r>
      <w:bookmarkStart w:name="Section One" w:id="115"/>
      <w:bookmarkEnd w:id="115"/>
      <w:r>
        <w:rPr>
          <w:b w:val="0"/>
        </w:rPr>
      </w:r>
      <w:bookmarkStart w:name="_bookmark52" w:id="116"/>
      <w:bookmarkEnd w:id="116"/>
      <w:r>
        <w:rPr>
          <w:b w:val="0"/>
        </w:rPr>
      </w:r>
      <w:bookmarkStart w:name="_bookmark53" w:id="117"/>
      <w:bookmarkEnd w:id="117"/>
      <w:r>
        <w:rPr>
          <w:b w:val="0"/>
        </w:rPr>
      </w:r>
      <w:r>
        <w:rPr/>
        <w:t>TRANSPORTATION</w:t>
      </w:r>
    </w:p>
    <w:p>
      <w:pPr>
        <w:pStyle w:val="Heading7"/>
        <w:spacing w:before="199"/>
        <w:ind w:left="140"/>
      </w:pPr>
      <w:r>
        <w:rPr>
          <w:color w:val="4F81BC"/>
        </w:rPr>
        <w:t>SECTION ONE</w:t>
      </w:r>
    </w:p>
    <w:p>
      <w:pPr>
        <w:pStyle w:val="Heading6"/>
        <w:spacing w:before="201"/>
      </w:pPr>
      <w:bookmarkStart w:name="Introduction" w:id="118"/>
      <w:bookmarkEnd w:id="118"/>
      <w:r>
        <w:rPr>
          <w:b w:val="0"/>
        </w:rPr>
      </w:r>
      <w:bookmarkStart w:name="_bookmark54" w:id="119"/>
      <w:bookmarkEnd w:id="119"/>
      <w:r>
        <w:rPr>
          <w:b w:val="0"/>
        </w:rPr>
      </w:r>
      <w:r>
        <w:rPr/>
        <w:t>INTRODUCTION</w:t>
      </w:r>
    </w:p>
    <w:p>
      <w:pPr>
        <w:pStyle w:val="BodyText"/>
        <w:spacing w:before="120"/>
        <w:ind w:left="140" w:right="335"/>
        <w:jc w:val="both"/>
      </w:pPr>
      <w:r>
        <w:rPr/>
        <w:t>Washington’s</w:t>
      </w:r>
      <w:r>
        <w:rPr>
          <w:spacing w:val="-11"/>
        </w:rPr>
        <w:t> </w:t>
      </w:r>
      <w:r>
        <w:rPr/>
        <w:t>1990</w:t>
      </w:r>
      <w:r>
        <w:rPr>
          <w:spacing w:val="-9"/>
        </w:rPr>
        <w:t> </w:t>
      </w:r>
      <w:r>
        <w:rPr/>
        <w:t>GMA</w:t>
      </w:r>
      <w:r>
        <w:rPr>
          <w:spacing w:val="-11"/>
        </w:rPr>
        <w:t> </w:t>
      </w:r>
      <w:r>
        <w:rPr/>
        <w:t>requires</w:t>
      </w:r>
      <w:r>
        <w:rPr>
          <w:spacing w:val="-8"/>
        </w:rPr>
        <w:t> </w:t>
      </w:r>
      <w:r>
        <w:rPr/>
        <w:t>rapidly</w:t>
      </w:r>
      <w:r>
        <w:rPr>
          <w:spacing w:val="-13"/>
        </w:rPr>
        <w:t> </w:t>
      </w:r>
      <w:r>
        <w:rPr/>
        <w:t>growing</w:t>
      </w:r>
      <w:r>
        <w:rPr>
          <w:spacing w:val="-11"/>
        </w:rPr>
        <w:t> </w:t>
      </w:r>
      <w:r>
        <w:rPr/>
        <w:t>cities</w:t>
      </w:r>
      <w:r>
        <w:rPr>
          <w:spacing w:val="-10"/>
        </w:rPr>
        <w:t> </w:t>
      </w:r>
      <w:r>
        <w:rPr/>
        <w:t>and</w:t>
      </w:r>
      <w:r>
        <w:rPr>
          <w:spacing w:val="-9"/>
        </w:rPr>
        <w:t> </w:t>
      </w:r>
      <w:r>
        <w:rPr/>
        <w:t>counties</w:t>
      </w:r>
      <w:r>
        <w:rPr>
          <w:spacing w:val="-11"/>
        </w:rPr>
        <w:t> </w:t>
      </w:r>
      <w:r>
        <w:rPr/>
        <w:t>in</w:t>
      </w:r>
      <w:r>
        <w:rPr>
          <w:spacing w:val="-10"/>
        </w:rPr>
        <w:t> </w:t>
      </w:r>
      <w:r>
        <w:rPr/>
        <w:t>Washington</w:t>
      </w:r>
      <w:r>
        <w:rPr>
          <w:spacing w:val="-10"/>
        </w:rPr>
        <w:t> </w:t>
      </w:r>
      <w:r>
        <w:rPr/>
        <w:t>State</w:t>
      </w:r>
      <w:r>
        <w:rPr>
          <w:spacing w:val="-10"/>
        </w:rPr>
        <w:t> </w:t>
      </w:r>
      <w:r>
        <w:rPr/>
        <w:t>to</w:t>
      </w:r>
      <w:r>
        <w:rPr>
          <w:spacing w:val="-9"/>
        </w:rPr>
        <w:t> </w:t>
      </w:r>
      <w:r>
        <w:rPr/>
        <w:t>develop comprehensive plans that describe and plan for their future development. These plans must discuss facilities, functions, and financing for specific elements of the community. The specific goal of the GMA</w:t>
      </w:r>
      <w:r>
        <w:rPr>
          <w:spacing w:val="-16"/>
        </w:rPr>
        <w:t> </w:t>
      </w:r>
      <w:r>
        <w:rPr/>
        <w:t>with</w:t>
      </w:r>
      <w:r>
        <w:rPr>
          <w:spacing w:val="-14"/>
        </w:rPr>
        <w:t> </w:t>
      </w:r>
      <w:r>
        <w:rPr/>
        <w:t>regard</w:t>
      </w:r>
      <w:r>
        <w:rPr>
          <w:spacing w:val="-15"/>
        </w:rPr>
        <w:t> </w:t>
      </w:r>
      <w:r>
        <w:rPr/>
        <w:t>to</w:t>
      </w:r>
      <w:r>
        <w:rPr>
          <w:spacing w:val="-14"/>
        </w:rPr>
        <w:t> </w:t>
      </w:r>
      <w:r>
        <w:rPr/>
        <w:t>transportation</w:t>
      </w:r>
      <w:r>
        <w:rPr>
          <w:spacing w:val="-18"/>
        </w:rPr>
        <w:t> </w:t>
      </w:r>
      <w:r>
        <w:rPr/>
        <w:t>is</w:t>
      </w:r>
      <w:r>
        <w:rPr>
          <w:spacing w:val="-14"/>
        </w:rPr>
        <w:t> </w:t>
      </w:r>
      <w:r>
        <w:rPr/>
        <w:t>to</w:t>
      </w:r>
      <w:r>
        <w:rPr>
          <w:spacing w:val="-14"/>
        </w:rPr>
        <w:t> </w:t>
      </w:r>
      <w:r>
        <w:rPr/>
        <w:t>“encourage</w:t>
      </w:r>
      <w:r>
        <w:rPr>
          <w:spacing w:val="-15"/>
        </w:rPr>
        <w:t> </w:t>
      </w:r>
      <w:r>
        <w:rPr/>
        <w:t>efficient</w:t>
      </w:r>
      <w:r>
        <w:rPr>
          <w:spacing w:val="-18"/>
        </w:rPr>
        <w:t> </w:t>
      </w:r>
      <w:r>
        <w:rPr/>
        <w:t>multi-modal</w:t>
      </w:r>
      <w:r>
        <w:rPr>
          <w:spacing w:val="-14"/>
        </w:rPr>
        <w:t> </w:t>
      </w:r>
      <w:r>
        <w:rPr/>
        <w:t>transportation</w:t>
      </w:r>
      <w:r>
        <w:rPr>
          <w:spacing w:val="-16"/>
        </w:rPr>
        <w:t> </w:t>
      </w:r>
      <w:r>
        <w:rPr/>
        <w:t>systems</w:t>
      </w:r>
      <w:r>
        <w:rPr>
          <w:spacing w:val="-14"/>
        </w:rPr>
        <w:t> </w:t>
      </w:r>
      <w:r>
        <w:rPr/>
        <w:t>that are based on regional priorities and coordinated with county and city comprehensive plans.” The GMA also requires that local comprehensive plans, including the land use and transportation elements, be consistent and coordinated with required regional</w:t>
      </w:r>
      <w:r>
        <w:rPr>
          <w:spacing w:val="-11"/>
        </w:rPr>
        <w:t> </w:t>
      </w:r>
      <w:r>
        <w:rPr/>
        <w:t>programs.</w:t>
      </w:r>
    </w:p>
    <w:p>
      <w:pPr>
        <w:pStyle w:val="BodyText"/>
        <w:spacing w:before="120"/>
        <w:ind w:left="140" w:right="333"/>
        <w:jc w:val="both"/>
      </w:pPr>
      <w:r>
        <w:rPr/>
        <w:t>The ability to move goods and people is essential for a healthy community, and the Transportation Element of Richland’s comprehensive plan describes how it is done now and will be done in the future.</w:t>
      </w:r>
      <w:r>
        <w:rPr>
          <w:spacing w:val="-14"/>
        </w:rPr>
        <w:t> </w:t>
      </w:r>
      <w:r>
        <w:rPr/>
        <w:t>To</w:t>
      </w:r>
      <w:r>
        <w:rPr>
          <w:spacing w:val="-16"/>
        </w:rPr>
        <w:t> </w:t>
      </w:r>
      <w:r>
        <w:rPr/>
        <w:t>meet</w:t>
      </w:r>
      <w:r>
        <w:rPr>
          <w:spacing w:val="-14"/>
        </w:rPr>
        <w:t> </w:t>
      </w:r>
      <w:r>
        <w:rPr/>
        <w:t>GMA</w:t>
      </w:r>
      <w:r>
        <w:rPr>
          <w:spacing w:val="-15"/>
        </w:rPr>
        <w:t> </w:t>
      </w:r>
      <w:r>
        <w:rPr/>
        <w:t>requirements,</w:t>
      </w:r>
      <w:r>
        <w:rPr>
          <w:spacing w:val="-14"/>
        </w:rPr>
        <w:t> </w:t>
      </w:r>
      <w:r>
        <w:rPr/>
        <w:t>the</w:t>
      </w:r>
      <w:r>
        <w:rPr>
          <w:spacing w:val="-16"/>
        </w:rPr>
        <w:t> </w:t>
      </w:r>
      <w:r>
        <w:rPr/>
        <w:t>Transportation</w:t>
      </w:r>
      <w:r>
        <w:rPr>
          <w:spacing w:val="-15"/>
        </w:rPr>
        <w:t> </w:t>
      </w:r>
      <w:r>
        <w:rPr/>
        <w:t>Element</w:t>
      </w:r>
      <w:r>
        <w:rPr>
          <w:spacing w:val="-14"/>
        </w:rPr>
        <w:t> </w:t>
      </w:r>
      <w:r>
        <w:rPr/>
        <w:t>must</w:t>
      </w:r>
      <w:r>
        <w:rPr>
          <w:spacing w:val="-14"/>
        </w:rPr>
        <w:t> </w:t>
      </w:r>
      <w:r>
        <w:rPr/>
        <w:t>identify</w:t>
      </w:r>
      <w:r>
        <w:rPr>
          <w:spacing w:val="-15"/>
        </w:rPr>
        <w:t> </w:t>
      </w:r>
      <w:r>
        <w:rPr/>
        <w:t>existing</w:t>
      </w:r>
      <w:r>
        <w:rPr>
          <w:spacing w:val="-13"/>
        </w:rPr>
        <w:t> </w:t>
      </w:r>
      <w:r>
        <w:rPr/>
        <w:t>transportation system</w:t>
      </w:r>
      <w:r>
        <w:rPr>
          <w:spacing w:val="-15"/>
        </w:rPr>
        <w:t> </w:t>
      </w:r>
      <w:r>
        <w:rPr/>
        <w:t>characteristics,</w:t>
      </w:r>
      <w:r>
        <w:rPr>
          <w:spacing w:val="-12"/>
        </w:rPr>
        <w:t> </w:t>
      </w:r>
      <w:r>
        <w:rPr/>
        <w:t>establish</w:t>
      </w:r>
      <w:r>
        <w:rPr>
          <w:spacing w:val="-12"/>
        </w:rPr>
        <w:t> </w:t>
      </w:r>
      <w:r>
        <w:rPr/>
        <w:t>standards</w:t>
      </w:r>
      <w:r>
        <w:rPr>
          <w:spacing w:val="-12"/>
        </w:rPr>
        <w:t> </w:t>
      </w:r>
      <w:r>
        <w:rPr/>
        <w:t>for</w:t>
      </w:r>
      <w:r>
        <w:rPr>
          <w:spacing w:val="-15"/>
        </w:rPr>
        <w:t> </w:t>
      </w:r>
      <w:r>
        <w:rPr/>
        <w:t>levels</w:t>
      </w:r>
      <w:r>
        <w:rPr>
          <w:spacing w:val="-14"/>
        </w:rPr>
        <w:t> </w:t>
      </w:r>
      <w:r>
        <w:rPr/>
        <w:t>of</w:t>
      </w:r>
      <w:r>
        <w:rPr>
          <w:spacing w:val="-12"/>
        </w:rPr>
        <w:t> </w:t>
      </w:r>
      <w:r>
        <w:rPr/>
        <w:t>service</w:t>
      </w:r>
      <w:r>
        <w:rPr>
          <w:spacing w:val="-14"/>
        </w:rPr>
        <w:t> </w:t>
      </w:r>
      <w:r>
        <w:rPr/>
        <w:t>(LOS),</w:t>
      </w:r>
      <w:r>
        <w:rPr>
          <w:spacing w:val="-13"/>
        </w:rPr>
        <w:t> </w:t>
      </w:r>
      <w:r>
        <w:rPr/>
        <w:t>and</w:t>
      </w:r>
      <w:r>
        <w:rPr>
          <w:spacing w:val="-15"/>
        </w:rPr>
        <w:t> </w:t>
      </w:r>
      <w:r>
        <w:rPr/>
        <w:t>identify</w:t>
      </w:r>
      <w:r>
        <w:rPr>
          <w:spacing w:val="-13"/>
        </w:rPr>
        <w:t> </w:t>
      </w:r>
      <w:r>
        <w:rPr/>
        <w:t>existing</w:t>
      </w:r>
      <w:r>
        <w:rPr>
          <w:spacing w:val="-11"/>
        </w:rPr>
        <w:t> </w:t>
      </w:r>
      <w:r>
        <w:rPr/>
        <w:t>and</w:t>
      </w:r>
      <w:r>
        <w:rPr>
          <w:spacing w:val="-13"/>
        </w:rPr>
        <w:t> </w:t>
      </w:r>
      <w:r>
        <w:rPr/>
        <w:t>future deficiencies based on traffic growth</w:t>
      </w:r>
      <w:r>
        <w:rPr>
          <w:spacing w:val="-8"/>
        </w:rPr>
        <w:t> </w:t>
      </w:r>
      <w:r>
        <w:rPr/>
        <w:t>projections.</w:t>
      </w:r>
    </w:p>
    <w:p>
      <w:pPr>
        <w:pStyle w:val="BodyText"/>
        <w:spacing w:before="119"/>
        <w:ind w:left="140" w:right="334"/>
        <w:jc w:val="both"/>
      </w:pPr>
      <w:r>
        <w:rPr/>
        <w:t>The GMA also requires that a jurisdiction’s transportation plan contain a funding analysis of the capital</w:t>
      </w:r>
      <w:r>
        <w:rPr>
          <w:spacing w:val="-12"/>
        </w:rPr>
        <w:t> </w:t>
      </w:r>
      <w:r>
        <w:rPr/>
        <w:t>transportation</w:t>
      </w:r>
      <w:r>
        <w:rPr>
          <w:spacing w:val="-13"/>
        </w:rPr>
        <w:t> </w:t>
      </w:r>
      <w:r>
        <w:rPr/>
        <w:t>projects</w:t>
      </w:r>
      <w:r>
        <w:rPr>
          <w:spacing w:val="-13"/>
        </w:rPr>
        <w:t> </w:t>
      </w:r>
      <w:r>
        <w:rPr/>
        <w:t>it</w:t>
      </w:r>
      <w:r>
        <w:rPr>
          <w:spacing w:val="-13"/>
        </w:rPr>
        <w:t> </w:t>
      </w:r>
      <w:r>
        <w:rPr/>
        <w:t>recommends.</w:t>
      </w:r>
      <w:r>
        <w:rPr>
          <w:spacing w:val="-14"/>
        </w:rPr>
        <w:t> </w:t>
      </w:r>
      <w:r>
        <w:rPr/>
        <w:t>This</w:t>
      </w:r>
      <w:r>
        <w:rPr>
          <w:spacing w:val="-16"/>
        </w:rPr>
        <w:t> </w:t>
      </w:r>
      <w:r>
        <w:rPr/>
        <w:t>analysis</w:t>
      </w:r>
      <w:r>
        <w:rPr>
          <w:spacing w:val="-13"/>
        </w:rPr>
        <w:t> </w:t>
      </w:r>
      <w:r>
        <w:rPr/>
        <w:t>covers</w:t>
      </w:r>
      <w:r>
        <w:rPr>
          <w:spacing w:val="-14"/>
        </w:rPr>
        <w:t> </w:t>
      </w:r>
      <w:r>
        <w:rPr/>
        <w:t>funding</w:t>
      </w:r>
      <w:r>
        <w:rPr>
          <w:spacing w:val="-11"/>
        </w:rPr>
        <w:t> </w:t>
      </w:r>
      <w:r>
        <w:rPr/>
        <w:t>needs</w:t>
      </w:r>
      <w:r>
        <w:rPr>
          <w:spacing w:val="-13"/>
        </w:rPr>
        <w:t> </w:t>
      </w:r>
      <w:r>
        <w:rPr/>
        <w:t>and</w:t>
      </w:r>
      <w:r>
        <w:rPr>
          <w:spacing w:val="-13"/>
        </w:rPr>
        <w:t> </w:t>
      </w:r>
      <w:r>
        <w:rPr/>
        <w:t>resources,</w:t>
      </w:r>
      <w:r>
        <w:rPr>
          <w:spacing w:val="-14"/>
        </w:rPr>
        <w:t> </w:t>
      </w:r>
      <w:r>
        <w:rPr/>
        <w:t>and includes a multi-year funding plan. The purpose of the analysis is to ensure that each jurisdiction’s</w:t>
      </w:r>
      <w:bookmarkStart w:name="Purpose and Intent" w:id="120"/>
      <w:bookmarkEnd w:id="120"/>
      <w:r>
        <w:rPr/>
      </w:r>
      <w:r>
        <w:rPr/>
        <w:t> transportation plan is affordable and</w:t>
      </w:r>
      <w:r>
        <w:rPr>
          <w:spacing w:val="-7"/>
        </w:rPr>
        <w:t> </w:t>
      </w:r>
      <w:r>
        <w:rPr/>
        <w:t>achievable.</w:t>
      </w:r>
    </w:p>
    <w:p>
      <w:pPr>
        <w:spacing w:before="202"/>
        <w:ind w:left="140" w:right="0" w:firstLine="0"/>
        <w:jc w:val="both"/>
        <w:rPr>
          <w:b/>
          <w:sz w:val="24"/>
        </w:rPr>
      </w:pPr>
      <w:r>
        <w:rPr>
          <w:b/>
          <w:sz w:val="24"/>
        </w:rPr>
        <w:t>PURPOSE AND INTENT</w:t>
      </w:r>
    </w:p>
    <w:p>
      <w:pPr>
        <w:pStyle w:val="BodyText"/>
        <w:spacing w:before="119"/>
        <w:ind w:left="140" w:right="335"/>
        <w:jc w:val="both"/>
      </w:pPr>
      <w:r>
        <w:rPr/>
        <w:t>Over the next 20 years Richland is projected to experience a 28 percent increase in population. This growth will result in an increase in traffic volumes to, from, through, and within the City. Transportation strategies must be developed to maintain or achieve acceptable levels of congestion and roadway condition. This Transportation Element will serve as Richland’s strategy for accommodating anticipated growth. It combines technical and financial analyses of the City’s transportation system using methods that meet GMA requirements.</w:t>
      </w:r>
    </w:p>
    <w:p>
      <w:pPr>
        <w:pStyle w:val="BodyText"/>
        <w:spacing w:before="120"/>
        <w:ind w:left="139" w:right="333"/>
        <w:jc w:val="both"/>
      </w:pPr>
      <w:r>
        <w:rPr/>
        <w:t>The Transportation Element analyzes the current transportation system, identifies what improvements need to be made to serve the City, and determines how the improvements can be financed. Levels of service have been developed to reflect the system’s ability to serve City users, applied</w:t>
      </w:r>
      <w:r>
        <w:rPr>
          <w:spacing w:val="-10"/>
        </w:rPr>
        <w:t> </w:t>
      </w:r>
      <w:r>
        <w:rPr/>
        <w:t>to</w:t>
      </w:r>
      <w:r>
        <w:rPr>
          <w:spacing w:val="-10"/>
        </w:rPr>
        <w:t> </w:t>
      </w:r>
      <w:r>
        <w:rPr/>
        <w:t>the</w:t>
      </w:r>
      <w:r>
        <w:rPr>
          <w:spacing w:val="-12"/>
        </w:rPr>
        <w:t> </w:t>
      </w:r>
      <w:r>
        <w:rPr/>
        <w:t>existing</w:t>
      </w:r>
      <w:r>
        <w:rPr>
          <w:spacing w:val="-9"/>
        </w:rPr>
        <w:t> </w:t>
      </w:r>
      <w:r>
        <w:rPr/>
        <w:t>facilities</w:t>
      </w:r>
      <w:r>
        <w:rPr>
          <w:spacing w:val="-9"/>
        </w:rPr>
        <w:t> </w:t>
      </w:r>
      <w:r>
        <w:rPr/>
        <w:t>to</w:t>
      </w:r>
      <w:r>
        <w:rPr>
          <w:spacing w:val="-12"/>
        </w:rPr>
        <w:t> </w:t>
      </w:r>
      <w:r>
        <w:rPr/>
        <w:t>determine</w:t>
      </w:r>
      <w:r>
        <w:rPr>
          <w:spacing w:val="-9"/>
        </w:rPr>
        <w:t> </w:t>
      </w:r>
      <w:r>
        <w:rPr/>
        <w:t>current</w:t>
      </w:r>
      <w:r>
        <w:rPr>
          <w:spacing w:val="-13"/>
        </w:rPr>
        <w:t> </w:t>
      </w:r>
      <w:r>
        <w:rPr/>
        <w:t>deficiencies,</w:t>
      </w:r>
      <w:r>
        <w:rPr>
          <w:spacing w:val="-10"/>
        </w:rPr>
        <w:t> </w:t>
      </w:r>
      <w:r>
        <w:rPr/>
        <w:t>and</w:t>
      </w:r>
      <w:r>
        <w:rPr>
          <w:spacing w:val="-10"/>
        </w:rPr>
        <w:t> </w:t>
      </w:r>
      <w:r>
        <w:rPr/>
        <w:t>used</w:t>
      </w:r>
      <w:r>
        <w:rPr>
          <w:spacing w:val="-10"/>
        </w:rPr>
        <w:t> </w:t>
      </w:r>
      <w:r>
        <w:rPr/>
        <w:t>to</w:t>
      </w:r>
      <w:r>
        <w:rPr>
          <w:spacing w:val="-12"/>
        </w:rPr>
        <w:t> </w:t>
      </w:r>
      <w:r>
        <w:rPr/>
        <w:t>predict</w:t>
      </w:r>
      <w:r>
        <w:rPr>
          <w:spacing w:val="-9"/>
        </w:rPr>
        <w:t> </w:t>
      </w:r>
      <w:r>
        <w:rPr/>
        <w:t>deficiencies</w:t>
      </w:r>
      <w:r>
        <w:rPr>
          <w:spacing w:val="-9"/>
        </w:rPr>
        <w:t> </w:t>
      </w:r>
      <w:r>
        <w:rPr/>
        <w:t>for the horizon years. Each year the City prepares a 6-year Transportation Improvement Program. In accordance with the GMA, the plan will be updated each year, maintaining the 6-year planning horizon.</w:t>
      </w:r>
    </w:p>
    <w:p>
      <w:pPr>
        <w:pStyle w:val="BodyText"/>
        <w:spacing w:before="120"/>
        <w:ind w:left="139" w:right="333"/>
        <w:jc w:val="both"/>
      </w:pPr>
      <w:r>
        <w:rPr/>
        <w:t>Coordination with other elements of the City’s Comprehensive Plan and the plans of adjacent jurisdictions</w:t>
      </w:r>
      <w:r>
        <w:rPr>
          <w:spacing w:val="-8"/>
        </w:rPr>
        <w:t> </w:t>
      </w:r>
      <w:r>
        <w:rPr/>
        <w:t>is</w:t>
      </w:r>
      <w:r>
        <w:rPr>
          <w:spacing w:val="-10"/>
        </w:rPr>
        <w:t> </w:t>
      </w:r>
      <w:r>
        <w:rPr/>
        <w:t>important</w:t>
      </w:r>
      <w:r>
        <w:rPr>
          <w:spacing w:val="-9"/>
        </w:rPr>
        <w:t> </w:t>
      </w:r>
      <w:r>
        <w:rPr/>
        <w:t>to</w:t>
      </w:r>
      <w:r>
        <w:rPr>
          <w:spacing w:val="-8"/>
        </w:rPr>
        <w:t> </w:t>
      </w:r>
      <w:r>
        <w:rPr/>
        <w:t>the</w:t>
      </w:r>
      <w:r>
        <w:rPr>
          <w:spacing w:val="-9"/>
        </w:rPr>
        <w:t> </w:t>
      </w:r>
      <w:r>
        <w:rPr/>
        <w:t>success</w:t>
      </w:r>
      <w:r>
        <w:rPr>
          <w:spacing w:val="-8"/>
        </w:rPr>
        <w:t> </w:t>
      </w:r>
      <w:r>
        <w:rPr/>
        <w:t>of</w:t>
      </w:r>
      <w:r>
        <w:rPr>
          <w:spacing w:val="-9"/>
        </w:rPr>
        <w:t> </w:t>
      </w:r>
      <w:r>
        <w:rPr/>
        <w:t>this</w:t>
      </w:r>
      <w:r>
        <w:rPr>
          <w:spacing w:val="-7"/>
        </w:rPr>
        <w:t> </w:t>
      </w:r>
      <w:r>
        <w:rPr/>
        <w:t>element.</w:t>
      </w:r>
      <w:r>
        <w:rPr>
          <w:spacing w:val="-9"/>
        </w:rPr>
        <w:t> </w:t>
      </w:r>
      <w:r>
        <w:rPr/>
        <w:t>The</w:t>
      </w:r>
      <w:r>
        <w:rPr>
          <w:spacing w:val="-9"/>
        </w:rPr>
        <w:t> </w:t>
      </w:r>
      <w:r>
        <w:rPr/>
        <w:t>land</w:t>
      </w:r>
      <w:r>
        <w:rPr>
          <w:spacing w:val="-9"/>
        </w:rPr>
        <w:t> </w:t>
      </w:r>
      <w:r>
        <w:rPr/>
        <w:t>use</w:t>
      </w:r>
      <w:r>
        <w:rPr>
          <w:spacing w:val="-8"/>
        </w:rPr>
        <w:t> </w:t>
      </w:r>
      <w:r>
        <w:rPr/>
        <w:t>designations</w:t>
      </w:r>
      <w:r>
        <w:rPr>
          <w:spacing w:val="-8"/>
        </w:rPr>
        <w:t> </w:t>
      </w:r>
      <w:r>
        <w:rPr/>
        <w:t>from</w:t>
      </w:r>
      <w:r>
        <w:rPr>
          <w:spacing w:val="-8"/>
        </w:rPr>
        <w:t> </w:t>
      </w:r>
      <w:r>
        <w:rPr/>
        <w:t>the</w:t>
      </w:r>
      <w:r>
        <w:rPr>
          <w:spacing w:val="-8"/>
        </w:rPr>
        <w:t> </w:t>
      </w:r>
      <w:r>
        <w:rPr/>
        <w:t>Land</w:t>
      </w:r>
      <w:r>
        <w:rPr>
          <w:spacing w:val="-9"/>
        </w:rPr>
        <w:t> </w:t>
      </w:r>
      <w:r>
        <w:rPr/>
        <w:t>Use Element</w:t>
      </w:r>
      <w:r>
        <w:rPr>
          <w:spacing w:val="-8"/>
        </w:rPr>
        <w:t> </w:t>
      </w:r>
      <w:r>
        <w:rPr/>
        <w:t>are</w:t>
      </w:r>
      <w:r>
        <w:rPr>
          <w:spacing w:val="-6"/>
        </w:rPr>
        <w:t> </w:t>
      </w:r>
      <w:r>
        <w:rPr/>
        <w:t>used</w:t>
      </w:r>
      <w:r>
        <w:rPr>
          <w:spacing w:val="-7"/>
        </w:rPr>
        <w:t> </w:t>
      </w:r>
      <w:r>
        <w:rPr/>
        <w:t>to</w:t>
      </w:r>
      <w:r>
        <w:rPr>
          <w:spacing w:val="-6"/>
        </w:rPr>
        <w:t> </w:t>
      </w:r>
      <w:r>
        <w:rPr/>
        <w:t>forecast</w:t>
      </w:r>
      <w:r>
        <w:rPr>
          <w:spacing w:val="-7"/>
        </w:rPr>
        <w:t> </w:t>
      </w:r>
      <w:r>
        <w:rPr/>
        <w:t>traffic,</w:t>
      </w:r>
      <w:r>
        <w:rPr>
          <w:spacing w:val="-8"/>
        </w:rPr>
        <w:t> </w:t>
      </w:r>
      <w:r>
        <w:rPr/>
        <w:t>and</w:t>
      </w:r>
      <w:r>
        <w:rPr>
          <w:spacing w:val="-7"/>
        </w:rPr>
        <w:t> </w:t>
      </w:r>
      <w:r>
        <w:rPr/>
        <w:t>the</w:t>
      </w:r>
      <w:r>
        <w:rPr>
          <w:spacing w:val="-6"/>
        </w:rPr>
        <w:t> </w:t>
      </w:r>
      <w:r>
        <w:rPr/>
        <w:t>City’s</w:t>
      </w:r>
      <w:r>
        <w:rPr>
          <w:spacing w:val="-6"/>
        </w:rPr>
        <w:t> </w:t>
      </w:r>
      <w:r>
        <w:rPr/>
        <w:t>transportation</w:t>
      </w:r>
      <w:r>
        <w:rPr>
          <w:spacing w:val="-8"/>
        </w:rPr>
        <w:t> </w:t>
      </w:r>
      <w:r>
        <w:rPr/>
        <w:t>goals</w:t>
      </w:r>
      <w:r>
        <w:rPr>
          <w:spacing w:val="-7"/>
        </w:rPr>
        <w:t> </w:t>
      </w:r>
      <w:r>
        <w:rPr/>
        <w:t>and</w:t>
      </w:r>
      <w:r>
        <w:rPr>
          <w:spacing w:val="-7"/>
        </w:rPr>
        <w:t> </w:t>
      </w:r>
      <w:r>
        <w:rPr/>
        <w:t>policies</w:t>
      </w:r>
      <w:r>
        <w:rPr>
          <w:spacing w:val="-6"/>
        </w:rPr>
        <w:t> </w:t>
      </w:r>
      <w:r>
        <w:rPr/>
        <w:t>are</w:t>
      </w:r>
      <w:r>
        <w:rPr>
          <w:spacing w:val="-6"/>
        </w:rPr>
        <w:t> </w:t>
      </w:r>
      <w:r>
        <w:rPr/>
        <w:t>used</w:t>
      </w:r>
      <w:r>
        <w:rPr>
          <w:spacing w:val="-7"/>
        </w:rPr>
        <w:t> </w:t>
      </w:r>
      <w:r>
        <w:rPr/>
        <w:t>to</w:t>
      </w:r>
      <w:r>
        <w:rPr>
          <w:spacing w:val="-7"/>
        </w:rPr>
        <w:t> </w:t>
      </w:r>
      <w:r>
        <w:rPr/>
        <w:t>guide project</w:t>
      </w:r>
      <w:r>
        <w:rPr>
          <w:spacing w:val="-9"/>
        </w:rPr>
        <w:t> </w:t>
      </w:r>
      <w:r>
        <w:rPr/>
        <w:t>selection.</w:t>
      </w:r>
      <w:r>
        <w:rPr>
          <w:spacing w:val="-9"/>
        </w:rPr>
        <w:t> </w:t>
      </w:r>
      <w:r>
        <w:rPr/>
        <w:t>The</w:t>
      </w:r>
      <w:r>
        <w:rPr>
          <w:spacing w:val="-9"/>
        </w:rPr>
        <w:t> </w:t>
      </w:r>
      <w:r>
        <w:rPr/>
        <w:t>City</w:t>
      </w:r>
      <w:r>
        <w:rPr>
          <w:spacing w:val="-10"/>
        </w:rPr>
        <w:t> </w:t>
      </w:r>
      <w:r>
        <w:rPr/>
        <w:t>has</w:t>
      </w:r>
      <w:r>
        <w:rPr>
          <w:spacing w:val="-8"/>
        </w:rPr>
        <w:t> </w:t>
      </w:r>
      <w:r>
        <w:rPr/>
        <w:t>shared</w:t>
      </w:r>
      <w:r>
        <w:rPr>
          <w:spacing w:val="-9"/>
        </w:rPr>
        <w:t> </w:t>
      </w:r>
      <w:r>
        <w:rPr/>
        <w:t>information</w:t>
      </w:r>
      <w:r>
        <w:rPr>
          <w:spacing w:val="-10"/>
        </w:rPr>
        <w:t> </w:t>
      </w:r>
      <w:r>
        <w:rPr/>
        <w:t>and</w:t>
      </w:r>
      <w:r>
        <w:rPr>
          <w:spacing w:val="-7"/>
        </w:rPr>
        <w:t> </w:t>
      </w:r>
      <w:r>
        <w:rPr/>
        <w:t>coordinated</w:t>
      </w:r>
      <w:r>
        <w:rPr>
          <w:spacing w:val="-7"/>
        </w:rPr>
        <w:t> </w:t>
      </w:r>
      <w:r>
        <w:rPr/>
        <w:t>with</w:t>
      </w:r>
      <w:r>
        <w:rPr>
          <w:spacing w:val="-6"/>
        </w:rPr>
        <w:t> </w:t>
      </w:r>
      <w:r>
        <w:rPr/>
        <w:t>the</w:t>
      </w:r>
      <w:r>
        <w:rPr>
          <w:spacing w:val="-6"/>
        </w:rPr>
        <w:t> </w:t>
      </w:r>
      <w:r>
        <w:rPr/>
        <w:t>Benton-Franklin</w:t>
      </w:r>
      <w:r>
        <w:rPr>
          <w:spacing w:val="-9"/>
        </w:rPr>
        <w:t> </w:t>
      </w:r>
      <w:r>
        <w:rPr/>
        <w:t>Council of Governments (BFCOG), the Washington State Department of Transportation (WSDOT), and neighboring cities in the preparation of this element. The plan meets the concurrency requirement of the GMA, under which improvements are required to match growth and</w:t>
      </w:r>
      <w:r>
        <w:rPr>
          <w:spacing w:val="-18"/>
        </w:rPr>
        <w:t> </w:t>
      </w:r>
      <w:r>
        <w:rPr/>
        <w:t>development.</w:t>
      </w:r>
    </w:p>
    <w:p>
      <w:pPr>
        <w:pStyle w:val="BodyText"/>
        <w:spacing w:before="119"/>
        <w:ind w:left="139" w:right="335"/>
        <w:jc w:val="both"/>
      </w:pPr>
      <w:r>
        <w:rPr/>
        <w:t>This</w:t>
      </w:r>
      <w:r>
        <w:rPr>
          <w:spacing w:val="-7"/>
        </w:rPr>
        <w:t> </w:t>
      </w:r>
      <w:r>
        <w:rPr/>
        <w:t>element</w:t>
      </w:r>
      <w:r>
        <w:rPr>
          <w:spacing w:val="-7"/>
        </w:rPr>
        <w:t> </w:t>
      </w:r>
      <w:r>
        <w:rPr/>
        <w:t>is</w:t>
      </w:r>
      <w:r>
        <w:rPr>
          <w:spacing w:val="-6"/>
        </w:rPr>
        <w:t> </w:t>
      </w:r>
      <w:r>
        <w:rPr/>
        <w:t>divided</w:t>
      </w:r>
      <w:r>
        <w:rPr>
          <w:spacing w:val="-8"/>
        </w:rPr>
        <w:t> </w:t>
      </w:r>
      <w:r>
        <w:rPr/>
        <w:t>into</w:t>
      </w:r>
      <w:r>
        <w:rPr>
          <w:spacing w:val="-6"/>
        </w:rPr>
        <w:t> </w:t>
      </w:r>
      <w:r>
        <w:rPr/>
        <w:t>the</w:t>
      </w:r>
      <w:r>
        <w:rPr>
          <w:spacing w:val="-6"/>
        </w:rPr>
        <w:t> </w:t>
      </w:r>
      <w:r>
        <w:rPr/>
        <w:t>following</w:t>
      </w:r>
      <w:r>
        <w:rPr>
          <w:spacing w:val="-6"/>
        </w:rPr>
        <w:t> </w:t>
      </w:r>
      <w:r>
        <w:rPr/>
        <w:t>sections:</w:t>
      </w:r>
      <w:r>
        <w:rPr>
          <w:spacing w:val="-7"/>
        </w:rPr>
        <w:t> </w:t>
      </w:r>
      <w:r>
        <w:rPr/>
        <w:t>existing</w:t>
      </w:r>
      <w:r>
        <w:rPr>
          <w:spacing w:val="-5"/>
        </w:rPr>
        <w:t> </w:t>
      </w:r>
      <w:r>
        <w:rPr/>
        <w:t>conditions,</w:t>
      </w:r>
      <w:r>
        <w:rPr>
          <w:spacing w:val="-7"/>
        </w:rPr>
        <w:t> </w:t>
      </w:r>
      <w:r>
        <w:rPr/>
        <w:t>level-of-service</w:t>
      </w:r>
      <w:r>
        <w:rPr>
          <w:spacing w:val="-6"/>
        </w:rPr>
        <w:t> </w:t>
      </w:r>
      <w:r>
        <w:rPr/>
        <w:t>development and analysis, and existing and future deficiencies and recommendations. The roadway</w:t>
      </w:r>
      <w:r>
        <w:rPr>
          <w:spacing w:val="27"/>
        </w:rPr>
        <w:t> </w:t>
      </w:r>
      <w:r>
        <w:rPr/>
        <w:t>system</w:t>
      </w:r>
    </w:p>
    <w:p>
      <w:pPr>
        <w:spacing w:after="0"/>
        <w:jc w:val="both"/>
        <w:sectPr>
          <w:pgSz w:w="12240" w:h="15840"/>
          <w:pgMar w:header="0" w:footer="1132" w:top="1360" w:bottom="1320" w:left="1300" w:right="1100"/>
        </w:sectPr>
      </w:pPr>
    </w:p>
    <w:p>
      <w:pPr>
        <w:pStyle w:val="BodyText"/>
        <w:spacing w:before="80"/>
        <w:ind w:left="140" w:right="334"/>
        <w:jc w:val="both"/>
      </w:pPr>
      <w:r>
        <w:rPr/>
        <w:t>inventory detailed in the Existing Conditions section and land use information from the Land Use Element are used together with a traffic model and the desired level of service to form the basis for the analysis of conditions in 2040. The results of this analysis are reported in the Deficiencies and Recommendations section. In addition to the roadway system, non-motorized transportation</w:t>
      </w:r>
      <w:bookmarkStart w:name="Analysis Methodology" w:id="121"/>
      <w:bookmarkEnd w:id="121"/>
      <w:r>
        <w:rPr/>
      </w:r>
      <w:r>
        <w:rPr/>
        <w:t> systems, air, rail and transit systems are also discussed.</w:t>
      </w:r>
    </w:p>
    <w:p>
      <w:pPr>
        <w:spacing w:before="200"/>
        <w:ind w:left="140" w:right="0" w:firstLine="0"/>
        <w:jc w:val="left"/>
        <w:rPr>
          <w:b/>
          <w:sz w:val="24"/>
        </w:rPr>
      </w:pPr>
      <w:r>
        <w:rPr>
          <w:b/>
          <w:sz w:val="24"/>
        </w:rPr>
        <w:t>ANALYSIS METHODOLOGY</w:t>
      </w:r>
    </w:p>
    <w:p>
      <w:pPr>
        <w:pStyle w:val="BodyText"/>
        <w:spacing w:before="120"/>
        <w:ind w:left="140" w:right="334"/>
        <w:jc w:val="both"/>
      </w:pPr>
      <w:r>
        <w:rPr/>
        <w:t>The</w:t>
      </w:r>
      <w:r>
        <w:rPr>
          <w:spacing w:val="-11"/>
        </w:rPr>
        <w:t> </w:t>
      </w:r>
      <w:r>
        <w:rPr/>
        <w:t>Transportation</w:t>
      </w:r>
      <w:r>
        <w:rPr>
          <w:spacing w:val="-9"/>
        </w:rPr>
        <w:t> </w:t>
      </w:r>
      <w:r>
        <w:rPr/>
        <w:t>Element</w:t>
      </w:r>
      <w:r>
        <w:rPr>
          <w:spacing w:val="-9"/>
        </w:rPr>
        <w:t> </w:t>
      </w:r>
      <w:r>
        <w:rPr/>
        <w:t>of</w:t>
      </w:r>
      <w:r>
        <w:rPr>
          <w:spacing w:val="-8"/>
        </w:rPr>
        <w:t> </w:t>
      </w:r>
      <w:r>
        <w:rPr/>
        <w:t>the</w:t>
      </w:r>
      <w:r>
        <w:rPr>
          <w:spacing w:val="-9"/>
        </w:rPr>
        <w:t> </w:t>
      </w:r>
      <w:r>
        <w:rPr/>
        <w:t>2008</w:t>
      </w:r>
      <w:r>
        <w:rPr>
          <w:spacing w:val="-8"/>
        </w:rPr>
        <w:t> </w:t>
      </w:r>
      <w:r>
        <w:rPr/>
        <w:t>Comprehensive</w:t>
      </w:r>
      <w:r>
        <w:rPr>
          <w:spacing w:val="-8"/>
        </w:rPr>
        <w:t> </w:t>
      </w:r>
      <w:r>
        <w:rPr/>
        <w:t>Plan</w:t>
      </w:r>
      <w:r>
        <w:rPr>
          <w:spacing w:val="-10"/>
        </w:rPr>
        <w:t> </w:t>
      </w:r>
      <w:r>
        <w:rPr/>
        <w:t>was</w:t>
      </w:r>
      <w:r>
        <w:rPr>
          <w:spacing w:val="-7"/>
        </w:rPr>
        <w:t> </w:t>
      </w:r>
      <w:r>
        <w:rPr/>
        <w:t>based</w:t>
      </w:r>
      <w:r>
        <w:rPr>
          <w:spacing w:val="-9"/>
        </w:rPr>
        <w:t> </w:t>
      </w:r>
      <w:r>
        <w:rPr/>
        <w:t>on</w:t>
      </w:r>
      <w:r>
        <w:rPr>
          <w:spacing w:val="-9"/>
        </w:rPr>
        <w:t> </w:t>
      </w:r>
      <w:r>
        <w:rPr/>
        <w:t>the</w:t>
      </w:r>
      <w:r>
        <w:rPr>
          <w:spacing w:val="-9"/>
        </w:rPr>
        <w:t> </w:t>
      </w:r>
      <w:r>
        <w:rPr/>
        <w:t>2005</w:t>
      </w:r>
      <w:r>
        <w:rPr>
          <w:spacing w:val="-10"/>
        </w:rPr>
        <w:t> </w:t>
      </w:r>
      <w:r>
        <w:rPr/>
        <w:t>Transportation Plan</w:t>
      </w:r>
      <w:r>
        <w:rPr>
          <w:spacing w:val="-10"/>
        </w:rPr>
        <w:t> </w:t>
      </w:r>
      <w:r>
        <w:rPr/>
        <w:t>and</w:t>
      </w:r>
      <w:r>
        <w:rPr>
          <w:spacing w:val="-9"/>
        </w:rPr>
        <w:t> </w:t>
      </w:r>
      <w:r>
        <w:rPr/>
        <w:t>the</w:t>
      </w:r>
      <w:r>
        <w:rPr>
          <w:spacing w:val="-8"/>
        </w:rPr>
        <w:t> </w:t>
      </w:r>
      <w:r>
        <w:rPr/>
        <w:t>significant</w:t>
      </w:r>
      <w:r>
        <w:rPr>
          <w:spacing w:val="-9"/>
        </w:rPr>
        <w:t> </w:t>
      </w:r>
      <w:r>
        <w:rPr/>
        <w:t>evaluation</w:t>
      </w:r>
      <w:r>
        <w:rPr>
          <w:spacing w:val="-10"/>
        </w:rPr>
        <w:t> </w:t>
      </w:r>
      <w:r>
        <w:rPr/>
        <w:t>of</w:t>
      </w:r>
      <w:r>
        <w:rPr>
          <w:spacing w:val="-8"/>
        </w:rPr>
        <w:t> </w:t>
      </w:r>
      <w:r>
        <w:rPr/>
        <w:t>the</w:t>
      </w:r>
      <w:r>
        <w:rPr>
          <w:spacing w:val="-9"/>
        </w:rPr>
        <w:t> </w:t>
      </w:r>
      <w:r>
        <w:rPr/>
        <w:t>transportation</w:t>
      </w:r>
      <w:r>
        <w:rPr>
          <w:spacing w:val="-10"/>
        </w:rPr>
        <w:t> </w:t>
      </w:r>
      <w:r>
        <w:rPr/>
        <w:t>system</w:t>
      </w:r>
      <w:r>
        <w:rPr>
          <w:spacing w:val="-8"/>
        </w:rPr>
        <w:t> </w:t>
      </w:r>
      <w:r>
        <w:rPr/>
        <w:t>that</w:t>
      </w:r>
      <w:r>
        <w:rPr>
          <w:spacing w:val="-8"/>
        </w:rPr>
        <w:t> </w:t>
      </w:r>
      <w:r>
        <w:rPr/>
        <w:t>was</w:t>
      </w:r>
      <w:r>
        <w:rPr>
          <w:spacing w:val="-11"/>
        </w:rPr>
        <w:t> </w:t>
      </w:r>
      <w:r>
        <w:rPr/>
        <w:t>completed</w:t>
      </w:r>
      <w:r>
        <w:rPr>
          <w:spacing w:val="-9"/>
        </w:rPr>
        <w:t> </w:t>
      </w:r>
      <w:r>
        <w:rPr/>
        <w:t>at</w:t>
      </w:r>
      <w:r>
        <w:rPr>
          <w:spacing w:val="-8"/>
        </w:rPr>
        <w:t> </w:t>
      </w:r>
      <w:r>
        <w:rPr/>
        <w:t>that</w:t>
      </w:r>
      <w:r>
        <w:rPr>
          <w:spacing w:val="-9"/>
        </w:rPr>
        <w:t> </w:t>
      </w:r>
      <w:r>
        <w:rPr/>
        <w:t>time.</w:t>
      </w:r>
      <w:r>
        <w:rPr>
          <w:spacing w:val="32"/>
        </w:rPr>
        <w:t> </w:t>
      </w:r>
      <w:r>
        <w:rPr/>
        <w:t>The City</w:t>
      </w:r>
      <w:r>
        <w:rPr>
          <w:spacing w:val="-12"/>
        </w:rPr>
        <w:t> </w:t>
      </w:r>
      <w:r>
        <w:rPr/>
        <w:t>of</w:t>
      </w:r>
      <w:r>
        <w:rPr>
          <w:spacing w:val="-10"/>
        </w:rPr>
        <w:t> </w:t>
      </w:r>
      <w:r>
        <w:rPr/>
        <w:t>Richland</w:t>
      </w:r>
      <w:r>
        <w:rPr>
          <w:spacing w:val="-11"/>
        </w:rPr>
        <w:t> </w:t>
      </w:r>
      <w:r>
        <w:rPr/>
        <w:t>has</w:t>
      </w:r>
      <w:r>
        <w:rPr>
          <w:spacing w:val="-10"/>
        </w:rPr>
        <w:t> </w:t>
      </w:r>
      <w:r>
        <w:rPr/>
        <w:t>completed</w:t>
      </w:r>
      <w:r>
        <w:rPr>
          <w:spacing w:val="-11"/>
        </w:rPr>
        <w:t> </w:t>
      </w:r>
      <w:r>
        <w:rPr/>
        <w:t>many</w:t>
      </w:r>
      <w:r>
        <w:rPr>
          <w:spacing w:val="-11"/>
        </w:rPr>
        <w:t> </w:t>
      </w:r>
      <w:r>
        <w:rPr/>
        <w:t>of</w:t>
      </w:r>
      <w:r>
        <w:rPr>
          <w:spacing w:val="-11"/>
        </w:rPr>
        <w:t> </w:t>
      </w:r>
      <w:r>
        <w:rPr/>
        <w:t>the</w:t>
      </w:r>
      <w:r>
        <w:rPr>
          <w:spacing w:val="-10"/>
        </w:rPr>
        <w:t> </w:t>
      </w:r>
      <w:r>
        <w:rPr/>
        <w:t>projects</w:t>
      </w:r>
      <w:r>
        <w:rPr>
          <w:spacing w:val="-9"/>
        </w:rPr>
        <w:t> </w:t>
      </w:r>
      <w:r>
        <w:rPr/>
        <w:t>identified</w:t>
      </w:r>
      <w:r>
        <w:rPr>
          <w:spacing w:val="-12"/>
        </w:rPr>
        <w:t> </w:t>
      </w:r>
      <w:r>
        <w:rPr/>
        <w:t>in</w:t>
      </w:r>
      <w:r>
        <w:rPr>
          <w:spacing w:val="-11"/>
        </w:rPr>
        <w:t> </w:t>
      </w:r>
      <w:r>
        <w:rPr/>
        <w:t>the</w:t>
      </w:r>
      <w:r>
        <w:rPr>
          <w:spacing w:val="-10"/>
        </w:rPr>
        <w:t> </w:t>
      </w:r>
      <w:r>
        <w:rPr/>
        <w:t>current</w:t>
      </w:r>
      <w:r>
        <w:rPr>
          <w:spacing w:val="-12"/>
        </w:rPr>
        <w:t> </w:t>
      </w:r>
      <w:r>
        <w:rPr/>
        <w:t>Transportation</w:t>
      </w:r>
      <w:r>
        <w:rPr>
          <w:spacing w:val="-11"/>
        </w:rPr>
        <w:t> </w:t>
      </w:r>
      <w:r>
        <w:rPr/>
        <w:t>Plan</w:t>
      </w:r>
      <w:r>
        <w:rPr>
          <w:spacing w:val="-13"/>
        </w:rPr>
        <w:t> </w:t>
      </w:r>
      <w:r>
        <w:rPr/>
        <w:t>and continues</w:t>
      </w:r>
      <w:r>
        <w:rPr>
          <w:spacing w:val="-8"/>
        </w:rPr>
        <w:t> </w:t>
      </w:r>
      <w:r>
        <w:rPr/>
        <w:t>to</w:t>
      </w:r>
      <w:r>
        <w:rPr>
          <w:spacing w:val="-7"/>
        </w:rPr>
        <w:t> </w:t>
      </w:r>
      <w:r>
        <w:rPr/>
        <w:t>perform</w:t>
      </w:r>
      <w:r>
        <w:rPr>
          <w:spacing w:val="-7"/>
        </w:rPr>
        <w:t> </w:t>
      </w:r>
      <w:r>
        <w:rPr/>
        <w:t>studies</w:t>
      </w:r>
      <w:r>
        <w:rPr>
          <w:spacing w:val="-10"/>
        </w:rPr>
        <w:t> </w:t>
      </w:r>
      <w:r>
        <w:rPr/>
        <w:t>and</w:t>
      </w:r>
      <w:r>
        <w:rPr>
          <w:spacing w:val="-8"/>
        </w:rPr>
        <w:t> </w:t>
      </w:r>
      <w:r>
        <w:rPr/>
        <w:t>develop</w:t>
      </w:r>
      <w:r>
        <w:rPr>
          <w:spacing w:val="-8"/>
        </w:rPr>
        <w:t> </w:t>
      </w:r>
      <w:r>
        <w:rPr/>
        <w:t>projects</w:t>
      </w:r>
      <w:r>
        <w:rPr>
          <w:spacing w:val="-7"/>
        </w:rPr>
        <w:t> </w:t>
      </w:r>
      <w:r>
        <w:rPr/>
        <w:t>that</w:t>
      </w:r>
      <w:r>
        <w:rPr>
          <w:spacing w:val="-8"/>
        </w:rPr>
        <w:t> </w:t>
      </w:r>
      <w:r>
        <w:rPr/>
        <w:t>address</w:t>
      </w:r>
      <w:r>
        <w:rPr>
          <w:spacing w:val="-6"/>
        </w:rPr>
        <w:t> </w:t>
      </w:r>
      <w:r>
        <w:rPr/>
        <w:t>transportation</w:t>
      </w:r>
      <w:r>
        <w:rPr>
          <w:spacing w:val="-9"/>
        </w:rPr>
        <w:t> </w:t>
      </w:r>
      <w:r>
        <w:rPr/>
        <w:t>needs</w:t>
      </w:r>
      <w:r>
        <w:rPr>
          <w:spacing w:val="-7"/>
        </w:rPr>
        <w:t> </w:t>
      </w:r>
      <w:r>
        <w:rPr/>
        <w:t>within</w:t>
      </w:r>
      <w:r>
        <w:rPr>
          <w:spacing w:val="-9"/>
        </w:rPr>
        <w:t> </w:t>
      </w:r>
      <w:r>
        <w:rPr/>
        <w:t>the</w:t>
      </w:r>
      <w:r>
        <w:rPr>
          <w:spacing w:val="-10"/>
        </w:rPr>
        <w:t> </w:t>
      </w:r>
      <w:r>
        <w:rPr/>
        <w:t>City. Since</w:t>
      </w:r>
      <w:r>
        <w:rPr>
          <w:spacing w:val="-9"/>
        </w:rPr>
        <w:t> </w:t>
      </w:r>
      <w:r>
        <w:rPr/>
        <w:t>a</w:t>
      </w:r>
      <w:r>
        <w:rPr>
          <w:spacing w:val="-8"/>
        </w:rPr>
        <w:t> </w:t>
      </w:r>
      <w:r>
        <w:rPr/>
        <w:t>formal</w:t>
      </w:r>
      <w:r>
        <w:rPr>
          <w:spacing w:val="-8"/>
        </w:rPr>
        <w:t> </w:t>
      </w:r>
      <w:r>
        <w:rPr/>
        <w:t>update</w:t>
      </w:r>
      <w:r>
        <w:rPr>
          <w:spacing w:val="-8"/>
        </w:rPr>
        <w:t> </w:t>
      </w:r>
      <w:r>
        <w:rPr/>
        <w:t>of</w:t>
      </w:r>
      <w:r>
        <w:rPr>
          <w:spacing w:val="-9"/>
        </w:rPr>
        <w:t> </w:t>
      </w:r>
      <w:r>
        <w:rPr/>
        <w:t>the</w:t>
      </w:r>
      <w:r>
        <w:rPr>
          <w:spacing w:val="-8"/>
        </w:rPr>
        <w:t> </w:t>
      </w:r>
      <w:r>
        <w:rPr/>
        <w:t>City</w:t>
      </w:r>
      <w:r>
        <w:rPr>
          <w:spacing w:val="-9"/>
        </w:rPr>
        <w:t> </w:t>
      </w:r>
      <w:r>
        <w:rPr/>
        <w:t>Transportation</w:t>
      </w:r>
      <w:r>
        <w:rPr>
          <w:spacing w:val="-9"/>
        </w:rPr>
        <w:t> </w:t>
      </w:r>
      <w:r>
        <w:rPr/>
        <w:t>Plan</w:t>
      </w:r>
      <w:r>
        <w:rPr>
          <w:spacing w:val="-9"/>
        </w:rPr>
        <w:t> </w:t>
      </w:r>
      <w:r>
        <w:rPr/>
        <w:t>has</w:t>
      </w:r>
      <w:r>
        <w:rPr>
          <w:spacing w:val="-8"/>
        </w:rPr>
        <w:t> </w:t>
      </w:r>
      <w:r>
        <w:rPr/>
        <w:t>not</w:t>
      </w:r>
      <w:r>
        <w:rPr>
          <w:spacing w:val="-8"/>
        </w:rPr>
        <w:t> </w:t>
      </w:r>
      <w:r>
        <w:rPr/>
        <w:t>been</w:t>
      </w:r>
      <w:r>
        <w:rPr>
          <w:spacing w:val="-9"/>
        </w:rPr>
        <w:t> </w:t>
      </w:r>
      <w:r>
        <w:rPr/>
        <w:t>completed</w:t>
      </w:r>
      <w:r>
        <w:rPr>
          <w:spacing w:val="-8"/>
        </w:rPr>
        <w:t> </w:t>
      </w:r>
      <w:r>
        <w:rPr/>
        <w:t>since</w:t>
      </w:r>
      <w:r>
        <w:rPr>
          <w:spacing w:val="-8"/>
        </w:rPr>
        <w:t> </w:t>
      </w:r>
      <w:r>
        <w:rPr/>
        <w:t>2005,</w:t>
      </w:r>
      <w:r>
        <w:rPr>
          <w:spacing w:val="-9"/>
        </w:rPr>
        <w:t> </w:t>
      </w:r>
      <w:r>
        <w:rPr/>
        <w:t>substantial evaluation of the system has been undertaken for this current effort. For the purposes of this Comprehensive Plan Update, four primary inputs have been used to evaluate the transportation system for the need for transportation</w:t>
      </w:r>
      <w:r>
        <w:rPr>
          <w:spacing w:val="-7"/>
        </w:rPr>
        <w:t> </w:t>
      </w:r>
      <w:r>
        <w:rPr/>
        <w:t>improvements.</w:t>
      </w:r>
    </w:p>
    <w:p>
      <w:pPr>
        <w:pStyle w:val="ListParagraph"/>
        <w:numPr>
          <w:ilvl w:val="1"/>
          <w:numId w:val="3"/>
        </w:numPr>
        <w:tabs>
          <w:tab w:pos="861" w:val="left" w:leader="none"/>
        </w:tabs>
        <w:spacing w:line="240" w:lineRule="auto" w:before="120" w:after="0"/>
        <w:ind w:left="860" w:right="0" w:hanging="361"/>
        <w:jc w:val="both"/>
        <w:rPr>
          <w:sz w:val="22"/>
        </w:rPr>
      </w:pPr>
      <w:r>
        <w:rPr>
          <w:sz w:val="22"/>
        </w:rPr>
        <w:t>Results of recent studies where known deficiencies exist and solutions have been</w:t>
      </w:r>
      <w:r>
        <w:rPr>
          <w:spacing w:val="-26"/>
          <w:sz w:val="22"/>
        </w:rPr>
        <w:t> </w:t>
      </w:r>
      <w:r>
        <w:rPr>
          <w:sz w:val="22"/>
        </w:rPr>
        <w:t>identified.</w:t>
      </w:r>
    </w:p>
    <w:p>
      <w:pPr>
        <w:pStyle w:val="ListParagraph"/>
        <w:numPr>
          <w:ilvl w:val="1"/>
          <w:numId w:val="3"/>
        </w:numPr>
        <w:tabs>
          <w:tab w:pos="861" w:val="left" w:leader="none"/>
        </w:tabs>
        <w:spacing w:line="240" w:lineRule="auto" w:before="119" w:after="0"/>
        <w:ind w:left="860" w:right="334" w:hanging="361"/>
        <w:jc w:val="both"/>
        <w:rPr>
          <w:sz w:val="22"/>
        </w:rPr>
      </w:pPr>
      <w:r>
        <w:rPr>
          <w:sz w:val="22"/>
        </w:rPr>
        <w:t>Roadway segment traffic volumes collected by the Benton Franklin Council of Governments during 2016 were used to evaluate the vast majority of functionally classified roadway segments and intersections of functionally classified roads at a planning</w:t>
      </w:r>
      <w:r>
        <w:rPr>
          <w:spacing w:val="-13"/>
          <w:sz w:val="22"/>
        </w:rPr>
        <w:t> </w:t>
      </w:r>
      <w:r>
        <w:rPr>
          <w:sz w:val="22"/>
        </w:rPr>
        <w:t>level.</w:t>
      </w:r>
    </w:p>
    <w:p>
      <w:pPr>
        <w:pStyle w:val="ListParagraph"/>
        <w:numPr>
          <w:ilvl w:val="1"/>
          <w:numId w:val="3"/>
        </w:numPr>
        <w:tabs>
          <w:tab w:pos="861" w:val="left" w:leader="none"/>
        </w:tabs>
        <w:spacing w:line="240" w:lineRule="auto" w:before="122" w:after="0"/>
        <w:ind w:left="860" w:right="0" w:hanging="361"/>
        <w:jc w:val="both"/>
        <w:rPr>
          <w:sz w:val="22"/>
        </w:rPr>
      </w:pPr>
      <w:r>
        <w:rPr>
          <w:sz w:val="22"/>
        </w:rPr>
        <w:t>Other projects developed by City staff to address issues and</w:t>
      </w:r>
      <w:r>
        <w:rPr>
          <w:spacing w:val="-18"/>
          <w:sz w:val="22"/>
        </w:rPr>
        <w:t> </w:t>
      </w:r>
      <w:r>
        <w:rPr>
          <w:sz w:val="22"/>
        </w:rPr>
        <w:t>concerns.</w:t>
      </w:r>
    </w:p>
    <w:p>
      <w:pPr>
        <w:pStyle w:val="ListParagraph"/>
        <w:numPr>
          <w:ilvl w:val="1"/>
          <w:numId w:val="3"/>
        </w:numPr>
        <w:tabs>
          <w:tab w:pos="861" w:val="left" w:leader="none"/>
        </w:tabs>
        <w:spacing w:line="240" w:lineRule="auto" w:before="119" w:after="0"/>
        <w:ind w:left="860" w:right="335" w:hanging="361"/>
        <w:jc w:val="both"/>
        <w:rPr>
          <w:sz w:val="22"/>
        </w:rPr>
      </w:pPr>
      <w:r>
        <w:rPr>
          <w:sz w:val="22"/>
        </w:rPr>
        <w:t>Future conditions have been evaluated through the use of the Benton Franklin Council of Governments’ regional traffic model which incorporates future population and land use projections to forecast year 2040 traffic volumes throughout the Tri-Cities</w:t>
      </w:r>
      <w:r>
        <w:rPr>
          <w:spacing w:val="-16"/>
          <w:sz w:val="22"/>
        </w:rPr>
        <w:t> </w:t>
      </w:r>
      <w:r>
        <w:rPr>
          <w:sz w:val="22"/>
        </w:rPr>
        <w:t>region.</w:t>
      </w:r>
    </w:p>
    <w:p>
      <w:pPr>
        <w:pStyle w:val="Heading7"/>
        <w:spacing w:before="198"/>
        <w:ind w:left="140"/>
      </w:pPr>
      <w:bookmarkStart w:name="Section Two" w:id="122"/>
      <w:bookmarkEnd w:id="122"/>
      <w:r>
        <w:rPr/>
      </w:r>
      <w:bookmarkStart w:name="Existing Conditions" w:id="123"/>
      <w:bookmarkEnd w:id="123"/>
      <w:r>
        <w:rPr/>
      </w:r>
      <w:bookmarkStart w:name="_bookmark55" w:id="124"/>
      <w:bookmarkEnd w:id="124"/>
      <w:r>
        <w:rPr/>
      </w:r>
      <w:bookmarkStart w:name="_bookmark56" w:id="125"/>
      <w:bookmarkEnd w:id="125"/>
      <w:r>
        <w:rPr/>
      </w:r>
      <w:r>
        <w:rPr>
          <w:color w:val="4F81BC"/>
        </w:rPr>
        <w:t>SECTION TWO</w:t>
      </w:r>
    </w:p>
    <w:p>
      <w:pPr>
        <w:pStyle w:val="Heading6"/>
        <w:spacing w:before="201"/>
      </w:pPr>
      <w:r>
        <w:rPr/>
        <w:t>EXISTING CONDITIONS</w:t>
      </w:r>
    </w:p>
    <w:p>
      <w:pPr>
        <w:pStyle w:val="BodyText"/>
        <w:spacing w:before="120"/>
        <w:ind w:left="140" w:right="333"/>
        <w:jc w:val="both"/>
      </w:pPr>
      <w:r>
        <w:rPr/>
        <w:t>The Tri-Cities is the largest metropolitan area between Spokane to the northeast, Seattle to the northwest,</w:t>
      </w:r>
      <w:r>
        <w:rPr>
          <w:spacing w:val="-4"/>
        </w:rPr>
        <w:t> </w:t>
      </w:r>
      <w:r>
        <w:rPr/>
        <w:t>Portland</w:t>
      </w:r>
      <w:r>
        <w:rPr>
          <w:spacing w:val="-4"/>
        </w:rPr>
        <w:t> </w:t>
      </w:r>
      <w:r>
        <w:rPr/>
        <w:t>to</w:t>
      </w:r>
      <w:r>
        <w:rPr>
          <w:spacing w:val="-4"/>
        </w:rPr>
        <w:t> </w:t>
      </w:r>
      <w:r>
        <w:rPr/>
        <w:t>the</w:t>
      </w:r>
      <w:r>
        <w:rPr>
          <w:spacing w:val="-3"/>
        </w:rPr>
        <w:t> </w:t>
      </w:r>
      <w:r>
        <w:rPr/>
        <w:t>west,</w:t>
      </w:r>
      <w:r>
        <w:rPr>
          <w:spacing w:val="-4"/>
        </w:rPr>
        <w:t> </w:t>
      </w:r>
      <w:r>
        <w:rPr/>
        <w:t>and</w:t>
      </w:r>
      <w:r>
        <w:rPr>
          <w:spacing w:val="-5"/>
        </w:rPr>
        <w:t> </w:t>
      </w:r>
      <w:r>
        <w:rPr/>
        <w:t>Boise</w:t>
      </w:r>
      <w:r>
        <w:rPr>
          <w:spacing w:val="-4"/>
        </w:rPr>
        <w:t> </w:t>
      </w:r>
      <w:r>
        <w:rPr/>
        <w:t>to</w:t>
      </w:r>
      <w:r>
        <w:rPr>
          <w:spacing w:val="-3"/>
        </w:rPr>
        <w:t> </w:t>
      </w:r>
      <w:r>
        <w:rPr/>
        <w:t>the</w:t>
      </w:r>
      <w:r>
        <w:rPr>
          <w:spacing w:val="-6"/>
        </w:rPr>
        <w:t> </w:t>
      </w:r>
      <w:r>
        <w:rPr/>
        <w:t>southeast.</w:t>
      </w:r>
      <w:r>
        <w:rPr>
          <w:spacing w:val="-4"/>
        </w:rPr>
        <w:t> </w:t>
      </w:r>
      <w:r>
        <w:rPr/>
        <w:t>Because</w:t>
      </w:r>
      <w:r>
        <w:rPr>
          <w:spacing w:val="-3"/>
        </w:rPr>
        <w:t> </w:t>
      </w:r>
      <w:r>
        <w:rPr/>
        <w:t>of</w:t>
      </w:r>
      <w:r>
        <w:rPr>
          <w:spacing w:val="-4"/>
        </w:rPr>
        <w:t> </w:t>
      </w:r>
      <w:r>
        <w:rPr/>
        <w:t>its</w:t>
      </w:r>
      <w:r>
        <w:rPr>
          <w:spacing w:val="-3"/>
        </w:rPr>
        <w:t> </w:t>
      </w:r>
      <w:r>
        <w:rPr/>
        <w:t>location,</w:t>
      </w:r>
      <w:r>
        <w:rPr>
          <w:spacing w:val="-4"/>
        </w:rPr>
        <w:t> </w:t>
      </w:r>
      <w:r>
        <w:rPr/>
        <w:t>the</w:t>
      </w:r>
      <w:r>
        <w:rPr>
          <w:spacing w:val="-5"/>
        </w:rPr>
        <w:t> </w:t>
      </w:r>
      <w:r>
        <w:rPr/>
        <w:t>Tri-Cities</w:t>
      </w:r>
      <w:r>
        <w:rPr>
          <w:spacing w:val="-3"/>
        </w:rPr>
        <w:t> </w:t>
      </w:r>
      <w:r>
        <w:rPr/>
        <w:t>is</w:t>
      </w:r>
      <w:r>
        <w:rPr>
          <w:spacing w:val="-3"/>
        </w:rPr>
        <w:t> </w:t>
      </w:r>
      <w:r>
        <w:rPr/>
        <w:t>a major transportation hub for travelers and commodities in the Pacific Northwest. As part of the Tri- Cities, Richland has easy, direct access to all modes of commercial transportation services. This section provides an inventory of the existing transportation system, which will be used as the baseline for assessing future development of the</w:t>
      </w:r>
      <w:r>
        <w:rPr>
          <w:spacing w:val="-9"/>
        </w:rPr>
        <w:t> </w:t>
      </w:r>
      <w:r>
        <w:rPr/>
        <w:t>system.</w:t>
      </w:r>
    </w:p>
    <w:p>
      <w:pPr>
        <w:spacing w:before="200"/>
        <w:ind w:left="140" w:right="0" w:firstLine="0"/>
        <w:jc w:val="left"/>
        <w:rPr>
          <w:b/>
          <w:sz w:val="24"/>
        </w:rPr>
      </w:pPr>
      <w:bookmarkStart w:name="DATA COLLECTION AND REVIEW" w:id="126"/>
      <w:bookmarkEnd w:id="126"/>
      <w:r>
        <w:rPr/>
      </w:r>
      <w:r>
        <w:rPr>
          <w:b/>
          <w:sz w:val="24"/>
        </w:rPr>
        <w:t>DATA COLLECTION AND REVIEW</w:t>
      </w:r>
    </w:p>
    <w:p>
      <w:pPr>
        <w:pStyle w:val="BodyText"/>
        <w:spacing w:before="119"/>
        <w:ind w:left="140" w:right="334"/>
        <w:jc w:val="both"/>
      </w:pPr>
      <w:r>
        <w:rPr/>
        <w:t>This element focuses on facilities operated by the City of Richland, as well as those operated by others, within the UGA. Additional facilities and services operated outside this area by other jurisdictions that are critical to the functioning of the transportation system are briefly described. Data</w:t>
      </w:r>
      <w:r>
        <w:rPr>
          <w:spacing w:val="-4"/>
        </w:rPr>
        <w:t> </w:t>
      </w:r>
      <w:r>
        <w:rPr/>
        <w:t>for</w:t>
      </w:r>
      <w:r>
        <w:rPr>
          <w:spacing w:val="-5"/>
        </w:rPr>
        <w:t> </w:t>
      </w:r>
      <w:r>
        <w:rPr/>
        <w:t>this</w:t>
      </w:r>
      <w:r>
        <w:rPr>
          <w:spacing w:val="-3"/>
        </w:rPr>
        <w:t> </w:t>
      </w:r>
      <w:r>
        <w:rPr/>
        <w:t>section</w:t>
      </w:r>
      <w:r>
        <w:rPr>
          <w:spacing w:val="-5"/>
        </w:rPr>
        <w:t> </w:t>
      </w:r>
      <w:r>
        <w:rPr/>
        <w:t>were</w:t>
      </w:r>
      <w:r>
        <w:rPr>
          <w:spacing w:val="-4"/>
        </w:rPr>
        <w:t> </w:t>
      </w:r>
      <w:r>
        <w:rPr/>
        <w:t>obtained</w:t>
      </w:r>
      <w:r>
        <w:rPr>
          <w:spacing w:val="-5"/>
        </w:rPr>
        <w:t> </w:t>
      </w:r>
      <w:r>
        <w:rPr/>
        <w:t>from</w:t>
      </w:r>
      <w:r>
        <w:rPr>
          <w:spacing w:val="-3"/>
        </w:rPr>
        <w:t> </w:t>
      </w:r>
      <w:r>
        <w:rPr/>
        <w:t>the</w:t>
      </w:r>
      <w:r>
        <w:rPr>
          <w:spacing w:val="-4"/>
        </w:rPr>
        <w:t> </w:t>
      </w:r>
      <w:r>
        <w:rPr/>
        <w:t>City</w:t>
      </w:r>
      <w:r>
        <w:rPr>
          <w:spacing w:val="-5"/>
        </w:rPr>
        <w:t> </w:t>
      </w:r>
      <w:r>
        <w:rPr/>
        <w:t>of</w:t>
      </w:r>
      <w:r>
        <w:rPr>
          <w:spacing w:val="-3"/>
        </w:rPr>
        <w:t> </w:t>
      </w:r>
      <w:r>
        <w:rPr/>
        <w:t>Richland</w:t>
      </w:r>
      <w:r>
        <w:rPr>
          <w:spacing w:val="-5"/>
        </w:rPr>
        <w:t> </w:t>
      </w:r>
      <w:r>
        <w:rPr/>
        <w:t>Public</w:t>
      </w:r>
      <w:r>
        <w:rPr>
          <w:spacing w:val="-3"/>
        </w:rPr>
        <w:t> </w:t>
      </w:r>
      <w:r>
        <w:rPr/>
        <w:t>Works</w:t>
      </w:r>
      <w:r>
        <w:rPr>
          <w:spacing w:val="-3"/>
        </w:rPr>
        <w:t> </w:t>
      </w:r>
      <w:r>
        <w:rPr/>
        <w:t>Department,</w:t>
      </w:r>
      <w:r>
        <w:rPr>
          <w:spacing w:val="-4"/>
        </w:rPr>
        <w:t> </w:t>
      </w:r>
      <w:r>
        <w:rPr/>
        <w:t>Information Services Department and the Benton Franklin Council of Governments. Data for non-City-operated</w:t>
      </w:r>
      <w:bookmarkStart w:name="EXISTING ROADWAY SYSTEM" w:id="127"/>
      <w:bookmarkEnd w:id="127"/>
      <w:r>
        <w:rPr/>
      </w:r>
      <w:r>
        <w:rPr/>
        <w:t> transportation systems were obtained from service providers and secondary</w:t>
      </w:r>
      <w:r>
        <w:rPr>
          <w:spacing w:val="-17"/>
        </w:rPr>
        <w:t> </w:t>
      </w:r>
      <w:r>
        <w:rPr/>
        <w:t>documents.</w:t>
      </w:r>
    </w:p>
    <w:p>
      <w:pPr>
        <w:spacing w:before="203"/>
        <w:ind w:left="140" w:right="0" w:firstLine="0"/>
        <w:jc w:val="left"/>
        <w:rPr>
          <w:b/>
          <w:sz w:val="24"/>
        </w:rPr>
      </w:pPr>
      <w:r>
        <w:rPr>
          <w:b/>
          <w:sz w:val="24"/>
        </w:rPr>
        <w:t>EXISTING ROADWAY SYSTEM</w:t>
      </w:r>
    </w:p>
    <w:p>
      <w:pPr>
        <w:pStyle w:val="BodyText"/>
        <w:spacing w:before="119"/>
        <w:ind w:left="140" w:right="333"/>
        <w:jc w:val="both"/>
      </w:pPr>
      <w:r>
        <w:rPr/>
        <w:t>Each City roadway is classified according to its function within the system. The currently approved functionally classified roadway system is shown in Figure T-1. The City uses the following street classifications, based on the amount of traffic and the origin and destination of the traffic:</w:t>
      </w:r>
    </w:p>
    <w:p>
      <w:pPr>
        <w:spacing w:after="0"/>
        <w:jc w:val="both"/>
        <w:sectPr>
          <w:pgSz w:w="12240" w:h="15840"/>
          <w:pgMar w:header="0" w:footer="1132" w:top="1360" w:bottom="1320" w:left="1300" w:right="1100"/>
        </w:sectPr>
      </w:pPr>
    </w:p>
    <w:p>
      <w:pPr>
        <w:pStyle w:val="ListParagraph"/>
        <w:numPr>
          <w:ilvl w:val="0"/>
          <w:numId w:val="4"/>
        </w:numPr>
        <w:tabs>
          <w:tab w:pos="860" w:val="left" w:leader="none"/>
          <w:tab w:pos="861" w:val="left" w:leader="none"/>
        </w:tabs>
        <w:spacing w:line="240" w:lineRule="auto" w:before="80" w:after="0"/>
        <w:ind w:left="860" w:right="0" w:hanging="362"/>
        <w:jc w:val="left"/>
        <w:rPr>
          <w:sz w:val="22"/>
        </w:rPr>
      </w:pPr>
      <w:r>
        <w:rPr>
          <w:sz w:val="22"/>
        </w:rPr>
        <w:t>Interstate (4.84</w:t>
      </w:r>
      <w:r>
        <w:rPr>
          <w:spacing w:val="-4"/>
          <w:sz w:val="22"/>
        </w:rPr>
        <w:t> </w:t>
      </w:r>
      <w:r>
        <w:rPr>
          <w:sz w:val="22"/>
        </w:rPr>
        <w:t>miles)</w:t>
      </w:r>
    </w:p>
    <w:p>
      <w:pPr>
        <w:pStyle w:val="ListParagraph"/>
        <w:numPr>
          <w:ilvl w:val="0"/>
          <w:numId w:val="4"/>
        </w:numPr>
        <w:tabs>
          <w:tab w:pos="860" w:val="left" w:leader="none"/>
          <w:tab w:pos="861" w:val="left" w:leader="none"/>
        </w:tabs>
        <w:spacing w:line="240" w:lineRule="auto" w:before="59" w:after="0"/>
        <w:ind w:left="860" w:right="0" w:hanging="361"/>
        <w:jc w:val="left"/>
        <w:rPr>
          <w:sz w:val="22"/>
        </w:rPr>
      </w:pPr>
      <w:r>
        <w:rPr>
          <w:sz w:val="22"/>
        </w:rPr>
        <w:t>Other freeway/expressway (14.87</w:t>
      </w:r>
      <w:r>
        <w:rPr>
          <w:spacing w:val="-5"/>
          <w:sz w:val="22"/>
        </w:rPr>
        <w:t> </w:t>
      </w:r>
      <w:r>
        <w:rPr>
          <w:sz w:val="22"/>
        </w:rPr>
        <w:t>miles)</w:t>
      </w:r>
    </w:p>
    <w:p>
      <w:pPr>
        <w:pStyle w:val="ListParagraph"/>
        <w:numPr>
          <w:ilvl w:val="0"/>
          <w:numId w:val="4"/>
        </w:numPr>
        <w:tabs>
          <w:tab w:pos="860" w:val="left" w:leader="none"/>
          <w:tab w:pos="861" w:val="left" w:leader="none"/>
        </w:tabs>
        <w:spacing w:line="240" w:lineRule="auto" w:before="61" w:after="0"/>
        <w:ind w:left="860" w:right="0" w:hanging="361"/>
        <w:jc w:val="left"/>
        <w:rPr>
          <w:sz w:val="22"/>
        </w:rPr>
      </w:pPr>
      <w:r>
        <w:rPr>
          <w:sz w:val="22"/>
        </w:rPr>
        <w:t>Principal arterials (18.0</w:t>
      </w:r>
      <w:r>
        <w:rPr>
          <w:spacing w:val="-3"/>
          <w:sz w:val="22"/>
        </w:rPr>
        <w:t> </w:t>
      </w:r>
      <w:r>
        <w:rPr>
          <w:sz w:val="22"/>
        </w:rPr>
        <w:t>miles)*</w:t>
      </w:r>
    </w:p>
    <w:p>
      <w:pPr>
        <w:pStyle w:val="ListParagraph"/>
        <w:numPr>
          <w:ilvl w:val="0"/>
          <w:numId w:val="4"/>
        </w:numPr>
        <w:tabs>
          <w:tab w:pos="860" w:val="left" w:leader="none"/>
          <w:tab w:pos="861" w:val="left" w:leader="none"/>
        </w:tabs>
        <w:spacing w:line="240" w:lineRule="auto" w:before="59" w:after="0"/>
        <w:ind w:left="860" w:right="0" w:hanging="361"/>
        <w:jc w:val="left"/>
        <w:rPr>
          <w:sz w:val="22"/>
        </w:rPr>
      </w:pPr>
      <w:r>
        <w:rPr>
          <w:sz w:val="22"/>
        </w:rPr>
        <w:t>Minor arterials (23.0</w:t>
      </w:r>
      <w:r>
        <w:rPr>
          <w:spacing w:val="-3"/>
          <w:sz w:val="22"/>
        </w:rPr>
        <w:t> </w:t>
      </w:r>
      <w:r>
        <w:rPr>
          <w:sz w:val="22"/>
        </w:rPr>
        <w:t>miles)*</w:t>
      </w:r>
    </w:p>
    <w:p>
      <w:pPr>
        <w:pStyle w:val="ListParagraph"/>
        <w:numPr>
          <w:ilvl w:val="0"/>
          <w:numId w:val="4"/>
        </w:numPr>
        <w:tabs>
          <w:tab w:pos="860" w:val="left" w:leader="none"/>
          <w:tab w:pos="861" w:val="left" w:leader="none"/>
        </w:tabs>
        <w:spacing w:line="240" w:lineRule="auto" w:before="61" w:after="0"/>
        <w:ind w:left="860" w:right="0" w:hanging="361"/>
        <w:jc w:val="left"/>
        <w:rPr>
          <w:sz w:val="22"/>
        </w:rPr>
      </w:pPr>
      <w:r>
        <w:rPr>
          <w:sz w:val="22"/>
        </w:rPr>
        <w:t>Collectors (59.0</w:t>
      </w:r>
      <w:r>
        <w:rPr>
          <w:spacing w:val="-2"/>
          <w:sz w:val="22"/>
        </w:rPr>
        <w:t> </w:t>
      </w:r>
      <w:r>
        <w:rPr>
          <w:sz w:val="22"/>
        </w:rPr>
        <w:t>miles)*</w:t>
      </w:r>
    </w:p>
    <w:p>
      <w:pPr>
        <w:pStyle w:val="ListParagraph"/>
        <w:numPr>
          <w:ilvl w:val="0"/>
          <w:numId w:val="4"/>
        </w:numPr>
        <w:tabs>
          <w:tab w:pos="860" w:val="left" w:leader="none"/>
          <w:tab w:pos="861" w:val="left" w:leader="none"/>
        </w:tabs>
        <w:spacing w:line="240" w:lineRule="auto" w:before="59" w:after="0"/>
        <w:ind w:left="860" w:right="0" w:hanging="361"/>
        <w:jc w:val="left"/>
        <w:rPr>
          <w:sz w:val="22"/>
        </w:rPr>
      </w:pPr>
      <w:r>
        <w:rPr>
          <w:sz w:val="22"/>
        </w:rPr>
        <w:t>Local (residential) streets (203.3</w:t>
      </w:r>
      <w:r>
        <w:rPr>
          <w:spacing w:val="-8"/>
          <w:sz w:val="22"/>
        </w:rPr>
        <w:t> </w:t>
      </w:r>
      <w:r>
        <w:rPr>
          <w:sz w:val="22"/>
        </w:rPr>
        <w:t>miles)*</w:t>
      </w:r>
    </w:p>
    <w:p>
      <w:pPr>
        <w:pStyle w:val="BodyText"/>
        <w:spacing w:before="61"/>
        <w:ind w:left="1220"/>
      </w:pPr>
      <w:r>
        <w:rPr/>
        <w:t>*as updated in 2023</w:t>
      </w:r>
    </w:p>
    <w:p>
      <w:pPr>
        <w:pStyle w:val="BodyText"/>
        <w:spacing w:before="119"/>
        <w:ind w:left="140" w:right="333"/>
        <w:jc w:val="both"/>
      </w:pPr>
      <w:r>
        <w:rPr/>
        <w:t>The Tri-Cities is connected to the interstate highway system. I-82 links the Tri-Cities metropolitan area to I-90 to the north and west, through Yakima, and to I-84 to the south, in northern Oregon. I- 182, which passes through Richland, links Richland to these interstates and US 395. US 12 links the Tri-Cities</w:t>
      </w:r>
      <w:r>
        <w:rPr>
          <w:spacing w:val="-10"/>
        </w:rPr>
        <w:t> </w:t>
      </w:r>
      <w:r>
        <w:rPr/>
        <w:t>to</w:t>
      </w:r>
      <w:r>
        <w:rPr>
          <w:spacing w:val="-11"/>
        </w:rPr>
        <w:t> </w:t>
      </w:r>
      <w:r>
        <w:rPr/>
        <w:t>the</w:t>
      </w:r>
      <w:r>
        <w:rPr>
          <w:spacing w:val="-11"/>
        </w:rPr>
        <w:t> </w:t>
      </w:r>
      <w:r>
        <w:rPr/>
        <w:t>interstates</w:t>
      </w:r>
      <w:r>
        <w:rPr>
          <w:spacing w:val="-9"/>
        </w:rPr>
        <w:t> </w:t>
      </w:r>
      <w:r>
        <w:rPr/>
        <w:t>and</w:t>
      </w:r>
      <w:r>
        <w:rPr>
          <w:spacing w:val="-12"/>
        </w:rPr>
        <w:t> </w:t>
      </w:r>
      <w:r>
        <w:rPr/>
        <w:t>to</w:t>
      </w:r>
      <w:r>
        <w:rPr>
          <w:spacing w:val="-11"/>
        </w:rPr>
        <w:t> </w:t>
      </w:r>
      <w:r>
        <w:rPr/>
        <w:t>US</w:t>
      </w:r>
      <w:r>
        <w:rPr>
          <w:spacing w:val="-11"/>
        </w:rPr>
        <w:t> </w:t>
      </w:r>
      <w:r>
        <w:rPr/>
        <w:t>395,</w:t>
      </w:r>
      <w:r>
        <w:rPr>
          <w:spacing w:val="-10"/>
        </w:rPr>
        <w:t> </w:t>
      </w:r>
      <w:r>
        <w:rPr/>
        <w:t>and</w:t>
      </w:r>
      <w:r>
        <w:rPr>
          <w:spacing w:val="-12"/>
        </w:rPr>
        <w:t> </w:t>
      </w:r>
      <w:r>
        <w:rPr/>
        <w:t>provides</w:t>
      </w:r>
      <w:r>
        <w:rPr>
          <w:spacing w:val="-10"/>
        </w:rPr>
        <w:t> </w:t>
      </w:r>
      <w:r>
        <w:rPr/>
        <w:t>access</w:t>
      </w:r>
      <w:r>
        <w:rPr>
          <w:spacing w:val="-9"/>
        </w:rPr>
        <w:t> </w:t>
      </w:r>
      <w:r>
        <w:rPr/>
        <w:t>to</w:t>
      </w:r>
      <w:r>
        <w:rPr>
          <w:spacing w:val="-11"/>
        </w:rPr>
        <w:t> </w:t>
      </w:r>
      <w:r>
        <w:rPr/>
        <w:t>Walla</w:t>
      </w:r>
      <w:r>
        <w:rPr>
          <w:spacing w:val="-12"/>
        </w:rPr>
        <w:t> </w:t>
      </w:r>
      <w:r>
        <w:rPr/>
        <w:t>Walla</w:t>
      </w:r>
      <w:r>
        <w:rPr>
          <w:spacing w:val="-11"/>
        </w:rPr>
        <w:t> </w:t>
      </w:r>
      <w:r>
        <w:rPr/>
        <w:t>and</w:t>
      </w:r>
      <w:r>
        <w:rPr>
          <w:spacing w:val="-11"/>
        </w:rPr>
        <w:t> </w:t>
      </w:r>
      <w:r>
        <w:rPr/>
        <w:t>other</w:t>
      </w:r>
      <w:r>
        <w:rPr>
          <w:spacing w:val="-12"/>
        </w:rPr>
        <w:t> </w:t>
      </w:r>
      <w:r>
        <w:rPr/>
        <w:t>southeastern Washington locales. The limited-access interstates serving the Tri-Cities carry between 40,000 and 60,000 vehicles per day. SR 240, which originates at US 395, links Richland and Kennewick and provides a western bypass route around the City to the Hanford Site, then continues northwest to connect with SR 24. Access to West Richland is via SR 224 (Van Giesen Street) and I-182. WSDOT is responsible for maintaining an adequate level of service on these</w:t>
      </w:r>
      <w:r>
        <w:rPr>
          <w:spacing w:val="-17"/>
        </w:rPr>
        <w:t> </w:t>
      </w:r>
      <w:r>
        <w:rPr/>
        <w:t>highways.</w:t>
      </w:r>
    </w:p>
    <w:p>
      <w:pPr>
        <w:pStyle w:val="BodyText"/>
        <w:spacing w:before="120"/>
        <w:ind w:left="140" w:right="332"/>
        <w:jc w:val="both"/>
      </w:pPr>
      <w:r>
        <w:rPr/>
        <w:t>Arterials are used in an urban setting and are divided into principal and minor arterials. They carry the highest volumes of traffic within the urban roadway system, provide connections within the system</w:t>
      </w:r>
      <w:r>
        <w:rPr>
          <w:spacing w:val="-9"/>
        </w:rPr>
        <w:t> </w:t>
      </w:r>
      <w:r>
        <w:rPr/>
        <w:t>for</w:t>
      </w:r>
      <w:r>
        <w:rPr>
          <w:spacing w:val="-8"/>
        </w:rPr>
        <w:t> </w:t>
      </w:r>
      <w:r>
        <w:rPr/>
        <w:t>traffic</w:t>
      </w:r>
      <w:r>
        <w:rPr>
          <w:spacing w:val="-9"/>
        </w:rPr>
        <w:t> </w:t>
      </w:r>
      <w:r>
        <w:rPr/>
        <w:t>using</w:t>
      </w:r>
      <w:r>
        <w:rPr>
          <w:spacing w:val="-6"/>
        </w:rPr>
        <w:t> </w:t>
      </w:r>
      <w:r>
        <w:rPr/>
        <w:t>other</w:t>
      </w:r>
      <w:r>
        <w:rPr>
          <w:spacing w:val="-10"/>
        </w:rPr>
        <w:t> </w:t>
      </w:r>
      <w:r>
        <w:rPr/>
        <w:t>classifications</w:t>
      </w:r>
      <w:r>
        <w:rPr>
          <w:spacing w:val="-7"/>
        </w:rPr>
        <w:t> </w:t>
      </w:r>
      <w:r>
        <w:rPr/>
        <w:t>of</w:t>
      </w:r>
      <w:r>
        <w:rPr>
          <w:spacing w:val="-7"/>
        </w:rPr>
        <w:t> </w:t>
      </w:r>
      <w:r>
        <w:rPr/>
        <w:t>roadways,</w:t>
      </w:r>
      <w:r>
        <w:rPr>
          <w:spacing w:val="-8"/>
        </w:rPr>
        <w:t> </w:t>
      </w:r>
      <w:r>
        <w:rPr/>
        <w:t>and</w:t>
      </w:r>
      <w:r>
        <w:rPr>
          <w:spacing w:val="-10"/>
        </w:rPr>
        <w:t> </w:t>
      </w:r>
      <w:r>
        <w:rPr/>
        <w:t>link</w:t>
      </w:r>
      <w:r>
        <w:rPr>
          <w:spacing w:val="-11"/>
        </w:rPr>
        <w:t> </w:t>
      </w:r>
      <w:r>
        <w:rPr/>
        <w:t>high-volume</w:t>
      </w:r>
      <w:r>
        <w:rPr>
          <w:spacing w:val="-7"/>
        </w:rPr>
        <w:t> </w:t>
      </w:r>
      <w:r>
        <w:rPr/>
        <w:t>destinations</w:t>
      </w:r>
      <w:r>
        <w:rPr>
          <w:spacing w:val="-9"/>
        </w:rPr>
        <w:t> </w:t>
      </w:r>
      <w:r>
        <w:rPr/>
        <w:t>and</w:t>
      </w:r>
      <w:r>
        <w:rPr>
          <w:spacing w:val="-8"/>
        </w:rPr>
        <w:t> </w:t>
      </w:r>
      <w:r>
        <w:rPr/>
        <w:t>land uses, such as major employers or larger commercial</w:t>
      </w:r>
      <w:r>
        <w:rPr>
          <w:spacing w:val="-10"/>
        </w:rPr>
        <w:t> </w:t>
      </w:r>
      <w:r>
        <w:rPr/>
        <w:t>centers</w:t>
      </w:r>
    </w:p>
    <w:p>
      <w:pPr>
        <w:pStyle w:val="BodyText"/>
        <w:spacing w:before="121"/>
        <w:ind w:left="140" w:right="333"/>
        <w:jc w:val="both"/>
      </w:pPr>
      <w:r>
        <w:rPr/>
        <w:t>Collectors connect traffic from residential streets to arterials. They can be used for through trips, or they may be the origin or destination of trips for purposes such as neighborhood services.</w:t>
      </w:r>
    </w:p>
    <w:p>
      <w:pPr>
        <w:pStyle w:val="BodyText"/>
        <w:spacing w:before="120"/>
        <w:ind w:left="140" w:right="334"/>
        <w:jc w:val="both"/>
      </w:pPr>
      <w:r>
        <w:rPr/>
        <w:t>Residential</w:t>
      </w:r>
      <w:r>
        <w:rPr>
          <w:spacing w:val="-10"/>
        </w:rPr>
        <w:t> </w:t>
      </w:r>
      <w:r>
        <w:rPr/>
        <w:t>streets</w:t>
      </w:r>
      <w:r>
        <w:rPr>
          <w:spacing w:val="-10"/>
        </w:rPr>
        <w:t> </w:t>
      </w:r>
      <w:r>
        <w:rPr/>
        <w:t>are</w:t>
      </w:r>
      <w:r>
        <w:rPr>
          <w:spacing w:val="-10"/>
        </w:rPr>
        <w:t> </w:t>
      </w:r>
      <w:r>
        <w:rPr/>
        <w:t>low</w:t>
      </w:r>
      <w:r>
        <w:rPr>
          <w:spacing w:val="-10"/>
        </w:rPr>
        <w:t> </w:t>
      </w:r>
      <w:r>
        <w:rPr/>
        <w:t>volume</w:t>
      </w:r>
      <w:r>
        <w:rPr>
          <w:spacing w:val="-10"/>
        </w:rPr>
        <w:t> </w:t>
      </w:r>
      <w:r>
        <w:rPr/>
        <w:t>roadways</w:t>
      </w:r>
      <w:r>
        <w:rPr>
          <w:spacing w:val="-10"/>
        </w:rPr>
        <w:t> </w:t>
      </w:r>
      <w:r>
        <w:rPr/>
        <w:t>serving</w:t>
      </w:r>
      <w:r>
        <w:rPr>
          <w:spacing w:val="-9"/>
        </w:rPr>
        <w:t> </w:t>
      </w:r>
      <w:r>
        <w:rPr/>
        <w:t>specific</w:t>
      </w:r>
      <w:r>
        <w:rPr>
          <w:spacing w:val="-8"/>
        </w:rPr>
        <w:t> </w:t>
      </w:r>
      <w:r>
        <w:rPr/>
        <w:t>residential</w:t>
      </w:r>
      <w:r>
        <w:rPr>
          <w:spacing w:val="-11"/>
        </w:rPr>
        <w:t> </w:t>
      </w:r>
      <w:r>
        <w:rPr/>
        <w:t>areas.</w:t>
      </w:r>
      <w:r>
        <w:rPr>
          <w:spacing w:val="-12"/>
        </w:rPr>
        <w:t> </w:t>
      </w:r>
      <w:r>
        <w:rPr/>
        <w:t>They</w:t>
      </w:r>
      <w:r>
        <w:rPr>
          <w:spacing w:val="-10"/>
        </w:rPr>
        <w:t> </w:t>
      </w:r>
      <w:r>
        <w:rPr/>
        <w:t>are</w:t>
      </w:r>
      <w:r>
        <w:rPr>
          <w:spacing w:val="-10"/>
        </w:rPr>
        <w:t> </w:t>
      </w:r>
      <w:r>
        <w:rPr/>
        <w:t>typically</w:t>
      </w:r>
      <w:r>
        <w:rPr>
          <w:spacing w:val="-10"/>
        </w:rPr>
        <w:t> </w:t>
      </w:r>
      <w:r>
        <w:rPr/>
        <w:t>not used for through trips, and are often the origin or destination of vehicle trips. Residential streets are typically designed for travel at no more than 25 miles per</w:t>
      </w:r>
      <w:r>
        <w:rPr>
          <w:spacing w:val="-15"/>
        </w:rPr>
        <w:t> </w:t>
      </w:r>
      <w:r>
        <w:rPr/>
        <w:t>hour.</w:t>
      </w:r>
    </w:p>
    <w:p>
      <w:pPr>
        <w:pStyle w:val="BodyText"/>
        <w:spacing w:before="121"/>
        <w:ind w:left="140" w:right="333"/>
        <w:jc w:val="both"/>
      </w:pPr>
      <w:r>
        <w:rPr/>
        <w:t>The existing number of lanes on City streets is shown in Figure T-2, with the existing traffic control at intersections of functionally classified roads shown in Figure T-3. As shown in Figure T-3, there are</w:t>
      </w:r>
      <w:r>
        <w:rPr>
          <w:spacing w:val="-5"/>
        </w:rPr>
        <w:t> </w:t>
      </w:r>
      <w:r>
        <w:rPr/>
        <w:t>66</w:t>
      </w:r>
      <w:r>
        <w:rPr>
          <w:spacing w:val="-4"/>
        </w:rPr>
        <w:t> </w:t>
      </w:r>
      <w:r>
        <w:rPr/>
        <w:t>traffic</w:t>
      </w:r>
      <w:r>
        <w:rPr>
          <w:spacing w:val="-6"/>
        </w:rPr>
        <w:t> </w:t>
      </w:r>
      <w:r>
        <w:rPr/>
        <w:t>signals</w:t>
      </w:r>
      <w:r>
        <w:rPr>
          <w:spacing w:val="-3"/>
        </w:rPr>
        <w:t> </w:t>
      </w:r>
      <w:r>
        <w:rPr/>
        <w:t>within</w:t>
      </w:r>
      <w:r>
        <w:rPr>
          <w:spacing w:val="-5"/>
        </w:rPr>
        <w:t> </w:t>
      </w:r>
      <w:r>
        <w:rPr/>
        <w:t>the</w:t>
      </w:r>
      <w:r>
        <w:rPr>
          <w:spacing w:val="-4"/>
        </w:rPr>
        <w:t> </w:t>
      </w:r>
      <w:r>
        <w:rPr/>
        <w:t>City</w:t>
      </w:r>
      <w:r>
        <w:rPr>
          <w:spacing w:val="-5"/>
        </w:rPr>
        <w:t> </w:t>
      </w:r>
      <w:r>
        <w:rPr/>
        <w:t>of</w:t>
      </w:r>
      <w:r>
        <w:rPr>
          <w:spacing w:val="-4"/>
        </w:rPr>
        <w:t> </w:t>
      </w:r>
      <w:r>
        <w:rPr/>
        <w:t>Richland,</w:t>
      </w:r>
      <w:r>
        <w:rPr>
          <w:spacing w:val="-7"/>
        </w:rPr>
        <w:t> </w:t>
      </w:r>
      <w:r>
        <w:rPr/>
        <w:t>some</w:t>
      </w:r>
      <w:r>
        <w:rPr>
          <w:spacing w:val="-5"/>
        </w:rPr>
        <w:t> </w:t>
      </w:r>
      <w:r>
        <w:rPr/>
        <w:t>of</w:t>
      </w:r>
      <w:r>
        <w:rPr>
          <w:spacing w:val="-4"/>
        </w:rPr>
        <w:t> </w:t>
      </w:r>
      <w:r>
        <w:rPr/>
        <w:t>these</w:t>
      </w:r>
      <w:r>
        <w:rPr>
          <w:spacing w:val="-6"/>
        </w:rPr>
        <w:t> </w:t>
      </w:r>
      <w:r>
        <w:rPr/>
        <w:t>are</w:t>
      </w:r>
      <w:r>
        <w:rPr>
          <w:spacing w:val="-4"/>
        </w:rPr>
        <w:t> </w:t>
      </w:r>
      <w:r>
        <w:rPr/>
        <w:t>operated</w:t>
      </w:r>
      <w:r>
        <w:rPr>
          <w:spacing w:val="-9"/>
        </w:rPr>
        <w:t> </w:t>
      </w:r>
      <w:r>
        <w:rPr/>
        <w:t>by</w:t>
      </w:r>
      <w:r>
        <w:rPr>
          <w:spacing w:val="-3"/>
        </w:rPr>
        <w:t> </w:t>
      </w:r>
      <w:r>
        <w:rPr/>
        <w:t>the</w:t>
      </w:r>
      <w:r>
        <w:rPr>
          <w:spacing w:val="-4"/>
        </w:rPr>
        <w:t> </w:t>
      </w:r>
      <w:r>
        <w:rPr/>
        <w:t>Washington</w:t>
      </w:r>
      <w:r>
        <w:rPr>
          <w:spacing w:val="-5"/>
        </w:rPr>
        <w:t> </w:t>
      </w:r>
      <w:r>
        <w:rPr/>
        <w:t>State Department of Transportation or through partnership by the City of</w:t>
      </w:r>
      <w:r>
        <w:rPr>
          <w:spacing w:val="-16"/>
        </w:rPr>
        <w:t> </w:t>
      </w:r>
      <w:r>
        <w:rPr/>
        <w:t>Kennewick.</w:t>
      </w:r>
    </w:p>
    <w:p>
      <w:pPr>
        <w:pStyle w:val="BodyText"/>
        <w:spacing w:before="120"/>
        <w:ind w:left="140" w:right="334"/>
        <w:jc w:val="both"/>
      </w:pPr>
      <w:r>
        <w:rPr/>
        <w:t>The Benton Franklin Council of Governments collected roadway segment volumes on the vast majority of the functionally classified roadways in the region from which to calibrate the regional traffic model. The results of these traffic counts within the City of Richland are shown in Figures T-2 and T-3 representing average weekday traffic volumes and PM peak hour traffic volumes.</w:t>
      </w:r>
    </w:p>
    <w:p>
      <w:pPr>
        <w:spacing w:before="199"/>
        <w:ind w:left="140" w:right="0" w:firstLine="0"/>
        <w:jc w:val="both"/>
        <w:rPr>
          <w:b/>
          <w:sz w:val="24"/>
        </w:rPr>
      </w:pPr>
      <w:bookmarkStart w:name="EXISTING NON-MOTORIZED SYSTEM" w:id="128"/>
      <w:bookmarkEnd w:id="128"/>
      <w:r>
        <w:rPr/>
      </w:r>
      <w:r>
        <w:rPr>
          <w:b/>
          <w:sz w:val="24"/>
        </w:rPr>
        <w:t>EXISTING NON-MOTORIZED SYSTEM</w:t>
      </w:r>
    </w:p>
    <w:p>
      <w:pPr>
        <w:spacing w:before="201"/>
        <w:ind w:left="140" w:right="0" w:firstLine="0"/>
        <w:jc w:val="both"/>
        <w:rPr>
          <w:b/>
          <w:sz w:val="22"/>
        </w:rPr>
      </w:pPr>
      <w:bookmarkStart w:name="Pedestrian Facilities" w:id="129"/>
      <w:bookmarkEnd w:id="129"/>
      <w:r>
        <w:rPr/>
      </w:r>
      <w:r>
        <w:rPr>
          <w:b/>
          <w:color w:val="C0504D"/>
          <w:sz w:val="22"/>
        </w:rPr>
        <w:t>Pedestrian Facilities</w:t>
      </w:r>
    </w:p>
    <w:p>
      <w:pPr>
        <w:pStyle w:val="BodyText"/>
        <w:spacing w:before="119"/>
        <w:ind w:left="139" w:right="331"/>
        <w:jc w:val="both"/>
      </w:pPr>
      <w:r>
        <w:rPr/>
        <w:t>Pedestrian facilities within the City of Richland are mainly composed of sidewalks constructed in association with streets and a separate bicycle and pedestrian trail discussed below. Current design standards for residential collectors and residential streets include provisions for 5-foot sidewalks; current</w:t>
      </w:r>
      <w:r>
        <w:rPr>
          <w:spacing w:val="-7"/>
        </w:rPr>
        <w:t> </w:t>
      </w:r>
      <w:r>
        <w:rPr/>
        <w:t>standards</w:t>
      </w:r>
      <w:r>
        <w:rPr>
          <w:spacing w:val="-3"/>
        </w:rPr>
        <w:t> </w:t>
      </w:r>
      <w:r>
        <w:rPr/>
        <w:t>for</w:t>
      </w:r>
      <w:r>
        <w:rPr>
          <w:spacing w:val="-5"/>
        </w:rPr>
        <w:t> </w:t>
      </w:r>
      <w:r>
        <w:rPr/>
        <w:t>the</w:t>
      </w:r>
      <w:r>
        <w:rPr>
          <w:spacing w:val="-6"/>
        </w:rPr>
        <w:t> </w:t>
      </w:r>
      <w:r>
        <w:rPr/>
        <w:t>Central</w:t>
      </w:r>
      <w:r>
        <w:rPr>
          <w:spacing w:val="-4"/>
        </w:rPr>
        <w:t> </w:t>
      </w:r>
      <w:r>
        <w:rPr/>
        <w:t>Business</w:t>
      </w:r>
      <w:r>
        <w:rPr>
          <w:spacing w:val="-3"/>
        </w:rPr>
        <w:t> </w:t>
      </w:r>
      <w:r>
        <w:rPr/>
        <w:t>District</w:t>
      </w:r>
      <w:r>
        <w:rPr>
          <w:spacing w:val="-7"/>
        </w:rPr>
        <w:t> </w:t>
      </w:r>
      <w:r>
        <w:rPr/>
        <w:t>and</w:t>
      </w:r>
      <w:r>
        <w:rPr>
          <w:spacing w:val="-4"/>
        </w:rPr>
        <w:t> </w:t>
      </w:r>
      <w:r>
        <w:rPr/>
        <w:t>C-2,</w:t>
      </w:r>
      <w:r>
        <w:rPr>
          <w:spacing w:val="-6"/>
        </w:rPr>
        <w:t> </w:t>
      </w:r>
      <w:r>
        <w:rPr/>
        <w:t>C-3</w:t>
      </w:r>
      <w:r>
        <w:rPr>
          <w:spacing w:val="-6"/>
        </w:rPr>
        <w:t> </w:t>
      </w:r>
      <w:r>
        <w:rPr/>
        <w:t>zoning</w:t>
      </w:r>
      <w:r>
        <w:rPr>
          <w:spacing w:val="-3"/>
        </w:rPr>
        <w:t> </w:t>
      </w:r>
      <w:r>
        <w:rPr/>
        <w:t>areas</w:t>
      </w:r>
      <w:r>
        <w:rPr>
          <w:spacing w:val="-6"/>
        </w:rPr>
        <w:t> </w:t>
      </w:r>
      <w:r>
        <w:rPr/>
        <w:t>adjacent</w:t>
      </w:r>
      <w:r>
        <w:rPr>
          <w:spacing w:val="-5"/>
        </w:rPr>
        <w:t> </w:t>
      </w:r>
      <w:r>
        <w:rPr/>
        <w:t>to</w:t>
      </w:r>
      <w:r>
        <w:rPr>
          <w:spacing w:val="-4"/>
        </w:rPr>
        <w:t> </w:t>
      </w:r>
      <w:r>
        <w:rPr/>
        <w:t>collectors</w:t>
      </w:r>
      <w:r>
        <w:rPr>
          <w:spacing w:val="-3"/>
        </w:rPr>
        <w:t> </w:t>
      </w:r>
      <w:r>
        <w:rPr/>
        <w:t>is 8-foot. However, not all existing residential areas have sidewalks. Bicycle paths, described below, also serve as pedestrian</w:t>
      </w:r>
      <w:r>
        <w:rPr>
          <w:spacing w:val="-7"/>
        </w:rPr>
        <w:t> </w:t>
      </w:r>
      <w:r>
        <w:rPr/>
        <w:t>pathways.</w:t>
      </w:r>
    </w:p>
    <w:p>
      <w:pPr>
        <w:spacing w:after="0"/>
        <w:jc w:val="both"/>
        <w:sectPr>
          <w:pgSz w:w="12240" w:h="15840"/>
          <w:pgMar w:header="0" w:footer="1132" w:top="1360" w:bottom="1320" w:left="1300" w:right="1100"/>
        </w:sectPr>
      </w:pPr>
    </w:p>
    <w:p>
      <w:pPr>
        <w:spacing w:before="80"/>
        <w:ind w:left="140" w:right="0" w:firstLine="0"/>
        <w:jc w:val="both"/>
        <w:rPr>
          <w:b/>
          <w:sz w:val="22"/>
        </w:rPr>
      </w:pPr>
      <w:bookmarkStart w:name="Bicycle Facilities" w:id="130"/>
      <w:bookmarkEnd w:id="130"/>
      <w:r>
        <w:rPr/>
      </w:r>
      <w:r>
        <w:rPr>
          <w:b/>
          <w:color w:val="C0504D"/>
          <w:sz w:val="22"/>
        </w:rPr>
        <w:t>Bicycle Facilities</w:t>
      </w:r>
    </w:p>
    <w:p>
      <w:pPr>
        <w:pStyle w:val="BodyText"/>
        <w:spacing w:before="119"/>
        <w:ind w:left="140" w:right="335"/>
        <w:jc w:val="both"/>
      </w:pPr>
      <w:r>
        <w:rPr/>
        <w:t>The City of Richland currently has a bicycle/pedestrian path network of about 30 miles of Class I trails that run along the Columbia River as part of the Sacajawea Heritage Trail network that traverses both sides of the Columbia River throughout the Tri-Cities area, Keene Road, SR-240 By- Pass, and a portion of the Yakima River. The bicycle/pedestrian network of facilities also includes</w:t>
      </w:r>
    </w:p>
    <w:p>
      <w:pPr>
        <w:pStyle w:val="ListParagraph"/>
        <w:numPr>
          <w:ilvl w:val="1"/>
          <w:numId w:val="5"/>
        </w:numPr>
        <w:tabs>
          <w:tab w:pos="628" w:val="left" w:leader="none"/>
        </w:tabs>
        <w:spacing w:line="240" w:lineRule="auto" w:before="0" w:after="0"/>
        <w:ind w:left="140" w:right="333" w:firstLine="0"/>
        <w:jc w:val="both"/>
        <w:rPr>
          <w:sz w:val="22"/>
        </w:rPr>
      </w:pPr>
      <w:r>
        <w:rPr>
          <w:sz w:val="22"/>
        </w:rPr>
        <w:t>miles of secondary trails and more than 36 miles of soft trails primarily in natural areas of Badger Mountain, South Columbia Point, Chamna Natural Preserveand the Amon Basin. There are continued plans to expand this bikeway network through the construction of additional segments. Since the last Comprehensive Plan Update, the City has designated about 68 miles of City streets as bicycle</w:t>
      </w:r>
      <w:r>
        <w:rPr>
          <w:spacing w:val="-10"/>
          <w:sz w:val="22"/>
        </w:rPr>
        <w:t> </w:t>
      </w:r>
      <w:r>
        <w:rPr>
          <w:sz w:val="22"/>
        </w:rPr>
        <w:t>routes,</w:t>
      </w:r>
      <w:r>
        <w:rPr>
          <w:spacing w:val="-9"/>
          <w:sz w:val="22"/>
        </w:rPr>
        <w:t> </w:t>
      </w:r>
      <w:r>
        <w:rPr>
          <w:sz w:val="22"/>
        </w:rPr>
        <w:t>including</w:t>
      </w:r>
      <w:r>
        <w:rPr>
          <w:spacing w:val="-9"/>
          <w:sz w:val="22"/>
        </w:rPr>
        <w:t> </w:t>
      </w:r>
      <w:r>
        <w:rPr>
          <w:sz w:val="22"/>
        </w:rPr>
        <w:t>principal</w:t>
      </w:r>
      <w:r>
        <w:rPr>
          <w:spacing w:val="-9"/>
          <w:sz w:val="22"/>
        </w:rPr>
        <w:t> </w:t>
      </w:r>
      <w:r>
        <w:rPr>
          <w:sz w:val="22"/>
        </w:rPr>
        <w:t>and</w:t>
      </w:r>
      <w:r>
        <w:rPr>
          <w:spacing w:val="-12"/>
          <w:sz w:val="22"/>
        </w:rPr>
        <w:t> </w:t>
      </w:r>
      <w:r>
        <w:rPr>
          <w:sz w:val="22"/>
        </w:rPr>
        <w:t>minor</w:t>
      </w:r>
      <w:r>
        <w:rPr>
          <w:spacing w:val="-10"/>
          <w:sz w:val="22"/>
        </w:rPr>
        <w:t> </w:t>
      </w:r>
      <w:r>
        <w:rPr>
          <w:sz w:val="22"/>
        </w:rPr>
        <w:t>arterials</w:t>
      </w:r>
      <w:r>
        <w:rPr>
          <w:spacing w:val="-8"/>
          <w:sz w:val="22"/>
        </w:rPr>
        <w:t> </w:t>
      </w:r>
      <w:r>
        <w:rPr>
          <w:sz w:val="22"/>
        </w:rPr>
        <w:t>and</w:t>
      </w:r>
      <w:r>
        <w:rPr>
          <w:spacing w:val="-12"/>
          <w:sz w:val="22"/>
        </w:rPr>
        <w:t> </w:t>
      </w:r>
      <w:r>
        <w:rPr>
          <w:sz w:val="22"/>
        </w:rPr>
        <w:t>some</w:t>
      </w:r>
      <w:r>
        <w:rPr>
          <w:spacing w:val="-10"/>
          <w:sz w:val="22"/>
        </w:rPr>
        <w:t> </w:t>
      </w:r>
      <w:r>
        <w:rPr>
          <w:sz w:val="22"/>
        </w:rPr>
        <w:t>collectors,</w:t>
      </w:r>
      <w:r>
        <w:rPr>
          <w:spacing w:val="-9"/>
          <w:sz w:val="22"/>
        </w:rPr>
        <w:t> </w:t>
      </w:r>
      <w:r>
        <w:rPr>
          <w:sz w:val="22"/>
        </w:rPr>
        <w:t>which</w:t>
      </w:r>
      <w:r>
        <w:rPr>
          <w:spacing w:val="-9"/>
          <w:sz w:val="22"/>
        </w:rPr>
        <w:t> </w:t>
      </w:r>
      <w:r>
        <w:rPr>
          <w:sz w:val="22"/>
        </w:rPr>
        <w:t>now</w:t>
      </w:r>
      <w:r>
        <w:rPr>
          <w:spacing w:val="-13"/>
          <w:sz w:val="22"/>
        </w:rPr>
        <w:t> </w:t>
      </w:r>
      <w:r>
        <w:rPr>
          <w:sz w:val="22"/>
        </w:rPr>
        <w:t>provide</w:t>
      </w:r>
      <w:r>
        <w:rPr>
          <w:spacing w:val="-11"/>
          <w:sz w:val="22"/>
        </w:rPr>
        <w:t> </w:t>
      </w:r>
      <w:r>
        <w:rPr>
          <w:sz w:val="22"/>
        </w:rPr>
        <w:t>major routes</w:t>
      </w:r>
      <w:r>
        <w:rPr>
          <w:spacing w:val="-8"/>
          <w:sz w:val="22"/>
        </w:rPr>
        <w:t> </w:t>
      </w:r>
      <w:r>
        <w:rPr>
          <w:sz w:val="22"/>
        </w:rPr>
        <w:t>through</w:t>
      </w:r>
      <w:r>
        <w:rPr>
          <w:spacing w:val="-9"/>
          <w:sz w:val="22"/>
        </w:rPr>
        <w:t> </w:t>
      </w:r>
      <w:r>
        <w:rPr>
          <w:sz w:val="22"/>
        </w:rPr>
        <w:t>and</w:t>
      </w:r>
      <w:r>
        <w:rPr>
          <w:spacing w:val="-9"/>
          <w:sz w:val="22"/>
        </w:rPr>
        <w:t> </w:t>
      </w:r>
      <w:r>
        <w:rPr>
          <w:sz w:val="22"/>
        </w:rPr>
        <w:t>across</w:t>
      </w:r>
      <w:r>
        <w:rPr>
          <w:spacing w:val="-10"/>
          <w:sz w:val="22"/>
        </w:rPr>
        <w:t> </w:t>
      </w:r>
      <w:r>
        <w:rPr>
          <w:sz w:val="22"/>
        </w:rPr>
        <w:t>the</w:t>
      </w:r>
      <w:r>
        <w:rPr>
          <w:spacing w:val="-9"/>
          <w:sz w:val="22"/>
        </w:rPr>
        <w:t> </w:t>
      </w:r>
      <w:r>
        <w:rPr>
          <w:sz w:val="22"/>
        </w:rPr>
        <w:t>City.</w:t>
      </w:r>
      <w:r>
        <w:rPr>
          <w:spacing w:val="-9"/>
          <w:sz w:val="22"/>
        </w:rPr>
        <w:t> </w:t>
      </w:r>
      <w:r>
        <w:rPr>
          <w:sz w:val="22"/>
        </w:rPr>
        <w:t>Links</w:t>
      </w:r>
      <w:r>
        <w:rPr>
          <w:spacing w:val="-8"/>
          <w:sz w:val="22"/>
        </w:rPr>
        <w:t> </w:t>
      </w:r>
      <w:r>
        <w:rPr>
          <w:sz w:val="22"/>
        </w:rPr>
        <w:t>to</w:t>
      </w:r>
      <w:r>
        <w:rPr>
          <w:spacing w:val="-9"/>
          <w:sz w:val="22"/>
        </w:rPr>
        <w:t> </w:t>
      </w:r>
      <w:r>
        <w:rPr>
          <w:sz w:val="22"/>
        </w:rPr>
        <w:t>the</w:t>
      </w:r>
      <w:r>
        <w:rPr>
          <w:spacing w:val="-11"/>
          <w:sz w:val="22"/>
        </w:rPr>
        <w:t> </w:t>
      </w:r>
      <w:r>
        <w:rPr>
          <w:sz w:val="22"/>
        </w:rPr>
        <w:t>other</w:t>
      </w:r>
      <w:r>
        <w:rPr>
          <w:spacing w:val="-9"/>
          <w:sz w:val="22"/>
        </w:rPr>
        <w:t> </w:t>
      </w:r>
      <w:r>
        <w:rPr>
          <w:sz w:val="22"/>
        </w:rPr>
        <w:t>cities</w:t>
      </w:r>
      <w:r>
        <w:rPr>
          <w:spacing w:val="-8"/>
          <w:sz w:val="22"/>
        </w:rPr>
        <w:t> </w:t>
      </w:r>
      <w:r>
        <w:rPr>
          <w:sz w:val="22"/>
        </w:rPr>
        <w:t>in</w:t>
      </w:r>
      <w:r>
        <w:rPr>
          <w:spacing w:val="-10"/>
          <w:sz w:val="22"/>
        </w:rPr>
        <w:t> </w:t>
      </w:r>
      <w:r>
        <w:rPr>
          <w:sz w:val="22"/>
        </w:rPr>
        <w:t>the</w:t>
      </w:r>
      <w:r>
        <w:rPr>
          <w:spacing w:val="-9"/>
          <w:sz w:val="22"/>
        </w:rPr>
        <w:t> </w:t>
      </w:r>
      <w:r>
        <w:rPr>
          <w:sz w:val="22"/>
        </w:rPr>
        <w:t>area</w:t>
      </w:r>
      <w:r>
        <w:rPr>
          <w:spacing w:val="-13"/>
          <w:sz w:val="22"/>
        </w:rPr>
        <w:t> </w:t>
      </w:r>
      <w:r>
        <w:rPr>
          <w:sz w:val="22"/>
        </w:rPr>
        <w:t>are</w:t>
      </w:r>
      <w:r>
        <w:rPr>
          <w:spacing w:val="-9"/>
          <w:sz w:val="22"/>
        </w:rPr>
        <w:t> </w:t>
      </w:r>
      <w:r>
        <w:rPr>
          <w:sz w:val="22"/>
        </w:rPr>
        <w:t>also</w:t>
      </w:r>
      <w:r>
        <w:rPr>
          <w:spacing w:val="-10"/>
          <w:sz w:val="22"/>
        </w:rPr>
        <w:t> </w:t>
      </w:r>
      <w:r>
        <w:rPr>
          <w:sz w:val="22"/>
        </w:rPr>
        <w:t>included</w:t>
      </w:r>
      <w:r>
        <w:rPr>
          <w:spacing w:val="-9"/>
          <w:sz w:val="22"/>
        </w:rPr>
        <w:t> </w:t>
      </w:r>
      <w:r>
        <w:rPr>
          <w:sz w:val="22"/>
        </w:rPr>
        <w:t>in</w:t>
      </w:r>
      <w:r>
        <w:rPr>
          <w:spacing w:val="-10"/>
          <w:sz w:val="22"/>
        </w:rPr>
        <w:t> </w:t>
      </w:r>
      <w:r>
        <w:rPr>
          <w:sz w:val="22"/>
        </w:rPr>
        <w:t>the</w:t>
      </w:r>
      <w:r>
        <w:rPr>
          <w:spacing w:val="-9"/>
          <w:sz w:val="22"/>
        </w:rPr>
        <w:t> </w:t>
      </w:r>
      <w:r>
        <w:rPr>
          <w:sz w:val="22"/>
        </w:rPr>
        <w:t>bicycle route network. Figure T-6 shows the existing bicycle route</w:t>
      </w:r>
      <w:r>
        <w:rPr>
          <w:spacing w:val="-14"/>
          <w:sz w:val="22"/>
        </w:rPr>
        <w:t> </w:t>
      </w:r>
      <w:r>
        <w:rPr>
          <w:sz w:val="22"/>
        </w:rPr>
        <w:t>system.</w:t>
      </w:r>
    </w:p>
    <w:p>
      <w:pPr>
        <w:spacing w:before="201"/>
        <w:ind w:left="140" w:right="0" w:firstLine="0"/>
        <w:jc w:val="both"/>
        <w:rPr>
          <w:b/>
          <w:sz w:val="24"/>
        </w:rPr>
      </w:pPr>
      <w:bookmarkStart w:name="Other Transportation Systems" w:id="131"/>
      <w:bookmarkEnd w:id="131"/>
      <w:r>
        <w:rPr/>
      </w:r>
      <w:r>
        <w:rPr>
          <w:b/>
          <w:sz w:val="24"/>
        </w:rPr>
        <w:t>OTHER TRANSPORTATION SYSTEMS</w:t>
      </w:r>
    </w:p>
    <w:p>
      <w:pPr>
        <w:spacing w:before="201"/>
        <w:ind w:left="140" w:right="0" w:firstLine="0"/>
        <w:jc w:val="both"/>
        <w:rPr>
          <w:b/>
          <w:sz w:val="22"/>
        </w:rPr>
      </w:pPr>
      <w:bookmarkStart w:name="Airport Facilities" w:id="132"/>
      <w:bookmarkEnd w:id="132"/>
      <w:r>
        <w:rPr/>
      </w:r>
      <w:r>
        <w:rPr>
          <w:b/>
          <w:color w:val="C0504D"/>
          <w:sz w:val="22"/>
        </w:rPr>
        <w:t>Airport Facilities</w:t>
      </w:r>
    </w:p>
    <w:p>
      <w:pPr>
        <w:pStyle w:val="BodyText"/>
        <w:spacing w:before="119"/>
        <w:ind w:left="139" w:right="334"/>
        <w:jc w:val="both"/>
      </w:pPr>
      <w:r>
        <w:rPr/>
        <w:t>Primary</w:t>
      </w:r>
      <w:r>
        <w:rPr>
          <w:spacing w:val="-6"/>
        </w:rPr>
        <w:t> </w:t>
      </w:r>
      <w:r>
        <w:rPr/>
        <w:t>air</w:t>
      </w:r>
      <w:r>
        <w:rPr>
          <w:spacing w:val="-5"/>
        </w:rPr>
        <w:t> </w:t>
      </w:r>
      <w:r>
        <w:rPr/>
        <w:t>traffic</w:t>
      </w:r>
      <w:r>
        <w:rPr>
          <w:spacing w:val="-3"/>
        </w:rPr>
        <w:t> </w:t>
      </w:r>
      <w:r>
        <w:rPr/>
        <w:t>to</w:t>
      </w:r>
      <w:r>
        <w:rPr>
          <w:spacing w:val="-5"/>
        </w:rPr>
        <w:t> </w:t>
      </w:r>
      <w:r>
        <w:rPr/>
        <w:t>Richland</w:t>
      </w:r>
      <w:r>
        <w:rPr>
          <w:spacing w:val="-4"/>
        </w:rPr>
        <w:t> </w:t>
      </w:r>
      <w:r>
        <w:rPr/>
        <w:t>uses</w:t>
      </w:r>
      <w:r>
        <w:rPr>
          <w:spacing w:val="-3"/>
        </w:rPr>
        <w:t> </w:t>
      </w:r>
      <w:r>
        <w:rPr/>
        <w:t>the</w:t>
      </w:r>
      <w:r>
        <w:rPr>
          <w:spacing w:val="-7"/>
        </w:rPr>
        <w:t> </w:t>
      </w:r>
      <w:r>
        <w:rPr/>
        <w:t>Tri-City</w:t>
      </w:r>
      <w:r>
        <w:rPr>
          <w:spacing w:val="-5"/>
        </w:rPr>
        <w:t> </w:t>
      </w:r>
      <w:r>
        <w:rPr/>
        <w:t>Airport</w:t>
      </w:r>
      <w:r>
        <w:rPr>
          <w:spacing w:val="-5"/>
        </w:rPr>
        <w:t> </w:t>
      </w:r>
      <w:r>
        <w:rPr/>
        <w:t>in</w:t>
      </w:r>
      <w:r>
        <w:rPr>
          <w:spacing w:val="-5"/>
        </w:rPr>
        <w:t> </w:t>
      </w:r>
      <w:r>
        <w:rPr/>
        <w:t>Pasco.</w:t>
      </w:r>
      <w:r>
        <w:rPr>
          <w:spacing w:val="-5"/>
        </w:rPr>
        <w:t> </w:t>
      </w:r>
      <w:r>
        <w:rPr/>
        <w:t>Downtown</w:t>
      </w:r>
      <w:r>
        <w:rPr>
          <w:spacing w:val="-5"/>
        </w:rPr>
        <w:t> </w:t>
      </w:r>
      <w:r>
        <w:rPr/>
        <w:t>Richland</w:t>
      </w:r>
      <w:r>
        <w:rPr>
          <w:spacing w:val="-4"/>
        </w:rPr>
        <w:t> </w:t>
      </w:r>
      <w:r>
        <w:rPr/>
        <w:t>and</w:t>
      </w:r>
      <w:r>
        <w:rPr>
          <w:spacing w:val="-6"/>
        </w:rPr>
        <w:t> </w:t>
      </w:r>
      <w:r>
        <w:rPr/>
        <w:t>Richland’s industrial</w:t>
      </w:r>
      <w:r>
        <w:rPr>
          <w:spacing w:val="-14"/>
        </w:rPr>
        <w:t> </w:t>
      </w:r>
      <w:r>
        <w:rPr/>
        <w:t>areas</w:t>
      </w:r>
      <w:r>
        <w:rPr>
          <w:spacing w:val="-10"/>
        </w:rPr>
        <w:t> </w:t>
      </w:r>
      <w:r>
        <w:rPr/>
        <w:t>are</w:t>
      </w:r>
      <w:r>
        <w:rPr>
          <w:spacing w:val="-11"/>
        </w:rPr>
        <w:t> </w:t>
      </w:r>
      <w:r>
        <w:rPr/>
        <w:t>a</w:t>
      </w:r>
      <w:r>
        <w:rPr>
          <w:spacing w:val="-10"/>
        </w:rPr>
        <w:t> </w:t>
      </w:r>
      <w:r>
        <w:rPr/>
        <w:t>20</w:t>
      </w:r>
      <w:r>
        <w:rPr>
          <w:spacing w:val="-11"/>
        </w:rPr>
        <w:t> </w:t>
      </w:r>
      <w:r>
        <w:rPr/>
        <w:t>minute</w:t>
      </w:r>
      <w:r>
        <w:rPr>
          <w:spacing w:val="-11"/>
        </w:rPr>
        <w:t> </w:t>
      </w:r>
      <w:r>
        <w:rPr/>
        <w:t>drive</w:t>
      </w:r>
      <w:r>
        <w:rPr>
          <w:spacing w:val="-11"/>
        </w:rPr>
        <w:t> </w:t>
      </w:r>
      <w:r>
        <w:rPr/>
        <w:t>via</w:t>
      </w:r>
      <w:r>
        <w:rPr>
          <w:spacing w:val="-10"/>
        </w:rPr>
        <w:t> </w:t>
      </w:r>
      <w:r>
        <w:rPr/>
        <w:t>I-182</w:t>
      </w:r>
      <w:r>
        <w:rPr>
          <w:spacing w:val="-11"/>
        </w:rPr>
        <w:t> </w:t>
      </w:r>
      <w:r>
        <w:rPr/>
        <w:t>to</w:t>
      </w:r>
      <w:r>
        <w:rPr>
          <w:spacing w:val="-11"/>
        </w:rPr>
        <w:t> </w:t>
      </w:r>
      <w:r>
        <w:rPr/>
        <w:t>the</w:t>
      </w:r>
      <w:r>
        <w:rPr>
          <w:spacing w:val="-11"/>
        </w:rPr>
        <w:t> </w:t>
      </w:r>
      <w:r>
        <w:rPr/>
        <w:t>airport.</w:t>
      </w:r>
      <w:r>
        <w:rPr>
          <w:spacing w:val="-13"/>
        </w:rPr>
        <w:t> </w:t>
      </w:r>
      <w:r>
        <w:rPr/>
        <w:t>The</w:t>
      </w:r>
      <w:r>
        <w:rPr>
          <w:spacing w:val="-11"/>
        </w:rPr>
        <w:t> </w:t>
      </w:r>
      <w:r>
        <w:rPr/>
        <w:t>airport</w:t>
      </w:r>
      <w:r>
        <w:rPr>
          <w:spacing w:val="-14"/>
        </w:rPr>
        <w:t> </w:t>
      </w:r>
      <w:r>
        <w:rPr/>
        <w:t>is</w:t>
      </w:r>
      <w:r>
        <w:rPr>
          <w:spacing w:val="-12"/>
        </w:rPr>
        <w:t> </w:t>
      </w:r>
      <w:r>
        <w:rPr/>
        <w:t>classified</w:t>
      </w:r>
      <w:r>
        <w:rPr>
          <w:spacing w:val="-12"/>
        </w:rPr>
        <w:t> </w:t>
      </w:r>
      <w:r>
        <w:rPr/>
        <w:t>as</w:t>
      </w:r>
      <w:r>
        <w:rPr>
          <w:spacing w:val="-10"/>
        </w:rPr>
        <w:t> </w:t>
      </w:r>
      <w:r>
        <w:rPr/>
        <w:t>an</w:t>
      </w:r>
      <w:r>
        <w:rPr>
          <w:spacing w:val="-12"/>
        </w:rPr>
        <w:t> </w:t>
      </w:r>
      <w:r>
        <w:rPr/>
        <w:t>air</w:t>
      </w:r>
      <w:r>
        <w:rPr>
          <w:spacing w:val="-11"/>
        </w:rPr>
        <w:t> </w:t>
      </w:r>
      <w:r>
        <w:rPr/>
        <w:t>carrier airport, and offers direct passenger service to Seattle, Portland, Salt Lake City, San Francisco, Minneapolis/St.</w:t>
      </w:r>
      <w:r>
        <w:rPr>
          <w:spacing w:val="-10"/>
        </w:rPr>
        <w:t> </w:t>
      </w:r>
      <w:r>
        <w:rPr/>
        <w:t>Paul,</w:t>
      </w:r>
      <w:r>
        <w:rPr>
          <w:spacing w:val="-9"/>
        </w:rPr>
        <w:t> </w:t>
      </w:r>
      <w:r>
        <w:rPr/>
        <w:t>Denver,</w:t>
      </w:r>
      <w:r>
        <w:rPr>
          <w:spacing w:val="-10"/>
        </w:rPr>
        <w:t> </w:t>
      </w:r>
      <w:r>
        <w:rPr/>
        <w:t>Los</w:t>
      </w:r>
      <w:r>
        <w:rPr>
          <w:spacing w:val="-8"/>
        </w:rPr>
        <w:t> </w:t>
      </w:r>
      <w:r>
        <w:rPr/>
        <w:t>Angeles,</w:t>
      </w:r>
      <w:r>
        <w:rPr>
          <w:spacing w:val="-10"/>
        </w:rPr>
        <w:t> </w:t>
      </w:r>
      <w:r>
        <w:rPr/>
        <w:t>Las</w:t>
      </w:r>
      <w:r>
        <w:rPr>
          <w:spacing w:val="-8"/>
        </w:rPr>
        <w:t> </w:t>
      </w:r>
      <w:r>
        <w:rPr/>
        <w:t>Vegas,</w:t>
      </w:r>
      <w:r>
        <w:rPr>
          <w:spacing w:val="-10"/>
        </w:rPr>
        <w:t> </w:t>
      </w:r>
      <w:r>
        <w:rPr/>
        <w:t>and</w:t>
      </w:r>
      <w:r>
        <w:rPr>
          <w:spacing w:val="-9"/>
        </w:rPr>
        <w:t> </w:t>
      </w:r>
      <w:r>
        <w:rPr/>
        <w:t>Mesa,</w:t>
      </w:r>
      <w:r>
        <w:rPr>
          <w:spacing w:val="-10"/>
        </w:rPr>
        <w:t> </w:t>
      </w:r>
      <w:r>
        <w:rPr/>
        <w:t>Arizona.</w:t>
      </w:r>
      <w:r>
        <w:rPr>
          <w:spacing w:val="-9"/>
        </w:rPr>
        <w:t> </w:t>
      </w:r>
      <w:r>
        <w:rPr/>
        <w:t>Commuter</w:t>
      </w:r>
      <w:r>
        <w:rPr>
          <w:spacing w:val="-10"/>
        </w:rPr>
        <w:t> </w:t>
      </w:r>
      <w:r>
        <w:rPr/>
        <w:t>airlines</w:t>
      </w:r>
      <w:r>
        <w:rPr>
          <w:spacing w:val="-8"/>
        </w:rPr>
        <w:t> </w:t>
      </w:r>
      <w:r>
        <w:rPr/>
        <w:t>also</w:t>
      </w:r>
      <w:r>
        <w:rPr>
          <w:spacing w:val="-10"/>
        </w:rPr>
        <w:t> </w:t>
      </w:r>
      <w:r>
        <w:rPr/>
        <w:t>link the Tri-Cities with other regional cities. Tri-City Airport passenger carriers include Allegiant, Delta, Alaska/Horizon, and United Express. UPS, Federal Express, and Ameriflight freight service is also provided. MedStar provides air ambulance service from the Tri-Cities Airport. In 2016, annual passenger enplanements at the Tri-Cities airport were over 375,000, making it the third busiest airport in the state of Washington. The Port of Pasco owns the Tri-City Airport, which features a newly expanded 110,000 square-foot terminal with state of the art services. The airport contains 2,235 acres and has three runways. The airport master plan identifies a runway extension to accommodate larger aircraft to serve the</w:t>
      </w:r>
      <w:r>
        <w:rPr>
          <w:spacing w:val="-10"/>
        </w:rPr>
        <w:t> </w:t>
      </w:r>
      <w:r>
        <w:rPr/>
        <w:t>region.</w:t>
      </w:r>
    </w:p>
    <w:p>
      <w:pPr>
        <w:pStyle w:val="BodyText"/>
        <w:spacing w:before="121"/>
        <w:ind w:left="140" w:right="333"/>
        <w:jc w:val="both"/>
      </w:pPr>
      <w:r>
        <w:rPr/>
        <w:t>The</w:t>
      </w:r>
      <w:r>
        <w:rPr>
          <w:spacing w:val="-3"/>
        </w:rPr>
        <w:t> </w:t>
      </w:r>
      <w:r>
        <w:rPr/>
        <w:t>Richland</w:t>
      </w:r>
      <w:r>
        <w:rPr>
          <w:spacing w:val="-2"/>
        </w:rPr>
        <w:t> </w:t>
      </w:r>
      <w:r>
        <w:rPr/>
        <w:t>Airport,</w:t>
      </w:r>
      <w:r>
        <w:rPr>
          <w:spacing w:val="-2"/>
        </w:rPr>
        <w:t> </w:t>
      </w:r>
      <w:r>
        <w:rPr/>
        <w:t>owned</w:t>
      </w:r>
      <w:r>
        <w:rPr>
          <w:spacing w:val="-2"/>
        </w:rPr>
        <w:t> </w:t>
      </w:r>
      <w:r>
        <w:rPr/>
        <w:t>and</w:t>
      </w:r>
      <w:r>
        <w:rPr>
          <w:spacing w:val="-3"/>
        </w:rPr>
        <w:t> </w:t>
      </w:r>
      <w:r>
        <w:rPr/>
        <w:t>operated</w:t>
      </w:r>
      <w:r>
        <w:rPr>
          <w:spacing w:val="-2"/>
        </w:rPr>
        <w:t> </w:t>
      </w:r>
      <w:r>
        <w:rPr/>
        <w:t>by</w:t>
      </w:r>
      <w:r>
        <w:rPr>
          <w:spacing w:val="-3"/>
        </w:rPr>
        <w:t> </w:t>
      </w:r>
      <w:r>
        <w:rPr/>
        <w:t>the</w:t>
      </w:r>
      <w:r>
        <w:rPr>
          <w:spacing w:val="-2"/>
        </w:rPr>
        <w:t> </w:t>
      </w:r>
      <w:r>
        <w:rPr/>
        <w:t>Port</w:t>
      </w:r>
      <w:r>
        <w:rPr>
          <w:spacing w:val="-3"/>
        </w:rPr>
        <w:t> </w:t>
      </w:r>
      <w:r>
        <w:rPr/>
        <w:t>of</w:t>
      </w:r>
      <w:r>
        <w:rPr>
          <w:spacing w:val="-2"/>
        </w:rPr>
        <w:t> </w:t>
      </w:r>
      <w:r>
        <w:rPr/>
        <w:t>Benton,</w:t>
      </w:r>
      <w:r>
        <w:rPr>
          <w:spacing w:val="-2"/>
        </w:rPr>
        <w:t> </w:t>
      </w:r>
      <w:r>
        <w:rPr/>
        <w:t>is</w:t>
      </w:r>
      <w:r>
        <w:rPr>
          <w:spacing w:val="-1"/>
        </w:rPr>
        <w:t> </w:t>
      </w:r>
      <w:r>
        <w:rPr/>
        <w:t>classified</w:t>
      </w:r>
      <w:r>
        <w:rPr>
          <w:spacing w:val="-5"/>
        </w:rPr>
        <w:t> </w:t>
      </w:r>
      <w:r>
        <w:rPr/>
        <w:t>as</w:t>
      </w:r>
      <w:r>
        <w:rPr>
          <w:spacing w:val="-1"/>
        </w:rPr>
        <w:t> </w:t>
      </w:r>
      <w:r>
        <w:rPr/>
        <w:t>a</w:t>
      </w:r>
      <w:r>
        <w:rPr>
          <w:spacing w:val="-4"/>
        </w:rPr>
        <w:t> </w:t>
      </w:r>
      <w:r>
        <w:rPr/>
        <w:t>commuter</w:t>
      </w:r>
      <w:r>
        <w:rPr>
          <w:spacing w:val="-4"/>
        </w:rPr>
        <w:t> </w:t>
      </w:r>
      <w:r>
        <w:rPr/>
        <w:t>service airport. Located northwest of Richland’s core area, it is the second largest airport in the area. A system of roadways links hangars, fixed-based operators, and commuter terminal facilities to associated industrial properties. The 650-acre airport has two 4,000-foot runways capable of supporting</w:t>
      </w:r>
      <w:r>
        <w:rPr>
          <w:spacing w:val="-4"/>
        </w:rPr>
        <w:t> </w:t>
      </w:r>
      <w:r>
        <w:rPr/>
        <w:t>commuter</w:t>
      </w:r>
      <w:r>
        <w:rPr>
          <w:spacing w:val="-2"/>
        </w:rPr>
        <w:t> </w:t>
      </w:r>
      <w:r>
        <w:rPr/>
        <w:t>aviation.</w:t>
      </w:r>
      <w:r>
        <w:rPr>
          <w:spacing w:val="-4"/>
        </w:rPr>
        <w:t> </w:t>
      </w:r>
      <w:r>
        <w:rPr/>
        <w:t>The</w:t>
      </w:r>
      <w:r>
        <w:rPr>
          <w:spacing w:val="-2"/>
        </w:rPr>
        <w:t> </w:t>
      </w:r>
      <w:r>
        <w:rPr/>
        <w:t>airport</w:t>
      </w:r>
      <w:r>
        <w:rPr>
          <w:spacing w:val="-5"/>
        </w:rPr>
        <w:t> </w:t>
      </w:r>
      <w:r>
        <w:rPr/>
        <w:t>master</w:t>
      </w:r>
      <w:r>
        <w:rPr>
          <w:spacing w:val="-5"/>
        </w:rPr>
        <w:t> </w:t>
      </w:r>
      <w:r>
        <w:rPr/>
        <w:t>plan</w:t>
      </w:r>
      <w:r>
        <w:rPr>
          <w:spacing w:val="-3"/>
        </w:rPr>
        <w:t> </w:t>
      </w:r>
      <w:r>
        <w:rPr/>
        <w:t>calls</w:t>
      </w:r>
      <w:r>
        <w:rPr>
          <w:spacing w:val="-1"/>
        </w:rPr>
        <w:t> </w:t>
      </w:r>
      <w:r>
        <w:rPr/>
        <w:t>for</w:t>
      </w:r>
      <w:r>
        <w:rPr>
          <w:spacing w:val="-2"/>
        </w:rPr>
        <w:t> </w:t>
      </w:r>
      <w:r>
        <w:rPr/>
        <w:t>a</w:t>
      </w:r>
      <w:r>
        <w:rPr>
          <w:spacing w:val="-2"/>
        </w:rPr>
        <w:t> </w:t>
      </w:r>
      <w:r>
        <w:rPr/>
        <w:t>runway</w:t>
      </w:r>
      <w:r>
        <w:rPr>
          <w:spacing w:val="-3"/>
        </w:rPr>
        <w:t> </w:t>
      </w:r>
      <w:r>
        <w:rPr/>
        <w:t>extension</w:t>
      </w:r>
      <w:r>
        <w:rPr>
          <w:spacing w:val="-3"/>
        </w:rPr>
        <w:t> </w:t>
      </w:r>
      <w:r>
        <w:rPr/>
        <w:t>to</w:t>
      </w:r>
      <w:r>
        <w:rPr>
          <w:spacing w:val="-2"/>
        </w:rPr>
        <w:t> </w:t>
      </w:r>
      <w:r>
        <w:rPr/>
        <w:t>the</w:t>
      </w:r>
      <w:r>
        <w:rPr>
          <w:spacing w:val="-2"/>
        </w:rPr>
        <w:t> </w:t>
      </w:r>
      <w:r>
        <w:rPr/>
        <w:t>north</w:t>
      </w:r>
      <w:r>
        <w:rPr>
          <w:spacing w:val="-4"/>
        </w:rPr>
        <w:t> </w:t>
      </w:r>
      <w:r>
        <w:rPr/>
        <w:t>for a total of 5,000 feet in order to accommodate faster aircraft and corporate jets. This runway extension will require study and potential mitigation since the Runway Protection Zone will be extended over SR 240 and some developed industrial properties. At this time, the airport serves general aviation aircraft only, with 165 aircraft based there. This is a marked increase in recent years due to the closure of Vista Field in Kennewick. DHL provides daily flights for domestic and international shipping from the Richland Airport. MedStar also provides air ambulance service from</w:t>
      </w:r>
      <w:bookmarkStart w:name="Rail Freight Facilities" w:id="133"/>
      <w:bookmarkEnd w:id="133"/>
      <w:r>
        <w:rPr/>
      </w:r>
      <w:r>
        <w:rPr/>
        <w:t> the Richland</w:t>
      </w:r>
      <w:r>
        <w:rPr>
          <w:spacing w:val="-3"/>
        </w:rPr>
        <w:t> </w:t>
      </w:r>
      <w:r>
        <w:rPr/>
        <w:t>Airport.</w:t>
      </w:r>
    </w:p>
    <w:p>
      <w:pPr>
        <w:spacing w:before="200"/>
        <w:ind w:left="140" w:right="0" w:firstLine="0"/>
        <w:jc w:val="both"/>
        <w:rPr>
          <w:b/>
          <w:sz w:val="22"/>
        </w:rPr>
      </w:pPr>
      <w:r>
        <w:rPr>
          <w:b/>
          <w:color w:val="C0504D"/>
          <w:sz w:val="22"/>
        </w:rPr>
        <w:t>Rail Freight Facilities</w:t>
      </w:r>
    </w:p>
    <w:p>
      <w:pPr>
        <w:pStyle w:val="BodyText"/>
        <w:spacing w:before="119"/>
        <w:ind w:left="140" w:right="333"/>
        <w:jc w:val="both"/>
      </w:pPr>
      <w:r>
        <w:rPr/>
        <w:t>Both the Burlington Northern and Union Pacific railroads provide mainline rail service to more than 35 states from the Tri-Cities, including service from Richland’s industrial area. The Tri-Cities urban region is the only major metropolitan and manufacturing area between the Cascade Range and the Rocky Mountains offering this level of service from these two major national carriers.</w:t>
      </w:r>
    </w:p>
    <w:p>
      <w:pPr>
        <w:spacing w:after="0"/>
        <w:jc w:val="both"/>
        <w:sectPr>
          <w:pgSz w:w="12240" w:h="15840"/>
          <w:pgMar w:header="0" w:footer="1132" w:top="1360" w:bottom="1320" w:left="1300" w:right="1100"/>
        </w:sectPr>
      </w:pPr>
    </w:p>
    <w:p>
      <w:pPr>
        <w:pStyle w:val="BodyText"/>
        <w:spacing w:before="80"/>
        <w:ind w:left="140" w:right="336"/>
        <w:jc w:val="both"/>
      </w:pPr>
      <w:r>
        <w:rPr/>
        <w:t>Burlington Northern, the nation’s longest railroad, has its Pacific Northwest hub in the Tri-Cities. Union</w:t>
      </w:r>
      <w:r>
        <w:rPr>
          <w:spacing w:val="-4"/>
        </w:rPr>
        <w:t> </w:t>
      </w:r>
      <w:r>
        <w:rPr/>
        <w:t>Pacific,</w:t>
      </w:r>
      <w:r>
        <w:rPr>
          <w:spacing w:val="-2"/>
        </w:rPr>
        <w:t> </w:t>
      </w:r>
      <w:r>
        <w:rPr/>
        <w:t>the</w:t>
      </w:r>
      <w:r>
        <w:rPr>
          <w:spacing w:val="-2"/>
        </w:rPr>
        <w:t> </w:t>
      </w:r>
      <w:r>
        <w:rPr/>
        <w:t>nation’s</w:t>
      </w:r>
      <w:r>
        <w:rPr>
          <w:spacing w:val="-4"/>
        </w:rPr>
        <w:t> </w:t>
      </w:r>
      <w:r>
        <w:rPr/>
        <w:t>second</w:t>
      </w:r>
      <w:r>
        <w:rPr>
          <w:spacing w:val="-2"/>
        </w:rPr>
        <w:t> </w:t>
      </w:r>
      <w:r>
        <w:rPr/>
        <w:t>longest</w:t>
      </w:r>
      <w:r>
        <w:rPr>
          <w:spacing w:val="-2"/>
        </w:rPr>
        <w:t> </w:t>
      </w:r>
      <w:r>
        <w:rPr/>
        <w:t>railroad,</w:t>
      </w:r>
      <w:r>
        <w:rPr>
          <w:spacing w:val="-5"/>
        </w:rPr>
        <w:t> </w:t>
      </w:r>
      <w:r>
        <w:rPr/>
        <w:t>connects</w:t>
      </w:r>
      <w:r>
        <w:rPr>
          <w:spacing w:val="-3"/>
        </w:rPr>
        <w:t> </w:t>
      </w:r>
      <w:r>
        <w:rPr/>
        <w:t>the</w:t>
      </w:r>
      <w:r>
        <w:rPr>
          <w:spacing w:val="-4"/>
        </w:rPr>
        <w:t> </w:t>
      </w:r>
      <w:r>
        <w:rPr/>
        <w:t>Tri-Cities</w:t>
      </w:r>
      <w:r>
        <w:rPr>
          <w:spacing w:val="-1"/>
        </w:rPr>
        <w:t> </w:t>
      </w:r>
      <w:r>
        <w:rPr/>
        <w:t>to</w:t>
      </w:r>
      <w:r>
        <w:rPr>
          <w:spacing w:val="-3"/>
        </w:rPr>
        <w:t> </w:t>
      </w:r>
      <w:r>
        <w:rPr/>
        <w:t>the</w:t>
      </w:r>
      <w:r>
        <w:rPr>
          <w:spacing w:val="-2"/>
        </w:rPr>
        <w:t> </w:t>
      </w:r>
      <w:r>
        <w:rPr/>
        <w:t>Great</w:t>
      </w:r>
      <w:r>
        <w:rPr>
          <w:spacing w:val="-5"/>
        </w:rPr>
        <w:t> </w:t>
      </w:r>
      <w:r>
        <w:rPr/>
        <w:t>Lakes</w:t>
      </w:r>
      <w:r>
        <w:rPr>
          <w:spacing w:val="-4"/>
        </w:rPr>
        <w:t> </w:t>
      </w:r>
      <w:r>
        <w:rPr/>
        <w:t>and</w:t>
      </w:r>
      <w:r>
        <w:rPr>
          <w:spacing w:val="-2"/>
        </w:rPr>
        <w:t> </w:t>
      </w:r>
      <w:r>
        <w:rPr/>
        <w:t>the Gulf of Mexico. Union Pacific operates the largest fleet of refrigerated rail cars in the</w:t>
      </w:r>
      <w:r>
        <w:rPr>
          <w:spacing w:val="-27"/>
        </w:rPr>
        <w:t> </w:t>
      </w:r>
      <w:r>
        <w:rPr/>
        <w:t>nation.</w:t>
      </w:r>
    </w:p>
    <w:p>
      <w:pPr>
        <w:pStyle w:val="BodyText"/>
        <w:spacing w:before="119"/>
        <w:ind w:left="140" w:right="333"/>
        <w:jc w:val="both"/>
      </w:pPr>
      <w:r>
        <w:rPr/>
        <w:t>Tri-City rail service passes through Pasco’s computerized terminal or through the Kennewick rail yard. Both are within 10 miles of downtown Richland. Computerized rail service and flatcar ramps provide</w:t>
      </w:r>
      <w:r>
        <w:rPr>
          <w:spacing w:val="-7"/>
        </w:rPr>
        <w:t> </w:t>
      </w:r>
      <w:r>
        <w:rPr/>
        <w:t>quick,</w:t>
      </w:r>
      <w:r>
        <w:rPr>
          <w:spacing w:val="-7"/>
        </w:rPr>
        <w:t> </w:t>
      </w:r>
      <w:r>
        <w:rPr/>
        <w:t>efficient</w:t>
      </w:r>
      <w:r>
        <w:rPr>
          <w:spacing w:val="-8"/>
        </w:rPr>
        <w:t> </w:t>
      </w:r>
      <w:r>
        <w:rPr/>
        <w:t>truck-to-rail</w:t>
      </w:r>
      <w:r>
        <w:rPr>
          <w:spacing w:val="-10"/>
        </w:rPr>
        <w:t> </w:t>
      </w:r>
      <w:r>
        <w:rPr/>
        <w:t>exchanges,</w:t>
      </w:r>
      <w:r>
        <w:rPr>
          <w:spacing w:val="-7"/>
        </w:rPr>
        <w:t> </w:t>
      </w:r>
      <w:r>
        <w:rPr/>
        <w:t>an</w:t>
      </w:r>
      <w:r>
        <w:rPr>
          <w:spacing w:val="-11"/>
        </w:rPr>
        <w:t> </w:t>
      </w:r>
      <w:r>
        <w:rPr/>
        <w:t>important</w:t>
      </w:r>
      <w:r>
        <w:rPr>
          <w:spacing w:val="-10"/>
        </w:rPr>
        <w:t> </w:t>
      </w:r>
      <w:r>
        <w:rPr/>
        <w:t>consideration</w:t>
      </w:r>
      <w:r>
        <w:rPr>
          <w:spacing w:val="-8"/>
        </w:rPr>
        <w:t> </w:t>
      </w:r>
      <w:r>
        <w:rPr/>
        <w:t>for</w:t>
      </w:r>
      <w:r>
        <w:rPr>
          <w:spacing w:val="-8"/>
        </w:rPr>
        <w:t> </w:t>
      </w:r>
      <w:r>
        <w:rPr/>
        <w:t>the</w:t>
      </w:r>
      <w:r>
        <w:rPr>
          <w:spacing w:val="-7"/>
        </w:rPr>
        <w:t> </w:t>
      </w:r>
      <w:r>
        <w:rPr/>
        <w:t>area’s</w:t>
      </w:r>
      <w:r>
        <w:rPr>
          <w:spacing w:val="-7"/>
        </w:rPr>
        <w:t> </w:t>
      </w:r>
      <w:r>
        <w:rPr/>
        <w:t>large</w:t>
      </w:r>
      <w:r>
        <w:rPr>
          <w:spacing w:val="-7"/>
        </w:rPr>
        <w:t> </w:t>
      </w:r>
      <w:r>
        <w:rPr/>
        <w:t>fresh, frozen, and processed food industry. Significant extensions of the rail system have been made in recent years to serve the Horn Rapids Industrial Park, including a loop that accommodates Unit Trains which are typically longer than one mile in length. Total length of railroad track within the City of Richland is 30 miles and is shown in Figure T-7. There are 11 at-grade crossings of the railroad.</w:t>
      </w:r>
    </w:p>
    <w:p>
      <w:pPr>
        <w:pStyle w:val="BodyText"/>
        <w:spacing w:before="121"/>
        <w:ind w:left="140" w:right="333"/>
        <w:jc w:val="both"/>
      </w:pPr>
      <w:r>
        <w:rPr/>
        <w:t>The Port of Benton owns a railroad track connecting Richland to the Union Pacific Railroad and Burlington Northern Santa Fe systems. The Port track enables rail service to the City's Horn Rapids Industrial Park, in which the City has developed a City-owned industrial service railroad track. Several existing industrial businesses now take rail service over these tracks. Additional available development</w:t>
      </w:r>
      <w:r>
        <w:rPr>
          <w:spacing w:val="-10"/>
        </w:rPr>
        <w:t> </w:t>
      </w:r>
      <w:r>
        <w:rPr/>
        <w:t>property</w:t>
      </w:r>
      <w:r>
        <w:rPr>
          <w:spacing w:val="-11"/>
        </w:rPr>
        <w:t> </w:t>
      </w:r>
      <w:r>
        <w:rPr/>
        <w:t>could</w:t>
      </w:r>
      <w:r>
        <w:rPr>
          <w:spacing w:val="-10"/>
        </w:rPr>
        <w:t> </w:t>
      </w:r>
      <w:r>
        <w:rPr/>
        <w:t>expand</w:t>
      </w:r>
      <w:r>
        <w:rPr>
          <w:spacing w:val="-9"/>
        </w:rPr>
        <w:t> </w:t>
      </w:r>
      <w:r>
        <w:rPr/>
        <w:t>rail</w:t>
      </w:r>
      <w:r>
        <w:rPr>
          <w:spacing w:val="-13"/>
        </w:rPr>
        <w:t> </w:t>
      </w:r>
      <w:r>
        <w:rPr/>
        <w:t>shipping</w:t>
      </w:r>
      <w:r>
        <w:rPr>
          <w:spacing w:val="-9"/>
        </w:rPr>
        <w:t> </w:t>
      </w:r>
      <w:r>
        <w:rPr/>
        <w:t>businesses</w:t>
      </w:r>
      <w:r>
        <w:rPr>
          <w:spacing w:val="-8"/>
        </w:rPr>
        <w:t> </w:t>
      </w:r>
      <w:r>
        <w:rPr/>
        <w:t>in</w:t>
      </w:r>
      <w:r>
        <w:rPr>
          <w:spacing w:val="-11"/>
        </w:rPr>
        <w:t> </w:t>
      </w:r>
      <w:r>
        <w:rPr/>
        <w:t>the</w:t>
      </w:r>
      <w:r>
        <w:rPr>
          <w:spacing w:val="-12"/>
        </w:rPr>
        <w:t> </w:t>
      </w:r>
      <w:r>
        <w:rPr/>
        <w:t>future.</w:t>
      </w:r>
      <w:r>
        <w:rPr>
          <w:spacing w:val="30"/>
        </w:rPr>
        <w:t> </w:t>
      </w:r>
      <w:r>
        <w:rPr/>
        <w:t>At</w:t>
      </w:r>
      <w:r>
        <w:rPr>
          <w:spacing w:val="-12"/>
        </w:rPr>
        <w:t> </w:t>
      </w:r>
      <w:r>
        <w:rPr/>
        <w:t>present</w:t>
      </w:r>
      <w:r>
        <w:rPr>
          <w:spacing w:val="-10"/>
        </w:rPr>
        <w:t> </w:t>
      </w:r>
      <w:r>
        <w:rPr/>
        <w:t>the</w:t>
      </w:r>
      <w:r>
        <w:rPr>
          <w:spacing w:val="-10"/>
        </w:rPr>
        <w:t> </w:t>
      </w:r>
      <w:r>
        <w:rPr/>
        <w:t>Port</w:t>
      </w:r>
      <w:r>
        <w:rPr>
          <w:spacing w:val="-9"/>
        </w:rPr>
        <w:t> </w:t>
      </w:r>
      <w:r>
        <w:rPr/>
        <w:t>leases its</w:t>
      </w:r>
      <w:r>
        <w:rPr>
          <w:spacing w:val="-4"/>
        </w:rPr>
        <w:t> </w:t>
      </w:r>
      <w:r>
        <w:rPr/>
        <w:t>track</w:t>
      </w:r>
      <w:r>
        <w:rPr>
          <w:spacing w:val="-5"/>
        </w:rPr>
        <w:t> </w:t>
      </w:r>
      <w:r>
        <w:rPr/>
        <w:t>to</w:t>
      </w:r>
      <w:r>
        <w:rPr>
          <w:spacing w:val="-4"/>
        </w:rPr>
        <w:t> </w:t>
      </w:r>
      <w:r>
        <w:rPr/>
        <w:t>the</w:t>
      </w:r>
      <w:r>
        <w:rPr>
          <w:spacing w:val="-7"/>
        </w:rPr>
        <w:t> </w:t>
      </w:r>
      <w:r>
        <w:rPr/>
        <w:t>Tri-City</w:t>
      </w:r>
      <w:r>
        <w:rPr>
          <w:spacing w:val="-6"/>
        </w:rPr>
        <w:t> </w:t>
      </w:r>
      <w:r>
        <w:rPr/>
        <w:t>Railroad,</w:t>
      </w:r>
      <w:r>
        <w:rPr>
          <w:spacing w:val="-4"/>
        </w:rPr>
        <w:t> </w:t>
      </w:r>
      <w:r>
        <w:rPr/>
        <w:t>who</w:t>
      </w:r>
      <w:r>
        <w:rPr>
          <w:spacing w:val="-4"/>
        </w:rPr>
        <w:t> </w:t>
      </w:r>
      <w:r>
        <w:rPr/>
        <w:t>maintains</w:t>
      </w:r>
      <w:r>
        <w:rPr>
          <w:spacing w:val="-3"/>
        </w:rPr>
        <w:t> </w:t>
      </w:r>
      <w:r>
        <w:rPr/>
        <w:t>the</w:t>
      </w:r>
      <w:r>
        <w:rPr>
          <w:spacing w:val="-7"/>
        </w:rPr>
        <w:t> </w:t>
      </w:r>
      <w:r>
        <w:rPr/>
        <w:t>Port's</w:t>
      </w:r>
      <w:r>
        <w:rPr>
          <w:spacing w:val="-3"/>
        </w:rPr>
        <w:t> </w:t>
      </w:r>
      <w:r>
        <w:rPr/>
        <w:t>track</w:t>
      </w:r>
      <w:r>
        <w:rPr>
          <w:spacing w:val="-7"/>
        </w:rPr>
        <w:t> </w:t>
      </w:r>
      <w:r>
        <w:rPr/>
        <w:t>and</w:t>
      </w:r>
      <w:r>
        <w:rPr>
          <w:spacing w:val="-5"/>
        </w:rPr>
        <w:t> </w:t>
      </w:r>
      <w:r>
        <w:rPr/>
        <w:t>provides</w:t>
      </w:r>
      <w:r>
        <w:rPr>
          <w:spacing w:val="-6"/>
        </w:rPr>
        <w:t> </w:t>
      </w:r>
      <w:r>
        <w:rPr/>
        <w:t>local</w:t>
      </w:r>
      <w:r>
        <w:rPr>
          <w:spacing w:val="-8"/>
        </w:rPr>
        <w:t> </w:t>
      </w:r>
      <w:r>
        <w:rPr/>
        <w:t>rail</w:t>
      </w:r>
      <w:r>
        <w:rPr>
          <w:spacing w:val="-7"/>
        </w:rPr>
        <w:t> </w:t>
      </w:r>
      <w:r>
        <w:rPr/>
        <w:t>connection</w:t>
      </w:r>
      <w:r>
        <w:rPr>
          <w:spacing w:val="-5"/>
        </w:rPr>
        <w:t> </w:t>
      </w:r>
      <w:r>
        <w:rPr/>
        <w:t>to the Union Pacific</w:t>
      </w:r>
      <w:r>
        <w:rPr>
          <w:spacing w:val="-4"/>
        </w:rPr>
        <w:t> </w:t>
      </w:r>
      <w:r>
        <w:rPr/>
        <w:t>Railroad.</w:t>
      </w:r>
    </w:p>
    <w:p>
      <w:pPr>
        <w:pStyle w:val="BodyText"/>
        <w:spacing w:before="119"/>
        <w:ind w:left="140" w:right="332"/>
        <w:jc w:val="both"/>
      </w:pPr>
      <w:r>
        <w:rPr/>
        <w:t>The United States Department of Energy controls rail entry into the Hanford Site north of Richland. Both Burlington Northern and Union Pacific have unlimited access to these tracks, which pass near Richland’s</w:t>
      </w:r>
      <w:r>
        <w:rPr>
          <w:spacing w:val="-11"/>
        </w:rPr>
        <w:t> </w:t>
      </w:r>
      <w:r>
        <w:rPr/>
        <w:t>industrial</w:t>
      </w:r>
      <w:r>
        <w:rPr>
          <w:spacing w:val="-9"/>
        </w:rPr>
        <w:t> </w:t>
      </w:r>
      <w:r>
        <w:rPr/>
        <w:t>areas.</w:t>
      </w:r>
      <w:r>
        <w:rPr>
          <w:spacing w:val="-10"/>
        </w:rPr>
        <w:t> </w:t>
      </w:r>
      <w:r>
        <w:rPr/>
        <w:t>A</w:t>
      </w:r>
      <w:r>
        <w:rPr>
          <w:spacing w:val="-10"/>
        </w:rPr>
        <w:t> </w:t>
      </w:r>
      <w:r>
        <w:rPr/>
        <w:t>public</w:t>
      </w:r>
      <w:r>
        <w:rPr>
          <w:spacing w:val="-9"/>
        </w:rPr>
        <w:t> </w:t>
      </w:r>
      <w:r>
        <w:rPr/>
        <w:t>rail</w:t>
      </w:r>
      <w:r>
        <w:rPr>
          <w:spacing w:val="-9"/>
        </w:rPr>
        <w:t> </w:t>
      </w:r>
      <w:r>
        <w:rPr/>
        <w:t>dock</w:t>
      </w:r>
      <w:r>
        <w:rPr>
          <w:spacing w:val="-12"/>
        </w:rPr>
        <w:t> </w:t>
      </w:r>
      <w:r>
        <w:rPr/>
        <w:t>has</w:t>
      </w:r>
      <w:r>
        <w:rPr>
          <w:spacing w:val="-11"/>
        </w:rPr>
        <w:t> </w:t>
      </w:r>
      <w:r>
        <w:rPr/>
        <w:t>been</w:t>
      </w:r>
      <w:r>
        <w:rPr>
          <w:spacing w:val="-10"/>
        </w:rPr>
        <w:t> </w:t>
      </w:r>
      <w:r>
        <w:rPr/>
        <w:t>constructed</w:t>
      </w:r>
      <w:r>
        <w:rPr>
          <w:spacing w:val="-12"/>
        </w:rPr>
        <w:t> </w:t>
      </w:r>
      <w:r>
        <w:rPr/>
        <w:t>on</w:t>
      </w:r>
      <w:r>
        <w:rPr>
          <w:spacing w:val="-11"/>
        </w:rPr>
        <w:t> </w:t>
      </w:r>
      <w:r>
        <w:rPr/>
        <w:t>Richland’s</w:t>
      </w:r>
      <w:r>
        <w:rPr>
          <w:spacing w:val="-8"/>
        </w:rPr>
        <w:t> </w:t>
      </w:r>
      <w:r>
        <w:rPr/>
        <w:t>northwest</w:t>
      </w:r>
      <w:r>
        <w:rPr>
          <w:spacing w:val="-13"/>
        </w:rPr>
        <w:t> </w:t>
      </w:r>
      <w:r>
        <w:rPr/>
        <w:t>side,</w:t>
      </w:r>
      <w:r>
        <w:rPr>
          <w:spacing w:val="-11"/>
        </w:rPr>
        <w:t> </w:t>
      </w:r>
      <w:r>
        <w:rPr/>
        <w:t>and there are plans to extend tracks west into Richland’s vacant industrial area, north of the Richland Airport.</w:t>
      </w:r>
    </w:p>
    <w:p>
      <w:pPr>
        <w:spacing w:before="203"/>
        <w:ind w:left="140" w:right="0" w:firstLine="0"/>
        <w:jc w:val="both"/>
        <w:rPr>
          <w:b/>
          <w:sz w:val="22"/>
        </w:rPr>
      </w:pPr>
      <w:bookmarkStart w:name="Passenger Rail Facilities" w:id="134"/>
      <w:bookmarkEnd w:id="134"/>
      <w:r>
        <w:rPr/>
      </w:r>
      <w:r>
        <w:rPr>
          <w:b/>
          <w:color w:val="C0504D"/>
          <w:sz w:val="22"/>
        </w:rPr>
        <w:t>Passenger Rail Facilities</w:t>
      </w:r>
    </w:p>
    <w:p>
      <w:pPr>
        <w:pStyle w:val="BodyText"/>
        <w:spacing w:before="119"/>
        <w:ind w:left="140" w:right="378"/>
        <w:jc w:val="both"/>
      </w:pPr>
      <w:r>
        <w:rPr/>
        <w:t>Amtrak’s Empire Builder line provides passenger rail service daily from the Tri-Cities to Spokane</w:t>
      </w:r>
      <w:bookmarkStart w:name="Port Facilities and Barge Services" w:id="135"/>
      <w:bookmarkEnd w:id="135"/>
      <w:r>
        <w:rPr/>
      </w:r>
      <w:r>
        <w:rPr/>
        <w:t> and to Portland. Trains use the passenger station at West Clark Street and Tacoma Avenue in Pasco.</w:t>
      </w:r>
    </w:p>
    <w:p>
      <w:pPr>
        <w:spacing w:before="200"/>
        <w:ind w:left="140" w:right="0" w:firstLine="0"/>
        <w:jc w:val="both"/>
        <w:rPr>
          <w:b/>
          <w:sz w:val="22"/>
        </w:rPr>
      </w:pPr>
      <w:r>
        <w:rPr>
          <w:b/>
          <w:color w:val="C0504D"/>
          <w:sz w:val="22"/>
        </w:rPr>
        <w:t>Port Facilities and Barge Services</w:t>
      </w:r>
    </w:p>
    <w:p>
      <w:pPr>
        <w:pStyle w:val="BodyText"/>
        <w:spacing w:before="119"/>
        <w:ind w:left="140" w:right="334"/>
        <w:jc w:val="both"/>
      </w:pPr>
      <w:r>
        <w:rPr/>
        <w:t>Three port districts operate on the Columbia and Snake Rivers in the Tri-Cities metropolitan area. The Port of Benton has more than 6,000 feet of Columbia River frontage zoned for heavy industrial use at the Richland Industrial Park, which includes a barge facility that includes a high dock as well as a barge slip with 14 feet depth berths. The Port of Pasco has nearly two miles of waterfront, including a 650-foot dock, 20-foot-depth berths, and a 36-ton overhead crane. The neighboring 28- acre marine terminal facility has the largest bulk cargo tonnage movement on the upper Columbia River system. The Port of Kennewick has dock facilities along a 12-mile stretch of the Columbia</w:t>
      </w:r>
    </w:p>
    <w:p>
      <w:pPr>
        <w:pStyle w:val="BodyText"/>
        <w:spacing w:before="121"/>
        <w:ind w:left="139" w:right="335"/>
        <w:jc w:val="both"/>
      </w:pPr>
      <w:r>
        <w:rPr/>
        <w:t>The Columbia-Snake River System is one of the most modern transportation networks in the nation. Numerous</w:t>
      </w:r>
      <w:r>
        <w:rPr>
          <w:spacing w:val="-8"/>
        </w:rPr>
        <w:t> </w:t>
      </w:r>
      <w:r>
        <w:rPr/>
        <w:t>barge</w:t>
      </w:r>
      <w:r>
        <w:rPr>
          <w:spacing w:val="-9"/>
        </w:rPr>
        <w:t> </w:t>
      </w:r>
      <w:r>
        <w:rPr/>
        <w:t>lines</w:t>
      </w:r>
      <w:r>
        <w:rPr>
          <w:spacing w:val="-7"/>
        </w:rPr>
        <w:t> </w:t>
      </w:r>
      <w:r>
        <w:rPr/>
        <w:t>dock</w:t>
      </w:r>
      <w:r>
        <w:rPr>
          <w:spacing w:val="-10"/>
        </w:rPr>
        <w:t> </w:t>
      </w:r>
      <w:r>
        <w:rPr/>
        <w:t>in</w:t>
      </w:r>
      <w:r>
        <w:rPr>
          <w:spacing w:val="-10"/>
        </w:rPr>
        <w:t> </w:t>
      </w:r>
      <w:r>
        <w:rPr/>
        <w:t>the</w:t>
      </w:r>
      <w:r>
        <w:rPr>
          <w:spacing w:val="-8"/>
        </w:rPr>
        <w:t> </w:t>
      </w:r>
      <w:r>
        <w:rPr/>
        <w:t>Tri-Cities,</w:t>
      </w:r>
      <w:r>
        <w:rPr>
          <w:spacing w:val="-9"/>
        </w:rPr>
        <w:t> </w:t>
      </w:r>
      <w:r>
        <w:rPr/>
        <w:t>325</w:t>
      </w:r>
      <w:r>
        <w:rPr>
          <w:spacing w:val="-9"/>
        </w:rPr>
        <w:t> </w:t>
      </w:r>
      <w:r>
        <w:rPr/>
        <w:t>river</w:t>
      </w:r>
      <w:r>
        <w:rPr>
          <w:spacing w:val="-8"/>
        </w:rPr>
        <w:t> </w:t>
      </w:r>
      <w:r>
        <w:rPr/>
        <w:t>miles</w:t>
      </w:r>
      <w:r>
        <w:rPr>
          <w:spacing w:val="-8"/>
        </w:rPr>
        <w:t> </w:t>
      </w:r>
      <w:r>
        <w:rPr/>
        <w:t>inland</w:t>
      </w:r>
      <w:r>
        <w:rPr>
          <w:spacing w:val="-9"/>
        </w:rPr>
        <w:t> </w:t>
      </w:r>
      <w:r>
        <w:rPr/>
        <w:t>from</w:t>
      </w:r>
      <w:r>
        <w:rPr>
          <w:spacing w:val="-7"/>
        </w:rPr>
        <w:t> </w:t>
      </w:r>
      <w:r>
        <w:rPr/>
        <w:t>the</w:t>
      </w:r>
      <w:r>
        <w:rPr>
          <w:spacing w:val="-9"/>
        </w:rPr>
        <w:t> </w:t>
      </w:r>
      <w:r>
        <w:rPr/>
        <w:t>Pacific</w:t>
      </w:r>
      <w:r>
        <w:rPr>
          <w:spacing w:val="-7"/>
        </w:rPr>
        <w:t> </w:t>
      </w:r>
      <w:r>
        <w:rPr/>
        <w:t>Ocean,</w:t>
      </w:r>
      <w:r>
        <w:rPr>
          <w:spacing w:val="-9"/>
        </w:rPr>
        <w:t> </w:t>
      </w:r>
      <w:r>
        <w:rPr/>
        <w:t>furnishing easy, direct access to domestic and Pacific Rim markets. River transportation is a cost-effective shipping mode for the Tri-Cities. Commodities often move from the Tri-Cities to Pacific Rim nations at a time advantage when compared to ports in San Francisco and Los Angeles. Nearly three million tons</w:t>
      </w:r>
      <w:r>
        <w:rPr>
          <w:spacing w:val="-1"/>
        </w:rPr>
        <w:t> </w:t>
      </w:r>
      <w:r>
        <w:rPr/>
        <w:t>of</w:t>
      </w:r>
      <w:r>
        <w:rPr>
          <w:spacing w:val="-2"/>
        </w:rPr>
        <w:t> </w:t>
      </w:r>
      <w:r>
        <w:rPr/>
        <w:t>barge</w:t>
      </w:r>
      <w:r>
        <w:rPr>
          <w:spacing w:val="-4"/>
        </w:rPr>
        <w:t> </w:t>
      </w:r>
      <w:r>
        <w:rPr/>
        <w:t>freight,</w:t>
      </w:r>
      <w:r>
        <w:rPr>
          <w:spacing w:val="-2"/>
        </w:rPr>
        <w:t> </w:t>
      </w:r>
      <w:r>
        <w:rPr/>
        <w:t>composed</w:t>
      </w:r>
      <w:r>
        <w:rPr>
          <w:spacing w:val="-4"/>
        </w:rPr>
        <w:t> </w:t>
      </w:r>
      <w:r>
        <w:rPr/>
        <w:t>of</w:t>
      </w:r>
      <w:r>
        <w:rPr>
          <w:spacing w:val="-2"/>
        </w:rPr>
        <w:t> </w:t>
      </w:r>
      <w:r>
        <w:rPr/>
        <w:t>a</w:t>
      </w:r>
      <w:r>
        <w:rPr>
          <w:spacing w:val="-2"/>
        </w:rPr>
        <w:t> </w:t>
      </w:r>
      <w:r>
        <w:rPr/>
        <w:t>wide</w:t>
      </w:r>
      <w:r>
        <w:rPr>
          <w:spacing w:val="-2"/>
        </w:rPr>
        <w:t> </w:t>
      </w:r>
      <w:r>
        <w:rPr/>
        <w:t>variety</w:t>
      </w:r>
      <w:r>
        <w:rPr>
          <w:spacing w:val="-2"/>
        </w:rPr>
        <w:t> </w:t>
      </w:r>
      <w:r>
        <w:rPr/>
        <w:t>of</w:t>
      </w:r>
      <w:r>
        <w:rPr>
          <w:spacing w:val="-4"/>
        </w:rPr>
        <w:t> </w:t>
      </w:r>
      <w:r>
        <w:rPr/>
        <w:t>bulk</w:t>
      </w:r>
      <w:r>
        <w:rPr>
          <w:spacing w:val="-3"/>
        </w:rPr>
        <w:t> </w:t>
      </w:r>
      <w:r>
        <w:rPr/>
        <w:t>and</w:t>
      </w:r>
      <w:r>
        <w:rPr>
          <w:spacing w:val="-2"/>
        </w:rPr>
        <w:t> </w:t>
      </w:r>
      <w:r>
        <w:rPr/>
        <w:t>raw</w:t>
      </w:r>
      <w:r>
        <w:rPr>
          <w:spacing w:val="-3"/>
        </w:rPr>
        <w:t> </w:t>
      </w:r>
      <w:r>
        <w:rPr/>
        <w:t>agricultural</w:t>
      </w:r>
      <w:r>
        <w:rPr>
          <w:spacing w:val="-4"/>
        </w:rPr>
        <w:t> </w:t>
      </w:r>
      <w:r>
        <w:rPr/>
        <w:t>and</w:t>
      </w:r>
      <w:r>
        <w:rPr>
          <w:spacing w:val="-2"/>
        </w:rPr>
        <w:t> </w:t>
      </w:r>
      <w:r>
        <w:rPr/>
        <w:t>industrial</w:t>
      </w:r>
      <w:r>
        <w:rPr>
          <w:spacing w:val="-1"/>
        </w:rPr>
        <w:t> </w:t>
      </w:r>
      <w:r>
        <w:rPr/>
        <w:t>cargoes and intermodal container cargoes, enter and leave the Tri-Cities annually. Seven barge companies service the Tri-Cities, with a container dock offering direct access to truck and rail service. Port facilities are shown in Figure</w:t>
      </w:r>
      <w:r>
        <w:rPr>
          <w:spacing w:val="-7"/>
        </w:rPr>
        <w:t> </w:t>
      </w:r>
      <w:r>
        <w:rPr/>
        <w:t>T-7.</w:t>
      </w:r>
    </w:p>
    <w:p>
      <w:pPr>
        <w:spacing w:after="0"/>
        <w:jc w:val="both"/>
        <w:sectPr>
          <w:pgSz w:w="12240" w:h="15840"/>
          <w:pgMar w:header="0" w:footer="1132" w:top="1360" w:bottom="1320" w:left="1300" w:right="1100"/>
        </w:sectPr>
      </w:pPr>
    </w:p>
    <w:p>
      <w:pPr>
        <w:spacing w:before="80"/>
        <w:ind w:left="140" w:right="0" w:firstLine="0"/>
        <w:jc w:val="both"/>
        <w:rPr>
          <w:b/>
          <w:sz w:val="22"/>
        </w:rPr>
      </w:pPr>
      <w:bookmarkStart w:name="Public Transit System" w:id="136"/>
      <w:bookmarkEnd w:id="136"/>
      <w:r>
        <w:rPr/>
      </w:r>
      <w:r>
        <w:rPr>
          <w:b/>
          <w:color w:val="C0504D"/>
          <w:sz w:val="22"/>
        </w:rPr>
        <w:t>Public Transit System</w:t>
      </w:r>
    </w:p>
    <w:p>
      <w:pPr>
        <w:pStyle w:val="BodyText"/>
        <w:spacing w:before="119"/>
        <w:ind w:left="140" w:right="334"/>
        <w:jc w:val="both"/>
      </w:pPr>
      <w:r>
        <w:rPr/>
        <w:t>Ben Franklin Transit provides community fixed route bus service in Richland as shown in Figure T- 8 and throughout the Tri-Cities area. This service radiates from the Bob Ellis/Knight Street Transit Center in the core area of Richland, with routes, 23, 25, 26, 27, and 39 providing local service within the Richland City limits. Route 10 serves West Richland; routes 110, 120, 170, 225 and 815 provide inter-city connections between West Richland, Richland, Kennewick, and Pasco. Current fares are</w:t>
      </w:r>
    </w:p>
    <w:p>
      <w:pPr>
        <w:pStyle w:val="BodyText"/>
        <w:spacing w:before="1"/>
        <w:ind w:left="140" w:right="334" w:hanging="1"/>
        <w:jc w:val="both"/>
      </w:pPr>
      <w:r>
        <w:rPr/>
        <w:t>$1.50</w:t>
      </w:r>
      <w:r>
        <w:rPr>
          <w:spacing w:val="-11"/>
        </w:rPr>
        <w:t> </w:t>
      </w:r>
      <w:r>
        <w:rPr/>
        <w:t>for</w:t>
      </w:r>
      <w:r>
        <w:rPr>
          <w:spacing w:val="-11"/>
        </w:rPr>
        <w:t> </w:t>
      </w:r>
      <w:r>
        <w:rPr/>
        <w:t>adults</w:t>
      </w:r>
      <w:r>
        <w:rPr>
          <w:spacing w:val="-9"/>
        </w:rPr>
        <w:t> </w:t>
      </w:r>
      <w:r>
        <w:rPr/>
        <w:t>and</w:t>
      </w:r>
      <w:r>
        <w:rPr>
          <w:spacing w:val="-11"/>
        </w:rPr>
        <w:t> </w:t>
      </w:r>
      <w:r>
        <w:rPr/>
        <w:t>$1.00</w:t>
      </w:r>
      <w:r>
        <w:rPr>
          <w:spacing w:val="-13"/>
        </w:rPr>
        <w:t> </w:t>
      </w:r>
      <w:r>
        <w:rPr/>
        <w:t>for</w:t>
      </w:r>
      <w:r>
        <w:rPr>
          <w:spacing w:val="-12"/>
        </w:rPr>
        <w:t> </w:t>
      </w:r>
      <w:r>
        <w:rPr/>
        <w:t>youths</w:t>
      </w:r>
      <w:r>
        <w:rPr>
          <w:spacing w:val="-9"/>
        </w:rPr>
        <w:t> </w:t>
      </w:r>
      <w:r>
        <w:rPr/>
        <w:t>(ages</w:t>
      </w:r>
      <w:r>
        <w:rPr>
          <w:spacing w:val="-9"/>
        </w:rPr>
        <w:t> </w:t>
      </w:r>
      <w:r>
        <w:rPr/>
        <w:t>6</w:t>
      </w:r>
      <w:r>
        <w:rPr>
          <w:spacing w:val="-11"/>
        </w:rPr>
        <w:t> </w:t>
      </w:r>
      <w:r>
        <w:rPr/>
        <w:t>to</w:t>
      </w:r>
      <w:r>
        <w:rPr>
          <w:spacing w:val="-10"/>
        </w:rPr>
        <w:t> </w:t>
      </w:r>
      <w:r>
        <w:rPr/>
        <w:t>High</w:t>
      </w:r>
      <w:r>
        <w:rPr>
          <w:spacing w:val="-13"/>
        </w:rPr>
        <w:t> </w:t>
      </w:r>
      <w:r>
        <w:rPr/>
        <w:t>School);</w:t>
      </w:r>
      <w:r>
        <w:rPr>
          <w:spacing w:val="-11"/>
        </w:rPr>
        <w:t> </w:t>
      </w:r>
      <w:r>
        <w:rPr/>
        <w:t>senior</w:t>
      </w:r>
      <w:r>
        <w:rPr>
          <w:spacing w:val="-13"/>
        </w:rPr>
        <w:t> </w:t>
      </w:r>
      <w:r>
        <w:rPr/>
        <w:t>citizens</w:t>
      </w:r>
      <w:r>
        <w:rPr>
          <w:spacing w:val="-9"/>
        </w:rPr>
        <w:t> </w:t>
      </w:r>
      <w:r>
        <w:rPr/>
        <w:t>65</w:t>
      </w:r>
      <w:r>
        <w:rPr>
          <w:spacing w:val="-13"/>
        </w:rPr>
        <w:t> </w:t>
      </w:r>
      <w:r>
        <w:rPr/>
        <w:t>and</w:t>
      </w:r>
      <w:r>
        <w:rPr>
          <w:spacing w:val="-11"/>
        </w:rPr>
        <w:t> </w:t>
      </w:r>
      <w:r>
        <w:rPr/>
        <w:t>over</w:t>
      </w:r>
      <w:r>
        <w:rPr>
          <w:spacing w:val="-12"/>
        </w:rPr>
        <w:t> </w:t>
      </w:r>
      <w:r>
        <w:rPr/>
        <w:t>and</w:t>
      </w:r>
      <w:r>
        <w:rPr>
          <w:spacing w:val="-11"/>
        </w:rPr>
        <w:t> </w:t>
      </w:r>
      <w:r>
        <w:rPr/>
        <w:t>children under 6 ride free. Monthly passes are available as well. The fixed route bus system does not operate on</w:t>
      </w:r>
      <w:r>
        <w:rPr>
          <w:spacing w:val="-9"/>
        </w:rPr>
        <w:t> </w:t>
      </w:r>
      <w:r>
        <w:rPr/>
        <w:t>Sundays,</w:t>
      </w:r>
      <w:r>
        <w:rPr>
          <w:spacing w:val="-8"/>
        </w:rPr>
        <w:t> </w:t>
      </w:r>
      <w:r>
        <w:rPr/>
        <w:t>but</w:t>
      </w:r>
      <w:r>
        <w:rPr>
          <w:spacing w:val="-8"/>
        </w:rPr>
        <w:t> </w:t>
      </w:r>
      <w:r>
        <w:rPr/>
        <w:t>evening</w:t>
      </w:r>
      <w:r>
        <w:rPr>
          <w:spacing w:val="-7"/>
        </w:rPr>
        <w:t> </w:t>
      </w:r>
      <w:r>
        <w:rPr/>
        <w:t>and</w:t>
      </w:r>
      <w:r>
        <w:rPr>
          <w:spacing w:val="-7"/>
        </w:rPr>
        <w:t> </w:t>
      </w:r>
      <w:r>
        <w:rPr/>
        <w:t>Sunday</w:t>
      </w:r>
      <w:r>
        <w:rPr>
          <w:spacing w:val="-9"/>
        </w:rPr>
        <w:t> </w:t>
      </w:r>
      <w:r>
        <w:rPr/>
        <w:t>transit</w:t>
      </w:r>
      <w:r>
        <w:rPr>
          <w:spacing w:val="-8"/>
        </w:rPr>
        <w:t> </w:t>
      </w:r>
      <w:r>
        <w:rPr/>
        <w:t>service</w:t>
      </w:r>
      <w:r>
        <w:rPr>
          <w:spacing w:val="-10"/>
        </w:rPr>
        <w:t> </w:t>
      </w:r>
      <w:r>
        <w:rPr/>
        <w:t>can</w:t>
      </w:r>
      <w:r>
        <w:rPr>
          <w:spacing w:val="-9"/>
        </w:rPr>
        <w:t> </w:t>
      </w:r>
      <w:r>
        <w:rPr/>
        <w:t>be</w:t>
      </w:r>
      <w:r>
        <w:rPr>
          <w:spacing w:val="-8"/>
        </w:rPr>
        <w:t> </w:t>
      </w:r>
      <w:r>
        <w:rPr/>
        <w:t>obtained</w:t>
      </w:r>
      <w:r>
        <w:rPr>
          <w:spacing w:val="-7"/>
        </w:rPr>
        <w:t> </w:t>
      </w:r>
      <w:r>
        <w:rPr/>
        <w:t>through</w:t>
      </w:r>
      <w:r>
        <w:rPr>
          <w:spacing w:val="-8"/>
        </w:rPr>
        <w:t> </w:t>
      </w:r>
      <w:r>
        <w:rPr/>
        <w:t>TransPlus.</w:t>
      </w:r>
      <w:r>
        <w:rPr>
          <w:spacing w:val="-8"/>
        </w:rPr>
        <w:t> </w:t>
      </w:r>
      <w:r>
        <w:rPr/>
        <w:t>Ben</w:t>
      </w:r>
      <w:r>
        <w:rPr>
          <w:spacing w:val="-9"/>
        </w:rPr>
        <w:t> </w:t>
      </w:r>
      <w:r>
        <w:rPr/>
        <w:t>Franklin Transit</w:t>
      </w:r>
      <w:r>
        <w:rPr>
          <w:spacing w:val="-7"/>
        </w:rPr>
        <w:t> </w:t>
      </w:r>
      <w:r>
        <w:rPr/>
        <w:t>serves</w:t>
      </w:r>
      <w:r>
        <w:rPr>
          <w:spacing w:val="-6"/>
        </w:rPr>
        <w:t> </w:t>
      </w:r>
      <w:r>
        <w:rPr/>
        <w:t>some</w:t>
      </w:r>
      <w:r>
        <w:rPr>
          <w:spacing w:val="-6"/>
        </w:rPr>
        <w:t> </w:t>
      </w:r>
      <w:r>
        <w:rPr/>
        <w:t>areas</w:t>
      </w:r>
      <w:r>
        <w:rPr>
          <w:spacing w:val="-8"/>
        </w:rPr>
        <w:t> </w:t>
      </w:r>
      <w:r>
        <w:rPr/>
        <w:t>of</w:t>
      </w:r>
      <w:r>
        <w:rPr>
          <w:spacing w:val="-5"/>
        </w:rPr>
        <w:t> </w:t>
      </w:r>
      <w:r>
        <w:rPr/>
        <w:t>the</w:t>
      </w:r>
      <w:r>
        <w:rPr>
          <w:spacing w:val="-6"/>
        </w:rPr>
        <w:t> </w:t>
      </w:r>
      <w:r>
        <w:rPr/>
        <w:t>community</w:t>
      </w:r>
      <w:r>
        <w:rPr>
          <w:spacing w:val="-8"/>
        </w:rPr>
        <w:t> </w:t>
      </w:r>
      <w:r>
        <w:rPr/>
        <w:t>through</w:t>
      </w:r>
      <w:r>
        <w:rPr>
          <w:spacing w:val="-6"/>
        </w:rPr>
        <w:t> </w:t>
      </w:r>
      <w:r>
        <w:rPr/>
        <w:t>a</w:t>
      </w:r>
      <w:r>
        <w:rPr>
          <w:spacing w:val="-7"/>
        </w:rPr>
        <w:t> </w:t>
      </w:r>
      <w:r>
        <w:rPr/>
        <w:t>shuttle</w:t>
      </w:r>
      <w:r>
        <w:rPr>
          <w:spacing w:val="-5"/>
        </w:rPr>
        <w:t> </w:t>
      </w:r>
      <w:r>
        <w:rPr/>
        <w:t>service</w:t>
      </w:r>
      <w:r>
        <w:rPr>
          <w:spacing w:val="-6"/>
        </w:rPr>
        <w:t> </w:t>
      </w:r>
      <w:r>
        <w:rPr/>
        <w:t>called</w:t>
      </w:r>
      <w:r>
        <w:rPr>
          <w:spacing w:val="-9"/>
        </w:rPr>
        <w:t> </w:t>
      </w:r>
      <w:r>
        <w:rPr/>
        <w:t>Taxi</w:t>
      </w:r>
      <w:r>
        <w:rPr>
          <w:spacing w:val="-6"/>
        </w:rPr>
        <w:t> </w:t>
      </w:r>
      <w:r>
        <w:rPr/>
        <w:t>Feeder.</w:t>
      </w:r>
      <w:r>
        <w:rPr>
          <w:spacing w:val="37"/>
        </w:rPr>
        <w:t> </w:t>
      </w:r>
      <w:r>
        <w:rPr/>
        <w:t>Such</w:t>
      </w:r>
      <w:r>
        <w:rPr>
          <w:spacing w:val="-6"/>
        </w:rPr>
        <w:t> </w:t>
      </w:r>
      <w:r>
        <w:rPr/>
        <w:t>areas within and near Richland include: Broadmoor/Bellerive, Crested Hills, Rancho Reata and Willowbrook. Ben Franklin Transit also provides transit and vanpool services to the Hanford</w:t>
      </w:r>
      <w:r>
        <w:rPr>
          <w:spacing w:val="-27"/>
        </w:rPr>
        <w:t> </w:t>
      </w:r>
      <w:r>
        <w:rPr/>
        <w:t>Site.</w:t>
      </w:r>
    </w:p>
    <w:p>
      <w:pPr>
        <w:spacing w:before="200"/>
        <w:ind w:left="140" w:right="0" w:firstLine="0"/>
        <w:jc w:val="both"/>
        <w:rPr>
          <w:b/>
          <w:sz w:val="22"/>
        </w:rPr>
      </w:pPr>
      <w:bookmarkStart w:name="Trucking Lines" w:id="137"/>
      <w:bookmarkEnd w:id="137"/>
      <w:r>
        <w:rPr/>
      </w:r>
      <w:r>
        <w:rPr>
          <w:b/>
          <w:color w:val="C0504D"/>
          <w:sz w:val="22"/>
        </w:rPr>
        <w:t>Trucking Lines</w:t>
      </w:r>
    </w:p>
    <w:p>
      <w:pPr>
        <w:pStyle w:val="BodyText"/>
        <w:spacing w:before="119"/>
        <w:ind w:left="140" w:right="335"/>
        <w:jc w:val="both"/>
      </w:pPr>
      <w:r>
        <w:rPr/>
        <w:t>Richland</w:t>
      </w:r>
      <w:r>
        <w:rPr>
          <w:spacing w:val="-9"/>
        </w:rPr>
        <w:t> </w:t>
      </w:r>
      <w:r>
        <w:rPr/>
        <w:t>and</w:t>
      </w:r>
      <w:r>
        <w:rPr>
          <w:spacing w:val="-9"/>
        </w:rPr>
        <w:t> </w:t>
      </w:r>
      <w:r>
        <w:rPr/>
        <w:t>the</w:t>
      </w:r>
      <w:r>
        <w:rPr>
          <w:spacing w:val="-8"/>
        </w:rPr>
        <w:t> </w:t>
      </w:r>
      <w:r>
        <w:rPr/>
        <w:t>Tri-Cities</w:t>
      </w:r>
      <w:r>
        <w:rPr>
          <w:spacing w:val="-8"/>
        </w:rPr>
        <w:t> </w:t>
      </w:r>
      <w:r>
        <w:rPr/>
        <w:t>metropolitan</w:t>
      </w:r>
      <w:r>
        <w:rPr>
          <w:spacing w:val="-9"/>
        </w:rPr>
        <w:t> </w:t>
      </w:r>
      <w:r>
        <w:rPr/>
        <w:t>area</w:t>
      </w:r>
      <w:r>
        <w:rPr>
          <w:spacing w:val="-9"/>
        </w:rPr>
        <w:t> </w:t>
      </w:r>
      <w:r>
        <w:rPr/>
        <w:t>are</w:t>
      </w:r>
      <w:r>
        <w:rPr>
          <w:spacing w:val="-11"/>
        </w:rPr>
        <w:t> </w:t>
      </w:r>
      <w:r>
        <w:rPr/>
        <w:t>served</w:t>
      </w:r>
      <w:r>
        <w:rPr>
          <w:spacing w:val="-8"/>
        </w:rPr>
        <w:t> </w:t>
      </w:r>
      <w:r>
        <w:rPr/>
        <w:t>by</w:t>
      </w:r>
      <w:r>
        <w:rPr>
          <w:spacing w:val="-10"/>
        </w:rPr>
        <w:t> </w:t>
      </w:r>
      <w:r>
        <w:rPr/>
        <w:t>more</w:t>
      </w:r>
      <w:r>
        <w:rPr>
          <w:spacing w:val="-8"/>
        </w:rPr>
        <w:t> </w:t>
      </w:r>
      <w:r>
        <w:rPr/>
        <w:t>than</w:t>
      </w:r>
      <w:r>
        <w:rPr>
          <w:spacing w:val="-10"/>
        </w:rPr>
        <w:t> </w:t>
      </w:r>
      <w:r>
        <w:rPr/>
        <w:t>35</w:t>
      </w:r>
      <w:r>
        <w:rPr>
          <w:spacing w:val="-8"/>
        </w:rPr>
        <w:t> </w:t>
      </w:r>
      <w:r>
        <w:rPr/>
        <w:t>local,</w:t>
      </w:r>
      <w:r>
        <w:rPr>
          <w:spacing w:val="-9"/>
        </w:rPr>
        <w:t> </w:t>
      </w:r>
      <w:r>
        <w:rPr/>
        <w:t>regional</w:t>
      </w:r>
      <w:r>
        <w:rPr>
          <w:spacing w:val="-9"/>
        </w:rPr>
        <w:t> </w:t>
      </w:r>
      <w:r>
        <w:rPr/>
        <w:t>and</w:t>
      </w:r>
      <w:r>
        <w:rPr>
          <w:spacing w:val="-8"/>
        </w:rPr>
        <w:t> </w:t>
      </w:r>
      <w:r>
        <w:rPr/>
        <w:t>national trucking lines. Eleven western states, Alberta, and British Columbia are within second-morning</w:t>
      </w:r>
      <w:bookmarkStart w:name="Other Services" w:id="138"/>
      <w:bookmarkEnd w:id="138"/>
      <w:r>
        <w:rPr/>
      </w:r>
      <w:r>
        <w:rPr/>
        <w:t> delivery service of the</w:t>
      </w:r>
      <w:r>
        <w:rPr>
          <w:spacing w:val="-6"/>
        </w:rPr>
        <w:t> </w:t>
      </w:r>
      <w:r>
        <w:rPr/>
        <w:t>Tri-Cities.</w:t>
      </w:r>
    </w:p>
    <w:p>
      <w:pPr>
        <w:spacing w:before="203"/>
        <w:ind w:left="140" w:right="0" w:firstLine="0"/>
        <w:jc w:val="both"/>
        <w:rPr>
          <w:b/>
          <w:sz w:val="22"/>
        </w:rPr>
      </w:pPr>
      <w:r>
        <w:rPr>
          <w:b/>
          <w:color w:val="C0504D"/>
          <w:sz w:val="22"/>
        </w:rPr>
        <w:t>Other Services</w:t>
      </w:r>
    </w:p>
    <w:p>
      <w:pPr>
        <w:pStyle w:val="BodyText"/>
        <w:spacing w:before="119"/>
        <w:ind w:left="140" w:right="335"/>
        <w:jc w:val="both"/>
      </w:pPr>
      <w:r>
        <w:rPr/>
        <w:t>Several taxi and limousine services operate in the Tri-Cities area. Greyhound Bus Lines also serves the Tri-Cities, with daily stops at the joint Amtrak station in Pasco. Connections can be made there through</w:t>
      </w:r>
      <w:r>
        <w:rPr>
          <w:spacing w:val="-5"/>
        </w:rPr>
        <w:t> </w:t>
      </w:r>
      <w:r>
        <w:rPr/>
        <w:t>the</w:t>
      </w:r>
      <w:r>
        <w:rPr>
          <w:spacing w:val="-4"/>
        </w:rPr>
        <w:t> </w:t>
      </w:r>
      <w:r>
        <w:rPr/>
        <w:t>Ben</w:t>
      </w:r>
      <w:r>
        <w:rPr>
          <w:spacing w:val="-6"/>
        </w:rPr>
        <w:t> </w:t>
      </w:r>
      <w:r>
        <w:rPr/>
        <w:t>Franklin</w:t>
      </w:r>
      <w:r>
        <w:rPr>
          <w:spacing w:val="-8"/>
        </w:rPr>
        <w:t> </w:t>
      </w:r>
      <w:r>
        <w:rPr/>
        <w:t>Transit</w:t>
      </w:r>
      <w:r>
        <w:rPr>
          <w:spacing w:val="-7"/>
        </w:rPr>
        <w:t> </w:t>
      </w:r>
      <w:r>
        <w:rPr/>
        <w:t>System</w:t>
      </w:r>
      <w:r>
        <w:rPr>
          <w:spacing w:val="-4"/>
        </w:rPr>
        <w:t> </w:t>
      </w:r>
      <w:r>
        <w:rPr/>
        <w:t>In</w:t>
      </w:r>
      <w:r>
        <w:rPr>
          <w:spacing w:val="-5"/>
        </w:rPr>
        <w:t> </w:t>
      </w:r>
      <w:r>
        <w:rPr/>
        <w:t>addition,</w:t>
      </w:r>
      <w:r>
        <w:rPr>
          <w:spacing w:val="-5"/>
        </w:rPr>
        <w:t> </w:t>
      </w:r>
      <w:r>
        <w:rPr/>
        <w:t>several</w:t>
      </w:r>
      <w:r>
        <w:rPr>
          <w:spacing w:val="-4"/>
        </w:rPr>
        <w:t> </w:t>
      </w:r>
      <w:r>
        <w:rPr/>
        <w:t>transportation</w:t>
      </w:r>
      <w:r>
        <w:rPr>
          <w:spacing w:val="-8"/>
        </w:rPr>
        <w:t> </w:t>
      </w:r>
      <w:r>
        <w:rPr/>
        <w:t>companies</w:t>
      </w:r>
      <w:r>
        <w:rPr>
          <w:spacing w:val="-7"/>
        </w:rPr>
        <w:t> </w:t>
      </w:r>
      <w:r>
        <w:rPr/>
        <w:t>offer</w:t>
      </w:r>
      <w:r>
        <w:rPr>
          <w:spacing w:val="-7"/>
        </w:rPr>
        <w:t> </w:t>
      </w:r>
      <w:r>
        <w:rPr/>
        <w:t>charter bus service throughout the region on an as-needed</w:t>
      </w:r>
      <w:r>
        <w:rPr>
          <w:spacing w:val="-14"/>
        </w:rPr>
        <w:t> </w:t>
      </w:r>
      <w:r>
        <w:rPr/>
        <w:t>basis.</w:t>
      </w:r>
    </w:p>
    <w:p>
      <w:pPr>
        <w:pStyle w:val="Heading7"/>
        <w:spacing w:before="197"/>
        <w:ind w:left="140"/>
        <w:jc w:val="both"/>
      </w:pPr>
      <w:bookmarkStart w:name="Section Three" w:id="139"/>
      <w:bookmarkEnd w:id="139"/>
      <w:r>
        <w:rPr/>
      </w:r>
      <w:bookmarkStart w:name="_bookmark57" w:id="140"/>
      <w:bookmarkEnd w:id="140"/>
      <w:r>
        <w:rPr/>
      </w:r>
      <w:r>
        <w:rPr>
          <w:color w:val="4F81BC"/>
        </w:rPr>
        <w:t>SECTION THREE</w:t>
      </w:r>
    </w:p>
    <w:p>
      <w:pPr>
        <w:pStyle w:val="Heading6"/>
        <w:spacing w:before="200"/>
        <w:ind w:left="139"/>
        <w:jc w:val="both"/>
      </w:pPr>
      <w:bookmarkStart w:name="Level of Service" w:id="141"/>
      <w:bookmarkEnd w:id="141"/>
      <w:r>
        <w:rPr>
          <w:b w:val="0"/>
        </w:rPr>
      </w:r>
      <w:bookmarkStart w:name="LOS DEVELOPMENT" w:id="142"/>
      <w:bookmarkEnd w:id="142"/>
      <w:r>
        <w:rPr>
          <w:b w:val="0"/>
        </w:rPr>
      </w:r>
      <w:bookmarkStart w:name="_bookmark58" w:id="143"/>
      <w:bookmarkEnd w:id="143"/>
      <w:r>
        <w:rPr>
          <w:b w:val="0"/>
        </w:rPr>
      </w:r>
      <w:r>
        <w:rPr/>
        <w:t>LEVEL OF SERVICE</w:t>
      </w:r>
    </w:p>
    <w:p>
      <w:pPr>
        <w:spacing w:before="203"/>
        <w:ind w:left="140" w:right="0" w:firstLine="0"/>
        <w:jc w:val="both"/>
        <w:rPr>
          <w:b/>
          <w:sz w:val="24"/>
        </w:rPr>
      </w:pPr>
      <w:r>
        <w:rPr>
          <w:b/>
          <w:sz w:val="24"/>
        </w:rPr>
        <w:t>LOS DEVELOPMENT</w:t>
      </w:r>
    </w:p>
    <w:p>
      <w:pPr>
        <w:pStyle w:val="BodyText"/>
        <w:spacing w:before="119"/>
        <w:ind w:left="140" w:right="334"/>
        <w:jc w:val="both"/>
      </w:pPr>
      <w:r>
        <w:rPr/>
        <w:t>The GMA requires jurisdictions to maintain standards for transportation LOS. These standards are used during transportation studies to determine appropriate improvements to achieve acceptable Levels of Service. For future conditions, these standards are also used in conjunction with forecasts that come from a computerized model of the City’s roadway system to analyze the transportation network and determine deficiencies under the Comprehensive Plan.</w:t>
      </w:r>
    </w:p>
    <w:p>
      <w:pPr>
        <w:pStyle w:val="BodyText"/>
        <w:spacing w:before="119"/>
        <w:ind w:left="140" w:right="333"/>
        <w:jc w:val="both"/>
      </w:pPr>
      <w:r>
        <w:rPr/>
        <w:t>A capacity-based system for measuring LOS, developed by the Transportation Research Board, is outlined in the Highway Capacity Manual. Levels of service for different types of transportation facilities are based on parameters that best describe operating conditions for that type of facility, as well as the perceptions of drivers and passengers. These parameters are called measures of effectiveness. The measures of effectiveness used for Richland’s transportation system are outlined in Table T-1.</w:t>
      </w:r>
    </w:p>
    <w:p>
      <w:pPr>
        <w:spacing w:after="0"/>
        <w:jc w:val="both"/>
        <w:sectPr>
          <w:pgSz w:w="12240" w:h="15840"/>
          <w:pgMar w:header="0" w:footer="1132" w:top="1360" w:bottom="1320" w:left="1300" w:right="1100"/>
        </w:sectPr>
      </w:pPr>
    </w:p>
    <w:p>
      <w:pPr>
        <w:spacing w:before="79"/>
        <w:ind w:left="140" w:right="0" w:firstLine="0"/>
        <w:jc w:val="both"/>
        <w:rPr>
          <w:rFonts w:ascii="Arial"/>
          <w:b/>
          <w:sz w:val="20"/>
        </w:rPr>
      </w:pPr>
      <w:r>
        <w:rPr>
          <w:rFonts w:ascii="Arial"/>
          <w:b/>
          <w:sz w:val="20"/>
        </w:rPr>
        <w:t>Table T-1: LOS Measures of Effectiveness</w:t>
      </w:r>
    </w:p>
    <w:p>
      <w:pPr>
        <w:pStyle w:val="BodyText"/>
        <w:spacing w:before="6"/>
        <w:rPr>
          <w:rFonts w:ascii="Arial"/>
          <w:b/>
          <w:sz w:val="10"/>
        </w:rPr>
      </w:pPr>
    </w:p>
    <w:tbl>
      <w:tblPr>
        <w:tblW w:w="0" w:type="auto"/>
        <w:jc w:val="left"/>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5"/>
        <w:gridCol w:w="5090"/>
      </w:tblGrid>
      <w:tr>
        <w:trPr>
          <w:trHeight w:val="402" w:hRule="atLeast"/>
        </w:trPr>
        <w:tc>
          <w:tcPr>
            <w:tcW w:w="4255" w:type="dxa"/>
            <w:shd w:val="clear" w:color="auto" w:fill="B8CCE3"/>
          </w:tcPr>
          <w:p>
            <w:pPr>
              <w:pStyle w:val="TableParagraph"/>
              <w:spacing w:before="119"/>
              <w:ind w:left="52"/>
              <w:rPr>
                <w:b/>
                <w:sz w:val="22"/>
              </w:rPr>
            </w:pPr>
            <w:r>
              <w:rPr>
                <w:b/>
                <w:sz w:val="22"/>
              </w:rPr>
              <w:t>Type of Facility</w:t>
            </w:r>
          </w:p>
        </w:tc>
        <w:tc>
          <w:tcPr>
            <w:tcW w:w="5090" w:type="dxa"/>
            <w:shd w:val="clear" w:color="auto" w:fill="B8CCE3"/>
          </w:tcPr>
          <w:p>
            <w:pPr>
              <w:pStyle w:val="TableParagraph"/>
              <w:spacing w:before="119"/>
              <w:rPr>
                <w:b/>
                <w:sz w:val="22"/>
              </w:rPr>
            </w:pPr>
            <w:r>
              <w:rPr>
                <w:b/>
                <w:sz w:val="22"/>
              </w:rPr>
              <w:t>Measure of Effectiveness</w:t>
            </w:r>
          </w:p>
        </w:tc>
      </w:tr>
      <w:tr>
        <w:trPr>
          <w:trHeight w:val="318" w:hRule="atLeast"/>
        </w:trPr>
        <w:tc>
          <w:tcPr>
            <w:tcW w:w="4255" w:type="dxa"/>
          </w:tcPr>
          <w:p>
            <w:pPr>
              <w:pStyle w:val="TableParagraph"/>
              <w:spacing w:line="239" w:lineRule="exact"/>
              <w:ind w:left="52"/>
              <w:rPr>
                <w:sz w:val="22"/>
              </w:rPr>
            </w:pPr>
            <w:r>
              <w:rPr>
                <w:sz w:val="22"/>
              </w:rPr>
              <w:t>Freeways (basic segments)</w:t>
            </w:r>
          </w:p>
        </w:tc>
        <w:tc>
          <w:tcPr>
            <w:tcW w:w="5090" w:type="dxa"/>
          </w:tcPr>
          <w:p>
            <w:pPr>
              <w:pStyle w:val="TableParagraph"/>
              <w:spacing w:line="239" w:lineRule="exact"/>
              <w:rPr>
                <w:sz w:val="22"/>
              </w:rPr>
            </w:pPr>
            <w:r>
              <w:rPr>
                <w:sz w:val="22"/>
              </w:rPr>
              <w:t>Density (vehicles/mile/lane)</w:t>
            </w:r>
          </w:p>
        </w:tc>
      </w:tr>
      <w:tr>
        <w:trPr>
          <w:trHeight w:val="575" w:hRule="atLeast"/>
        </w:trPr>
        <w:tc>
          <w:tcPr>
            <w:tcW w:w="4255" w:type="dxa"/>
          </w:tcPr>
          <w:p>
            <w:pPr>
              <w:pStyle w:val="TableParagraph"/>
              <w:ind w:left="52"/>
              <w:rPr>
                <w:sz w:val="22"/>
              </w:rPr>
            </w:pPr>
            <w:r>
              <w:rPr>
                <w:sz w:val="22"/>
              </w:rPr>
              <w:t>Multi-lane highways</w:t>
            </w:r>
          </w:p>
        </w:tc>
        <w:tc>
          <w:tcPr>
            <w:tcW w:w="5090" w:type="dxa"/>
          </w:tcPr>
          <w:p>
            <w:pPr>
              <w:pStyle w:val="TableParagraph"/>
              <w:spacing w:line="256" w:lineRule="exact" w:before="64"/>
              <w:ind w:right="419"/>
              <w:rPr>
                <w:sz w:val="22"/>
              </w:rPr>
            </w:pPr>
            <w:r>
              <w:rPr>
                <w:sz w:val="22"/>
              </w:rPr>
              <w:t>Density (vehicles/mile/lane) or Free-flow speed (miles/hour)</w:t>
            </w:r>
          </w:p>
        </w:tc>
      </w:tr>
      <w:tr>
        <w:trPr>
          <w:trHeight w:val="318" w:hRule="atLeast"/>
        </w:trPr>
        <w:tc>
          <w:tcPr>
            <w:tcW w:w="4255" w:type="dxa"/>
          </w:tcPr>
          <w:p>
            <w:pPr>
              <w:pStyle w:val="TableParagraph"/>
              <w:spacing w:line="239" w:lineRule="exact"/>
              <w:ind w:left="52"/>
              <w:rPr>
                <w:sz w:val="22"/>
              </w:rPr>
            </w:pPr>
            <w:r>
              <w:rPr>
                <w:sz w:val="22"/>
              </w:rPr>
              <w:t>Arterials</w:t>
            </w:r>
          </w:p>
        </w:tc>
        <w:tc>
          <w:tcPr>
            <w:tcW w:w="5090" w:type="dxa"/>
          </w:tcPr>
          <w:p>
            <w:pPr>
              <w:pStyle w:val="TableParagraph"/>
              <w:spacing w:line="239" w:lineRule="exact"/>
              <w:rPr>
                <w:sz w:val="22"/>
              </w:rPr>
            </w:pPr>
            <w:r>
              <w:rPr>
                <w:sz w:val="22"/>
              </w:rPr>
              <w:t>Average travel speed (miles/hour)</w:t>
            </w:r>
          </w:p>
        </w:tc>
      </w:tr>
      <w:tr>
        <w:trPr>
          <w:trHeight w:val="316" w:hRule="atLeast"/>
        </w:trPr>
        <w:tc>
          <w:tcPr>
            <w:tcW w:w="4255" w:type="dxa"/>
          </w:tcPr>
          <w:p>
            <w:pPr>
              <w:pStyle w:val="TableParagraph"/>
              <w:spacing w:line="237" w:lineRule="exact"/>
              <w:ind w:left="52"/>
              <w:rPr>
                <w:sz w:val="22"/>
              </w:rPr>
            </w:pPr>
            <w:r>
              <w:rPr>
                <w:sz w:val="22"/>
              </w:rPr>
              <w:t>Signalized intersections</w:t>
            </w:r>
          </w:p>
        </w:tc>
        <w:tc>
          <w:tcPr>
            <w:tcW w:w="5090" w:type="dxa"/>
          </w:tcPr>
          <w:p>
            <w:pPr>
              <w:pStyle w:val="TableParagraph"/>
              <w:spacing w:line="237" w:lineRule="exact"/>
              <w:rPr>
                <w:sz w:val="22"/>
              </w:rPr>
            </w:pPr>
            <w:r>
              <w:rPr>
                <w:sz w:val="22"/>
              </w:rPr>
              <w:t>Average stopped delay (seconds/vehicle)</w:t>
            </w:r>
          </w:p>
        </w:tc>
      </w:tr>
      <w:tr>
        <w:trPr>
          <w:trHeight w:val="318" w:hRule="atLeast"/>
        </w:trPr>
        <w:tc>
          <w:tcPr>
            <w:tcW w:w="4255" w:type="dxa"/>
          </w:tcPr>
          <w:p>
            <w:pPr>
              <w:pStyle w:val="TableParagraph"/>
              <w:spacing w:line="239" w:lineRule="exact"/>
              <w:ind w:left="52"/>
              <w:rPr>
                <w:sz w:val="22"/>
              </w:rPr>
            </w:pPr>
            <w:r>
              <w:rPr>
                <w:sz w:val="22"/>
              </w:rPr>
              <w:t>Un-signalized intersections</w:t>
            </w:r>
          </w:p>
        </w:tc>
        <w:tc>
          <w:tcPr>
            <w:tcW w:w="5090" w:type="dxa"/>
          </w:tcPr>
          <w:p>
            <w:pPr>
              <w:pStyle w:val="TableParagraph"/>
              <w:spacing w:line="239" w:lineRule="exact"/>
              <w:rPr>
                <w:sz w:val="22"/>
              </w:rPr>
            </w:pPr>
            <w:r>
              <w:rPr>
                <w:sz w:val="22"/>
              </w:rPr>
              <w:t>Average total delay (seconds/vehicle)</w:t>
            </w:r>
          </w:p>
        </w:tc>
      </w:tr>
    </w:tbl>
    <w:p>
      <w:pPr>
        <w:pStyle w:val="BodyText"/>
        <w:spacing w:before="119"/>
        <w:ind w:left="140" w:right="335"/>
        <w:jc w:val="both"/>
      </w:pPr>
      <w:r>
        <w:rPr/>
        <w:t>Levels of service are expressed using a scale with letter designations ranging from A to F. LOS A represents the highest level and the best operating conditions, and LOS F is the lowest level. The computerized traffic model replicates the operating conditions of the network and is used to assign</w:t>
      </w:r>
      <w:bookmarkStart w:name="LOS MEASUREMENT" w:id="144"/>
      <w:bookmarkEnd w:id="144"/>
      <w:r>
        <w:rPr/>
      </w:r>
      <w:r>
        <w:rPr/>
        <w:t> an LOS to each roadway segment and intersection. Table T-2 generally defines the LOS rating scale.</w:t>
      </w:r>
    </w:p>
    <w:p>
      <w:pPr>
        <w:spacing w:before="200"/>
        <w:ind w:left="140" w:right="0" w:firstLine="0"/>
        <w:jc w:val="both"/>
        <w:rPr>
          <w:b/>
          <w:sz w:val="24"/>
        </w:rPr>
      </w:pPr>
      <w:bookmarkStart w:name="Methodology" w:id="145"/>
      <w:bookmarkEnd w:id="145"/>
      <w:r>
        <w:rPr/>
      </w:r>
      <w:r>
        <w:rPr>
          <w:b/>
          <w:sz w:val="24"/>
        </w:rPr>
        <w:t>LOS MEASUREMENT</w:t>
      </w:r>
    </w:p>
    <w:p>
      <w:pPr>
        <w:spacing w:before="201"/>
        <w:ind w:left="140" w:right="0" w:firstLine="0"/>
        <w:jc w:val="left"/>
        <w:rPr>
          <w:b/>
          <w:sz w:val="22"/>
        </w:rPr>
      </w:pPr>
      <w:r>
        <w:rPr>
          <w:b/>
          <w:color w:val="C0504D"/>
          <w:sz w:val="22"/>
        </w:rPr>
        <w:t>Methodology</w:t>
      </w:r>
    </w:p>
    <w:p>
      <w:pPr>
        <w:pStyle w:val="BodyText"/>
        <w:spacing w:before="119"/>
        <w:ind w:left="140"/>
      </w:pPr>
      <w:r>
        <w:rPr/>
        <w:t>Levels of Service for Richland used during traffic impact studies and corridor studies are measured using the Highway Capacity Manual procedures and</w:t>
      </w:r>
      <w:r>
        <w:rPr>
          <w:spacing w:val="-10"/>
        </w:rPr>
        <w:t> </w:t>
      </w:r>
      <w:r>
        <w:rPr/>
        <w:t>methods.</w:t>
      </w:r>
    </w:p>
    <w:p>
      <w:pPr>
        <w:pStyle w:val="BodyText"/>
        <w:spacing w:before="120"/>
        <w:ind w:left="140" w:right="335"/>
        <w:jc w:val="both"/>
      </w:pPr>
      <w:r>
        <w:rPr/>
        <w:t>The afternoon peak time period (PM peak hour) was used for the traffic modeling; this has been determined through research to provide the best overall results and is a standard used in all traffic model preparation. Roadway data collected from City records included traffic counts, locations of stop</w:t>
      </w:r>
      <w:r>
        <w:rPr>
          <w:spacing w:val="-13"/>
        </w:rPr>
        <w:t> </w:t>
      </w:r>
      <w:r>
        <w:rPr/>
        <w:t>signs</w:t>
      </w:r>
      <w:r>
        <w:rPr>
          <w:spacing w:val="-8"/>
        </w:rPr>
        <w:t> </w:t>
      </w:r>
      <w:r>
        <w:rPr/>
        <w:t>and</w:t>
      </w:r>
      <w:r>
        <w:rPr>
          <w:spacing w:val="-13"/>
        </w:rPr>
        <w:t> </w:t>
      </w:r>
      <w:r>
        <w:rPr/>
        <w:t>signals,</w:t>
      </w:r>
      <w:r>
        <w:rPr>
          <w:spacing w:val="-11"/>
        </w:rPr>
        <w:t> </w:t>
      </w:r>
      <w:r>
        <w:rPr/>
        <w:t>speed</w:t>
      </w:r>
      <w:r>
        <w:rPr>
          <w:spacing w:val="-9"/>
        </w:rPr>
        <w:t> </w:t>
      </w:r>
      <w:r>
        <w:rPr/>
        <w:t>limits,</w:t>
      </w:r>
      <w:r>
        <w:rPr>
          <w:spacing w:val="-12"/>
        </w:rPr>
        <w:t> </w:t>
      </w:r>
      <w:r>
        <w:rPr/>
        <w:t>and</w:t>
      </w:r>
      <w:r>
        <w:rPr>
          <w:spacing w:val="-9"/>
        </w:rPr>
        <w:t> </w:t>
      </w:r>
      <w:r>
        <w:rPr/>
        <w:t>lane</w:t>
      </w:r>
      <w:r>
        <w:rPr>
          <w:spacing w:val="-11"/>
        </w:rPr>
        <w:t> </w:t>
      </w:r>
      <w:r>
        <w:rPr/>
        <w:t>configurations.</w:t>
      </w:r>
      <w:r>
        <w:rPr>
          <w:spacing w:val="-10"/>
        </w:rPr>
        <w:t> </w:t>
      </w:r>
      <w:r>
        <w:rPr/>
        <w:t>Land</w:t>
      </w:r>
      <w:r>
        <w:rPr>
          <w:spacing w:val="-12"/>
        </w:rPr>
        <w:t> </w:t>
      </w:r>
      <w:r>
        <w:rPr/>
        <w:t>use</w:t>
      </w:r>
      <w:r>
        <w:rPr>
          <w:spacing w:val="-10"/>
        </w:rPr>
        <w:t> </w:t>
      </w:r>
      <w:r>
        <w:rPr/>
        <w:t>data</w:t>
      </w:r>
      <w:r>
        <w:rPr>
          <w:spacing w:val="-9"/>
        </w:rPr>
        <w:t> </w:t>
      </w:r>
      <w:r>
        <w:rPr/>
        <w:t>were</w:t>
      </w:r>
      <w:r>
        <w:rPr>
          <w:spacing w:val="-10"/>
        </w:rPr>
        <w:t> </w:t>
      </w:r>
      <w:r>
        <w:rPr/>
        <w:t>collected</w:t>
      </w:r>
      <w:r>
        <w:rPr>
          <w:spacing w:val="-12"/>
        </w:rPr>
        <w:t> </w:t>
      </w:r>
      <w:r>
        <w:rPr/>
        <w:t>for</w:t>
      </w:r>
      <w:r>
        <w:rPr>
          <w:spacing w:val="-12"/>
        </w:rPr>
        <w:t> </w:t>
      </w:r>
      <w:r>
        <w:rPr/>
        <w:t>existing employment and housing. The model output can be expressed in terms of both traffic volumes and average speeds. These are used to determine levels of</w:t>
      </w:r>
      <w:r>
        <w:rPr>
          <w:spacing w:val="-13"/>
        </w:rPr>
        <w:t> </w:t>
      </w:r>
      <w:r>
        <w:rPr/>
        <w:t>service.</w:t>
      </w:r>
    </w:p>
    <w:p>
      <w:pPr>
        <w:spacing w:before="120"/>
        <w:ind w:left="140" w:right="0" w:firstLine="0"/>
        <w:jc w:val="left"/>
        <w:rPr>
          <w:rFonts w:ascii="Arial"/>
          <w:b/>
          <w:sz w:val="20"/>
        </w:rPr>
      </w:pPr>
      <w:r>
        <w:rPr>
          <w:rFonts w:ascii="Arial"/>
          <w:b/>
          <w:sz w:val="20"/>
        </w:rPr>
        <w:t>Table T-2: Level of Service Criteria for Intersections</w:t>
      </w:r>
    </w:p>
    <w:p>
      <w:pPr>
        <w:pStyle w:val="BodyText"/>
        <w:spacing w:before="6"/>
        <w:rPr>
          <w:rFonts w:ascii="Arial"/>
          <w:b/>
          <w:sz w:val="10"/>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74"/>
        <w:gridCol w:w="3775"/>
        <w:gridCol w:w="3595"/>
      </w:tblGrid>
      <w:tr>
        <w:trPr>
          <w:trHeight w:val="1091" w:hRule="atLeast"/>
        </w:trPr>
        <w:tc>
          <w:tcPr>
            <w:tcW w:w="1874" w:type="dxa"/>
            <w:shd w:val="clear" w:color="auto" w:fill="B8CCE3"/>
          </w:tcPr>
          <w:p>
            <w:pPr>
              <w:pStyle w:val="TableParagraph"/>
              <w:spacing w:before="0"/>
              <w:ind w:left="0"/>
              <w:rPr>
                <w:rFonts w:ascii="Arial"/>
                <w:b/>
                <w:sz w:val="26"/>
              </w:rPr>
            </w:pPr>
          </w:p>
          <w:p>
            <w:pPr>
              <w:pStyle w:val="TableParagraph"/>
              <w:spacing w:before="163"/>
              <w:rPr>
                <w:b/>
                <w:sz w:val="22"/>
              </w:rPr>
            </w:pPr>
            <w:r>
              <w:rPr>
                <w:b/>
                <w:sz w:val="22"/>
              </w:rPr>
              <w:t>LOS Rating</w:t>
            </w:r>
          </w:p>
        </w:tc>
        <w:tc>
          <w:tcPr>
            <w:tcW w:w="3775" w:type="dxa"/>
            <w:shd w:val="clear" w:color="auto" w:fill="B8CCE3"/>
          </w:tcPr>
          <w:p>
            <w:pPr>
              <w:pStyle w:val="TableParagraph"/>
              <w:spacing w:line="264" w:lineRule="auto" w:before="119"/>
              <w:ind w:left="105" w:right="786"/>
              <w:rPr>
                <w:b/>
                <w:sz w:val="22"/>
              </w:rPr>
            </w:pPr>
            <w:r>
              <w:rPr>
                <w:b/>
                <w:sz w:val="22"/>
              </w:rPr>
              <w:t>Signalized Intersections and Roundabouts</w:t>
            </w:r>
          </w:p>
          <w:p>
            <w:pPr>
              <w:pStyle w:val="TableParagraph"/>
              <w:spacing w:before="119"/>
              <w:ind w:left="105"/>
              <w:rPr>
                <w:b/>
                <w:sz w:val="22"/>
              </w:rPr>
            </w:pPr>
            <w:r>
              <w:rPr>
                <w:b/>
                <w:sz w:val="22"/>
              </w:rPr>
              <w:t>Control Delay per Vehicle (s/veh)</w:t>
            </w:r>
          </w:p>
        </w:tc>
        <w:tc>
          <w:tcPr>
            <w:tcW w:w="3595" w:type="dxa"/>
            <w:shd w:val="clear" w:color="auto" w:fill="B8CCE3"/>
          </w:tcPr>
          <w:p>
            <w:pPr>
              <w:pStyle w:val="TableParagraph"/>
              <w:spacing w:line="264" w:lineRule="auto" w:before="119"/>
              <w:ind w:left="108" w:right="79"/>
              <w:rPr>
                <w:b/>
                <w:sz w:val="22"/>
              </w:rPr>
            </w:pPr>
            <w:r>
              <w:rPr>
                <w:b/>
                <w:sz w:val="22"/>
              </w:rPr>
              <w:t>Un-signalized Intersections Control Delay per Vehicle (s/veh)</w:t>
            </w:r>
          </w:p>
        </w:tc>
      </w:tr>
      <w:tr>
        <w:trPr>
          <w:trHeight w:val="316" w:hRule="atLeast"/>
        </w:trPr>
        <w:tc>
          <w:tcPr>
            <w:tcW w:w="1874" w:type="dxa"/>
          </w:tcPr>
          <w:p>
            <w:pPr>
              <w:pStyle w:val="TableParagraph"/>
              <w:spacing w:line="237" w:lineRule="exact"/>
              <w:rPr>
                <w:sz w:val="22"/>
              </w:rPr>
            </w:pPr>
            <w:r>
              <w:rPr>
                <w:w w:val="100"/>
                <w:sz w:val="22"/>
              </w:rPr>
              <w:t>A</w:t>
            </w:r>
          </w:p>
        </w:tc>
        <w:tc>
          <w:tcPr>
            <w:tcW w:w="3775" w:type="dxa"/>
          </w:tcPr>
          <w:p>
            <w:pPr>
              <w:pStyle w:val="TableParagraph"/>
              <w:spacing w:line="237" w:lineRule="exact"/>
              <w:ind w:left="105"/>
              <w:rPr>
                <w:sz w:val="22"/>
              </w:rPr>
            </w:pPr>
            <w:r>
              <w:rPr>
                <w:sz w:val="22"/>
              </w:rPr>
              <w:t>&gt; 0-10</w:t>
            </w:r>
          </w:p>
        </w:tc>
        <w:tc>
          <w:tcPr>
            <w:tcW w:w="3595" w:type="dxa"/>
          </w:tcPr>
          <w:p>
            <w:pPr>
              <w:pStyle w:val="TableParagraph"/>
              <w:spacing w:line="237" w:lineRule="exact"/>
              <w:ind w:left="108"/>
              <w:rPr>
                <w:sz w:val="22"/>
              </w:rPr>
            </w:pPr>
            <w:r>
              <w:rPr>
                <w:sz w:val="22"/>
              </w:rPr>
              <w:t>&gt;0 - 10</w:t>
            </w:r>
          </w:p>
        </w:tc>
      </w:tr>
      <w:tr>
        <w:trPr>
          <w:trHeight w:val="318" w:hRule="atLeast"/>
        </w:trPr>
        <w:tc>
          <w:tcPr>
            <w:tcW w:w="1874" w:type="dxa"/>
          </w:tcPr>
          <w:p>
            <w:pPr>
              <w:pStyle w:val="TableParagraph"/>
              <w:spacing w:line="239" w:lineRule="exact"/>
              <w:rPr>
                <w:sz w:val="22"/>
              </w:rPr>
            </w:pPr>
            <w:r>
              <w:rPr>
                <w:w w:val="100"/>
                <w:sz w:val="22"/>
              </w:rPr>
              <w:t>B</w:t>
            </w:r>
          </w:p>
        </w:tc>
        <w:tc>
          <w:tcPr>
            <w:tcW w:w="3775" w:type="dxa"/>
          </w:tcPr>
          <w:p>
            <w:pPr>
              <w:pStyle w:val="TableParagraph"/>
              <w:spacing w:line="239" w:lineRule="exact"/>
              <w:ind w:left="105"/>
              <w:rPr>
                <w:sz w:val="22"/>
              </w:rPr>
            </w:pPr>
            <w:r>
              <w:rPr>
                <w:sz w:val="22"/>
              </w:rPr>
              <w:t>&gt; 10-20</w:t>
            </w:r>
          </w:p>
        </w:tc>
        <w:tc>
          <w:tcPr>
            <w:tcW w:w="3595" w:type="dxa"/>
          </w:tcPr>
          <w:p>
            <w:pPr>
              <w:pStyle w:val="TableParagraph"/>
              <w:spacing w:line="239" w:lineRule="exact"/>
              <w:ind w:left="108"/>
              <w:rPr>
                <w:sz w:val="22"/>
              </w:rPr>
            </w:pPr>
            <w:r>
              <w:rPr>
                <w:sz w:val="22"/>
              </w:rPr>
              <w:t>&gt;10 - 15</w:t>
            </w:r>
          </w:p>
        </w:tc>
      </w:tr>
      <w:tr>
        <w:trPr>
          <w:trHeight w:val="318" w:hRule="atLeast"/>
        </w:trPr>
        <w:tc>
          <w:tcPr>
            <w:tcW w:w="1874" w:type="dxa"/>
          </w:tcPr>
          <w:p>
            <w:pPr>
              <w:pStyle w:val="TableParagraph"/>
              <w:spacing w:line="239" w:lineRule="exact"/>
              <w:rPr>
                <w:sz w:val="22"/>
              </w:rPr>
            </w:pPr>
            <w:r>
              <w:rPr>
                <w:w w:val="100"/>
                <w:sz w:val="22"/>
              </w:rPr>
              <w:t>C</w:t>
            </w:r>
          </w:p>
        </w:tc>
        <w:tc>
          <w:tcPr>
            <w:tcW w:w="3775" w:type="dxa"/>
          </w:tcPr>
          <w:p>
            <w:pPr>
              <w:pStyle w:val="TableParagraph"/>
              <w:spacing w:line="239" w:lineRule="exact"/>
              <w:ind w:left="105"/>
              <w:rPr>
                <w:sz w:val="22"/>
              </w:rPr>
            </w:pPr>
            <w:r>
              <w:rPr>
                <w:sz w:val="22"/>
              </w:rPr>
              <w:t>&gt; 20-35</w:t>
            </w:r>
          </w:p>
        </w:tc>
        <w:tc>
          <w:tcPr>
            <w:tcW w:w="3595" w:type="dxa"/>
          </w:tcPr>
          <w:p>
            <w:pPr>
              <w:pStyle w:val="TableParagraph"/>
              <w:spacing w:line="239" w:lineRule="exact"/>
              <w:ind w:left="108"/>
              <w:rPr>
                <w:sz w:val="22"/>
              </w:rPr>
            </w:pPr>
            <w:r>
              <w:rPr>
                <w:sz w:val="22"/>
              </w:rPr>
              <w:t>&gt;15 – 25</w:t>
            </w:r>
          </w:p>
        </w:tc>
      </w:tr>
      <w:tr>
        <w:trPr>
          <w:trHeight w:val="316" w:hRule="atLeast"/>
        </w:trPr>
        <w:tc>
          <w:tcPr>
            <w:tcW w:w="1874" w:type="dxa"/>
          </w:tcPr>
          <w:p>
            <w:pPr>
              <w:pStyle w:val="TableParagraph"/>
              <w:spacing w:line="237" w:lineRule="exact"/>
              <w:rPr>
                <w:sz w:val="22"/>
              </w:rPr>
            </w:pPr>
            <w:r>
              <w:rPr>
                <w:w w:val="100"/>
                <w:sz w:val="22"/>
              </w:rPr>
              <w:t>D</w:t>
            </w:r>
          </w:p>
        </w:tc>
        <w:tc>
          <w:tcPr>
            <w:tcW w:w="3775" w:type="dxa"/>
          </w:tcPr>
          <w:p>
            <w:pPr>
              <w:pStyle w:val="TableParagraph"/>
              <w:spacing w:line="237" w:lineRule="exact"/>
              <w:ind w:left="105"/>
              <w:rPr>
                <w:sz w:val="22"/>
              </w:rPr>
            </w:pPr>
            <w:r>
              <w:rPr>
                <w:sz w:val="22"/>
              </w:rPr>
              <w:t>&gt; 35-55</w:t>
            </w:r>
          </w:p>
        </w:tc>
        <w:tc>
          <w:tcPr>
            <w:tcW w:w="3595" w:type="dxa"/>
          </w:tcPr>
          <w:p>
            <w:pPr>
              <w:pStyle w:val="TableParagraph"/>
              <w:spacing w:line="237" w:lineRule="exact"/>
              <w:ind w:left="108"/>
              <w:rPr>
                <w:sz w:val="22"/>
              </w:rPr>
            </w:pPr>
            <w:r>
              <w:rPr>
                <w:sz w:val="22"/>
              </w:rPr>
              <w:t>&gt;25 – 35</w:t>
            </w:r>
          </w:p>
        </w:tc>
      </w:tr>
      <w:tr>
        <w:trPr>
          <w:trHeight w:val="318" w:hRule="atLeast"/>
        </w:trPr>
        <w:tc>
          <w:tcPr>
            <w:tcW w:w="1874" w:type="dxa"/>
          </w:tcPr>
          <w:p>
            <w:pPr>
              <w:pStyle w:val="TableParagraph"/>
              <w:spacing w:line="239" w:lineRule="exact"/>
              <w:rPr>
                <w:sz w:val="22"/>
              </w:rPr>
            </w:pPr>
            <w:r>
              <w:rPr>
                <w:w w:val="100"/>
                <w:sz w:val="22"/>
              </w:rPr>
              <w:t>E</w:t>
            </w:r>
          </w:p>
        </w:tc>
        <w:tc>
          <w:tcPr>
            <w:tcW w:w="3775" w:type="dxa"/>
          </w:tcPr>
          <w:p>
            <w:pPr>
              <w:pStyle w:val="TableParagraph"/>
              <w:spacing w:line="239" w:lineRule="exact"/>
              <w:ind w:left="105"/>
              <w:rPr>
                <w:sz w:val="22"/>
              </w:rPr>
            </w:pPr>
            <w:r>
              <w:rPr>
                <w:sz w:val="22"/>
              </w:rPr>
              <w:t>&gt; 55-80</w:t>
            </w:r>
          </w:p>
        </w:tc>
        <w:tc>
          <w:tcPr>
            <w:tcW w:w="3595" w:type="dxa"/>
          </w:tcPr>
          <w:p>
            <w:pPr>
              <w:pStyle w:val="TableParagraph"/>
              <w:spacing w:line="239" w:lineRule="exact"/>
              <w:ind w:left="108"/>
              <w:rPr>
                <w:sz w:val="22"/>
              </w:rPr>
            </w:pPr>
            <w:r>
              <w:rPr>
                <w:sz w:val="22"/>
              </w:rPr>
              <w:t>&gt;35 – 50</w:t>
            </w:r>
          </w:p>
        </w:tc>
      </w:tr>
      <w:tr>
        <w:trPr>
          <w:trHeight w:val="318" w:hRule="atLeast"/>
        </w:trPr>
        <w:tc>
          <w:tcPr>
            <w:tcW w:w="1874" w:type="dxa"/>
          </w:tcPr>
          <w:p>
            <w:pPr>
              <w:pStyle w:val="TableParagraph"/>
              <w:spacing w:line="239" w:lineRule="exact"/>
              <w:rPr>
                <w:sz w:val="22"/>
              </w:rPr>
            </w:pPr>
            <w:r>
              <w:rPr>
                <w:w w:val="100"/>
                <w:sz w:val="22"/>
              </w:rPr>
              <w:t>F</w:t>
            </w:r>
          </w:p>
        </w:tc>
        <w:tc>
          <w:tcPr>
            <w:tcW w:w="3775" w:type="dxa"/>
          </w:tcPr>
          <w:p>
            <w:pPr>
              <w:pStyle w:val="TableParagraph"/>
              <w:spacing w:line="239" w:lineRule="exact"/>
              <w:ind w:left="105"/>
              <w:rPr>
                <w:sz w:val="22"/>
              </w:rPr>
            </w:pPr>
            <w:r>
              <w:rPr>
                <w:sz w:val="22"/>
              </w:rPr>
              <w:t>&gt; 80</w:t>
            </w:r>
          </w:p>
        </w:tc>
        <w:tc>
          <w:tcPr>
            <w:tcW w:w="3595" w:type="dxa"/>
          </w:tcPr>
          <w:p>
            <w:pPr>
              <w:pStyle w:val="TableParagraph"/>
              <w:spacing w:line="239" w:lineRule="exact"/>
              <w:ind w:left="108"/>
              <w:rPr>
                <w:sz w:val="22"/>
              </w:rPr>
            </w:pPr>
            <w:r>
              <w:rPr>
                <w:sz w:val="22"/>
              </w:rPr>
              <w:t>&gt;50</w:t>
            </w:r>
          </w:p>
        </w:tc>
      </w:tr>
    </w:tbl>
    <w:p>
      <w:pPr>
        <w:pStyle w:val="BodyText"/>
        <w:spacing w:before="3"/>
        <w:rPr>
          <w:rFonts w:ascii="Arial"/>
          <w:b/>
          <w:sz w:val="17"/>
        </w:rPr>
      </w:pPr>
    </w:p>
    <w:p>
      <w:pPr>
        <w:spacing w:before="0"/>
        <w:ind w:left="140" w:right="0" w:firstLine="0"/>
        <w:jc w:val="left"/>
        <w:rPr>
          <w:b/>
          <w:sz w:val="22"/>
        </w:rPr>
      </w:pPr>
      <w:bookmarkStart w:name="Threshold LOS" w:id="146"/>
      <w:bookmarkEnd w:id="146"/>
      <w:r>
        <w:rPr/>
      </w:r>
      <w:r>
        <w:rPr>
          <w:b/>
          <w:color w:val="C0504D"/>
          <w:sz w:val="22"/>
        </w:rPr>
        <w:t>Threshold LOS</w:t>
      </w:r>
    </w:p>
    <w:p>
      <w:pPr>
        <w:pStyle w:val="BodyText"/>
        <w:spacing w:before="119"/>
        <w:ind w:left="140" w:right="334"/>
        <w:jc w:val="both"/>
      </w:pPr>
      <w:r>
        <w:rPr/>
        <w:t>To determine whether service levels of a roadway system are deficient, a threshold LOS must be established. Any roadway with an LOS better than the threshold is considered acceptable, and a roadway with an LOS worse than the threshold is considered deficient. For this analysis, the threshold is LOS D, which is the same level adopted by Benton Franklin Council of Governments and used</w:t>
      </w:r>
      <w:r>
        <w:rPr>
          <w:spacing w:val="-13"/>
        </w:rPr>
        <w:t> </w:t>
      </w:r>
      <w:r>
        <w:rPr/>
        <w:t>in</w:t>
      </w:r>
      <w:r>
        <w:rPr>
          <w:spacing w:val="-10"/>
        </w:rPr>
        <w:t> </w:t>
      </w:r>
      <w:r>
        <w:rPr/>
        <w:t>the</w:t>
      </w:r>
      <w:r>
        <w:rPr>
          <w:spacing w:val="-9"/>
        </w:rPr>
        <w:t> </w:t>
      </w:r>
      <w:r>
        <w:rPr/>
        <w:t>Regional</w:t>
      </w:r>
      <w:r>
        <w:rPr>
          <w:spacing w:val="-11"/>
        </w:rPr>
        <w:t> </w:t>
      </w:r>
      <w:r>
        <w:rPr/>
        <w:t>Transportation</w:t>
      </w:r>
      <w:r>
        <w:rPr>
          <w:spacing w:val="-10"/>
        </w:rPr>
        <w:t> </w:t>
      </w:r>
      <w:r>
        <w:rPr/>
        <w:t>Plan.</w:t>
      </w:r>
      <w:r>
        <w:rPr>
          <w:spacing w:val="-10"/>
        </w:rPr>
        <w:t> </w:t>
      </w:r>
      <w:r>
        <w:rPr/>
        <w:t>Existing</w:t>
      </w:r>
      <w:r>
        <w:rPr>
          <w:spacing w:val="-11"/>
        </w:rPr>
        <w:t> </w:t>
      </w:r>
      <w:r>
        <w:rPr/>
        <w:t>conditions</w:t>
      </w:r>
      <w:r>
        <w:rPr>
          <w:spacing w:val="-8"/>
        </w:rPr>
        <w:t> </w:t>
      </w:r>
      <w:r>
        <w:rPr/>
        <w:t>was</w:t>
      </w:r>
      <w:r>
        <w:rPr>
          <w:spacing w:val="-8"/>
        </w:rPr>
        <w:t> </w:t>
      </w:r>
      <w:r>
        <w:rPr/>
        <w:t>evaluated</w:t>
      </w:r>
      <w:r>
        <w:rPr>
          <w:spacing w:val="-12"/>
        </w:rPr>
        <w:t> </w:t>
      </w:r>
      <w:r>
        <w:rPr/>
        <w:t>using</w:t>
      </w:r>
      <w:r>
        <w:rPr>
          <w:spacing w:val="-9"/>
        </w:rPr>
        <w:t> </w:t>
      </w:r>
      <w:r>
        <w:rPr/>
        <w:t>a</w:t>
      </w:r>
      <w:r>
        <w:rPr>
          <w:spacing w:val="-9"/>
        </w:rPr>
        <w:t> </w:t>
      </w:r>
      <w:r>
        <w:rPr/>
        <w:t>single</w:t>
      </w:r>
      <w:r>
        <w:rPr>
          <w:spacing w:val="-9"/>
        </w:rPr>
        <w:t> </w:t>
      </w:r>
      <w:r>
        <w:rPr/>
        <w:t>peak-hour</w:t>
      </w:r>
    </w:p>
    <w:p>
      <w:pPr>
        <w:spacing w:after="0"/>
        <w:jc w:val="both"/>
        <w:sectPr>
          <w:pgSz w:w="12240" w:h="15840"/>
          <w:pgMar w:header="0" w:footer="1132" w:top="1360" w:bottom="1320" w:left="1300" w:right="1100"/>
        </w:sectPr>
      </w:pPr>
    </w:p>
    <w:p>
      <w:pPr>
        <w:pStyle w:val="BodyText"/>
        <w:spacing w:before="80"/>
        <w:ind w:left="140" w:right="335"/>
        <w:jc w:val="both"/>
      </w:pPr>
      <w:r>
        <w:rPr/>
        <w:t>calculation. As with the previous analysis, the minimum threshold LOS will be D, and roads with an average LOS of E or F will be considered deficient.</w:t>
      </w:r>
    </w:p>
    <w:p>
      <w:pPr>
        <w:pStyle w:val="BodyText"/>
        <w:spacing w:before="120"/>
        <w:ind w:left="139" w:right="334"/>
        <w:jc w:val="both"/>
      </w:pPr>
      <w:r>
        <w:rPr/>
        <w:t>The threshold for all movements in signalized intersections and roundabouts is LOS D. Signalized intersections</w:t>
      </w:r>
      <w:r>
        <w:rPr>
          <w:spacing w:val="-3"/>
        </w:rPr>
        <w:t> </w:t>
      </w:r>
      <w:r>
        <w:rPr/>
        <w:t>and</w:t>
      </w:r>
      <w:r>
        <w:rPr>
          <w:spacing w:val="-2"/>
        </w:rPr>
        <w:t> </w:t>
      </w:r>
      <w:r>
        <w:rPr/>
        <w:t>roundabouts</w:t>
      </w:r>
      <w:r>
        <w:rPr>
          <w:spacing w:val="-3"/>
        </w:rPr>
        <w:t> </w:t>
      </w:r>
      <w:r>
        <w:rPr/>
        <w:t>at</w:t>
      </w:r>
      <w:r>
        <w:rPr>
          <w:spacing w:val="-2"/>
        </w:rPr>
        <w:t> </w:t>
      </w:r>
      <w:r>
        <w:rPr/>
        <w:t>LOS</w:t>
      </w:r>
      <w:r>
        <w:rPr>
          <w:spacing w:val="-3"/>
        </w:rPr>
        <w:t> </w:t>
      </w:r>
      <w:r>
        <w:rPr/>
        <w:t>D</w:t>
      </w:r>
      <w:r>
        <w:rPr>
          <w:spacing w:val="-2"/>
        </w:rPr>
        <w:t> </w:t>
      </w:r>
      <w:r>
        <w:rPr/>
        <w:t>or</w:t>
      </w:r>
      <w:r>
        <w:rPr>
          <w:spacing w:val="-1"/>
        </w:rPr>
        <w:t> </w:t>
      </w:r>
      <w:r>
        <w:rPr/>
        <w:t>better</w:t>
      </w:r>
      <w:r>
        <w:rPr>
          <w:spacing w:val="-2"/>
        </w:rPr>
        <w:t> </w:t>
      </w:r>
      <w:r>
        <w:rPr/>
        <w:t>but</w:t>
      </w:r>
      <w:r>
        <w:rPr>
          <w:spacing w:val="-2"/>
        </w:rPr>
        <w:t> </w:t>
      </w:r>
      <w:r>
        <w:rPr/>
        <w:t>have</w:t>
      </w:r>
      <w:r>
        <w:rPr>
          <w:spacing w:val="-4"/>
        </w:rPr>
        <w:t> </w:t>
      </w:r>
      <w:r>
        <w:rPr/>
        <w:t>movements</w:t>
      </w:r>
      <w:r>
        <w:rPr>
          <w:spacing w:val="-1"/>
        </w:rPr>
        <w:t> </w:t>
      </w:r>
      <w:r>
        <w:rPr/>
        <w:t>at</w:t>
      </w:r>
      <w:r>
        <w:rPr>
          <w:spacing w:val="-5"/>
        </w:rPr>
        <w:t> </w:t>
      </w:r>
      <w:r>
        <w:rPr/>
        <w:t>LOS</w:t>
      </w:r>
      <w:r>
        <w:rPr>
          <w:spacing w:val="-1"/>
        </w:rPr>
        <w:t> </w:t>
      </w:r>
      <w:r>
        <w:rPr/>
        <w:t>E</w:t>
      </w:r>
      <w:r>
        <w:rPr>
          <w:spacing w:val="-2"/>
        </w:rPr>
        <w:t> </w:t>
      </w:r>
      <w:r>
        <w:rPr/>
        <w:t>or</w:t>
      </w:r>
      <w:r>
        <w:rPr>
          <w:spacing w:val="-1"/>
        </w:rPr>
        <w:t> </w:t>
      </w:r>
      <w:r>
        <w:rPr/>
        <w:t>F</w:t>
      </w:r>
      <w:r>
        <w:rPr>
          <w:spacing w:val="-3"/>
        </w:rPr>
        <w:t> </w:t>
      </w:r>
      <w:r>
        <w:rPr/>
        <w:t>then</w:t>
      </w:r>
      <w:r>
        <w:rPr>
          <w:spacing w:val="-5"/>
        </w:rPr>
        <w:t> </w:t>
      </w:r>
      <w:r>
        <w:rPr/>
        <w:t>analysis</w:t>
      </w:r>
      <w:r>
        <w:rPr>
          <w:spacing w:val="-3"/>
        </w:rPr>
        <w:t> </w:t>
      </w:r>
      <w:r>
        <w:rPr/>
        <w:t>of queues impacting adjacent signalized intersections and movement delay is required. If failures to individual movements are caused by delay, then exceptions may be considered by demonstrating a volume to capacity ratio of 95% or less for left-turn movements while demonstrating a volume to capacity ratio of 85% or less for thru movements, while still achieving an overall LOS D for the intersection. 95th percentile queue length extending into adjacent signalized or roundabout intersections or major driveways (over 1000 vehicles per day) are considered</w:t>
      </w:r>
      <w:r>
        <w:rPr>
          <w:spacing w:val="-16"/>
        </w:rPr>
        <w:t> </w:t>
      </w:r>
      <w:r>
        <w:rPr/>
        <w:t>deficient.</w:t>
      </w:r>
    </w:p>
    <w:p>
      <w:pPr>
        <w:pStyle w:val="BodyText"/>
        <w:spacing w:before="120"/>
        <w:ind w:left="139" w:right="335"/>
        <w:jc w:val="both"/>
      </w:pPr>
      <w:r>
        <w:rPr/>
        <w:t>Unsignalized intersections at LOS E may not be considered deficient if all minor street movements operate at LOS E or better.</w:t>
      </w:r>
      <w:r>
        <w:rPr>
          <w:spacing w:val="6"/>
        </w:rPr>
        <w:t> </w:t>
      </w:r>
      <w:r>
        <w:rPr/>
        <w:t>Unsignalized intersections at LOS F may not be considered deficient if an accessible</w:t>
      </w:r>
      <w:r>
        <w:rPr>
          <w:spacing w:val="-9"/>
        </w:rPr>
        <w:t> </w:t>
      </w:r>
      <w:r>
        <w:rPr/>
        <w:t>signalized</w:t>
      </w:r>
      <w:r>
        <w:rPr>
          <w:spacing w:val="-9"/>
        </w:rPr>
        <w:t> </w:t>
      </w:r>
      <w:r>
        <w:rPr/>
        <w:t>intersection</w:t>
      </w:r>
      <w:r>
        <w:rPr>
          <w:spacing w:val="-10"/>
        </w:rPr>
        <w:t> </w:t>
      </w:r>
      <w:r>
        <w:rPr/>
        <w:t>or</w:t>
      </w:r>
      <w:r>
        <w:rPr>
          <w:spacing w:val="-9"/>
        </w:rPr>
        <w:t> </w:t>
      </w:r>
      <w:r>
        <w:rPr/>
        <w:t>roundabout</w:t>
      </w:r>
      <w:r>
        <w:rPr>
          <w:spacing w:val="-9"/>
        </w:rPr>
        <w:t> </w:t>
      </w:r>
      <w:r>
        <w:rPr/>
        <w:t>operating</w:t>
      </w:r>
      <w:r>
        <w:rPr>
          <w:spacing w:val="-7"/>
        </w:rPr>
        <w:t> </w:t>
      </w:r>
      <w:r>
        <w:rPr/>
        <w:t>at</w:t>
      </w:r>
      <w:r>
        <w:rPr>
          <w:spacing w:val="-9"/>
        </w:rPr>
        <w:t> </w:t>
      </w:r>
      <w:r>
        <w:rPr/>
        <w:t>LOS</w:t>
      </w:r>
      <w:r>
        <w:rPr>
          <w:spacing w:val="-8"/>
        </w:rPr>
        <w:t> </w:t>
      </w:r>
      <w:r>
        <w:rPr/>
        <w:t>D</w:t>
      </w:r>
      <w:r>
        <w:rPr>
          <w:spacing w:val="-9"/>
        </w:rPr>
        <w:t> </w:t>
      </w:r>
      <w:r>
        <w:rPr/>
        <w:t>or</w:t>
      </w:r>
      <w:r>
        <w:rPr>
          <w:spacing w:val="-9"/>
        </w:rPr>
        <w:t> </w:t>
      </w:r>
      <w:r>
        <w:rPr/>
        <w:t>better</w:t>
      </w:r>
      <w:r>
        <w:rPr>
          <w:spacing w:val="-9"/>
        </w:rPr>
        <w:t> </w:t>
      </w:r>
      <w:r>
        <w:rPr/>
        <w:t>is</w:t>
      </w:r>
      <w:r>
        <w:rPr>
          <w:spacing w:val="-7"/>
        </w:rPr>
        <w:t> </w:t>
      </w:r>
      <w:r>
        <w:rPr/>
        <w:t>within</w:t>
      </w:r>
      <w:r>
        <w:rPr>
          <w:spacing w:val="-10"/>
        </w:rPr>
        <w:t> </w:t>
      </w:r>
      <w:r>
        <w:rPr/>
        <w:t>a</w:t>
      </w:r>
      <w:r>
        <w:rPr>
          <w:spacing w:val="-9"/>
        </w:rPr>
        <w:t> </w:t>
      </w:r>
      <w:r>
        <w:rPr/>
        <w:t>quarter</w:t>
      </w:r>
      <w:r>
        <w:rPr>
          <w:spacing w:val="-9"/>
        </w:rPr>
        <w:t> </w:t>
      </w:r>
      <w:r>
        <w:rPr/>
        <w:t>mile of the unsignalized intersection as an alternative route than using the unsignalized</w:t>
      </w:r>
      <w:r>
        <w:rPr>
          <w:spacing w:val="-29"/>
        </w:rPr>
        <w:t> </w:t>
      </w:r>
      <w:r>
        <w:rPr/>
        <w:t>intersection.</w:t>
      </w:r>
    </w:p>
    <w:p>
      <w:pPr>
        <w:pStyle w:val="Heading7"/>
        <w:spacing w:before="200"/>
        <w:ind w:left="140"/>
        <w:jc w:val="both"/>
      </w:pPr>
      <w:bookmarkStart w:name="Section Four" w:id="147"/>
      <w:bookmarkEnd w:id="147"/>
      <w:r>
        <w:rPr/>
      </w:r>
      <w:bookmarkStart w:name="_bookmark59" w:id="148"/>
      <w:bookmarkEnd w:id="148"/>
      <w:r>
        <w:rPr/>
      </w:r>
      <w:r>
        <w:rPr>
          <w:color w:val="4F81BC"/>
        </w:rPr>
        <w:t>SECTION FOUR</w:t>
      </w:r>
    </w:p>
    <w:p>
      <w:pPr>
        <w:pStyle w:val="Heading6"/>
        <w:ind w:left="139"/>
        <w:jc w:val="both"/>
      </w:pPr>
      <w:bookmarkStart w:name="Deficiencies and Improvements" w:id="149"/>
      <w:bookmarkEnd w:id="149"/>
      <w:r>
        <w:rPr>
          <w:b w:val="0"/>
        </w:rPr>
      </w:r>
      <w:bookmarkStart w:name="_bookmark60" w:id="150"/>
      <w:bookmarkEnd w:id="150"/>
      <w:r>
        <w:rPr>
          <w:b w:val="0"/>
        </w:rPr>
      </w:r>
      <w:r>
        <w:rPr/>
        <w:t>DEFICIENCIES AND IMPROVEMENTS</w:t>
      </w:r>
    </w:p>
    <w:p>
      <w:pPr>
        <w:pStyle w:val="BodyText"/>
        <w:spacing w:before="121"/>
        <w:ind w:left="140" w:right="335"/>
        <w:jc w:val="both"/>
      </w:pPr>
      <w:r>
        <w:rPr/>
        <w:t>The</w:t>
      </w:r>
      <w:r>
        <w:rPr>
          <w:spacing w:val="-7"/>
        </w:rPr>
        <w:t> </w:t>
      </w:r>
      <w:r>
        <w:rPr/>
        <w:t>City</w:t>
      </w:r>
      <w:r>
        <w:rPr>
          <w:spacing w:val="-8"/>
        </w:rPr>
        <w:t> </w:t>
      </w:r>
      <w:r>
        <w:rPr/>
        <w:t>meets</w:t>
      </w:r>
      <w:r>
        <w:rPr>
          <w:spacing w:val="-4"/>
        </w:rPr>
        <w:t> </w:t>
      </w:r>
      <w:r>
        <w:rPr/>
        <w:t>its</w:t>
      </w:r>
      <w:r>
        <w:rPr>
          <w:spacing w:val="-4"/>
        </w:rPr>
        <w:t> </w:t>
      </w:r>
      <w:r>
        <w:rPr/>
        <w:t>transportation</w:t>
      </w:r>
      <w:r>
        <w:rPr>
          <w:spacing w:val="-5"/>
        </w:rPr>
        <w:t> </w:t>
      </w:r>
      <w:r>
        <w:rPr/>
        <w:t>concurrency</w:t>
      </w:r>
      <w:r>
        <w:rPr>
          <w:spacing w:val="-6"/>
        </w:rPr>
        <w:t> </w:t>
      </w:r>
      <w:r>
        <w:rPr/>
        <w:t>requirements</w:t>
      </w:r>
      <w:r>
        <w:rPr>
          <w:spacing w:val="-3"/>
        </w:rPr>
        <w:t> </w:t>
      </w:r>
      <w:r>
        <w:rPr/>
        <w:t>by</w:t>
      </w:r>
      <w:r>
        <w:rPr>
          <w:spacing w:val="-6"/>
        </w:rPr>
        <w:t> </w:t>
      </w:r>
      <w:r>
        <w:rPr/>
        <w:t>identifying</w:t>
      </w:r>
      <w:r>
        <w:rPr>
          <w:spacing w:val="-3"/>
        </w:rPr>
        <w:t> </w:t>
      </w:r>
      <w:r>
        <w:rPr/>
        <w:t>deficiencies</w:t>
      </w:r>
      <w:r>
        <w:rPr>
          <w:spacing w:val="-4"/>
        </w:rPr>
        <w:t> </w:t>
      </w:r>
      <w:r>
        <w:rPr/>
        <w:t>based</w:t>
      </w:r>
      <w:r>
        <w:rPr>
          <w:spacing w:val="-5"/>
        </w:rPr>
        <w:t> </w:t>
      </w:r>
      <w:r>
        <w:rPr/>
        <w:t>on</w:t>
      </w:r>
      <w:r>
        <w:rPr>
          <w:spacing w:val="-5"/>
        </w:rPr>
        <w:t> </w:t>
      </w:r>
      <w:r>
        <w:rPr/>
        <w:t>the LOS</w:t>
      </w:r>
      <w:r>
        <w:rPr>
          <w:spacing w:val="-2"/>
        </w:rPr>
        <w:t> </w:t>
      </w:r>
      <w:r>
        <w:rPr/>
        <w:t>established</w:t>
      </w:r>
      <w:r>
        <w:rPr>
          <w:spacing w:val="-3"/>
        </w:rPr>
        <w:t> </w:t>
      </w:r>
      <w:r>
        <w:rPr/>
        <w:t>above,</w:t>
      </w:r>
      <w:r>
        <w:rPr>
          <w:spacing w:val="-5"/>
        </w:rPr>
        <w:t> </w:t>
      </w:r>
      <w:r>
        <w:rPr/>
        <w:t>and</w:t>
      </w:r>
      <w:r>
        <w:rPr>
          <w:spacing w:val="-3"/>
        </w:rPr>
        <w:t> </w:t>
      </w:r>
      <w:r>
        <w:rPr/>
        <w:t>addressing</w:t>
      </w:r>
      <w:r>
        <w:rPr>
          <w:spacing w:val="-3"/>
        </w:rPr>
        <w:t> </w:t>
      </w:r>
      <w:r>
        <w:rPr/>
        <w:t>deficiencies</w:t>
      </w:r>
      <w:r>
        <w:rPr>
          <w:spacing w:val="-4"/>
        </w:rPr>
        <w:t> </w:t>
      </w:r>
      <w:r>
        <w:rPr/>
        <w:t>through</w:t>
      </w:r>
      <w:r>
        <w:rPr>
          <w:spacing w:val="-5"/>
        </w:rPr>
        <w:t> </w:t>
      </w:r>
      <w:r>
        <w:rPr/>
        <w:t>short</w:t>
      </w:r>
      <w:r>
        <w:rPr>
          <w:spacing w:val="-3"/>
        </w:rPr>
        <w:t> </w:t>
      </w:r>
      <w:r>
        <w:rPr/>
        <w:t>and</w:t>
      </w:r>
      <w:r>
        <w:rPr>
          <w:spacing w:val="-3"/>
        </w:rPr>
        <w:t> </w:t>
      </w:r>
      <w:r>
        <w:rPr/>
        <w:t>long</w:t>
      </w:r>
      <w:r>
        <w:rPr>
          <w:spacing w:val="-1"/>
        </w:rPr>
        <w:t> </w:t>
      </w:r>
      <w:r>
        <w:rPr/>
        <w:t>term</w:t>
      </w:r>
      <w:r>
        <w:rPr>
          <w:spacing w:val="-2"/>
        </w:rPr>
        <w:t> </w:t>
      </w:r>
      <w:r>
        <w:rPr/>
        <w:t>improvements.</w:t>
      </w:r>
      <w:r>
        <w:rPr>
          <w:spacing w:val="-5"/>
        </w:rPr>
        <w:t> </w:t>
      </w:r>
      <w:r>
        <w:rPr/>
        <w:t>The City plans to provide adequate transportation facilities within it growth areas as growth occurs</w:t>
      </w:r>
      <w:bookmarkStart w:name="Short Term Improvements" w:id="151"/>
      <w:bookmarkEnd w:id="151"/>
      <w:r>
        <w:rPr/>
      </w:r>
      <w:r>
        <w:rPr/>
        <w:t> according to the</w:t>
      </w:r>
      <w:r>
        <w:rPr>
          <w:spacing w:val="-3"/>
        </w:rPr>
        <w:t> </w:t>
      </w:r>
      <w:r>
        <w:rPr/>
        <w:t>GMA.</w:t>
      </w:r>
    </w:p>
    <w:p>
      <w:pPr>
        <w:spacing w:before="202"/>
        <w:ind w:left="140" w:right="0" w:firstLine="0"/>
        <w:jc w:val="both"/>
        <w:rPr>
          <w:b/>
          <w:sz w:val="24"/>
        </w:rPr>
      </w:pPr>
      <w:r>
        <w:rPr>
          <w:b/>
          <w:sz w:val="24"/>
        </w:rPr>
        <w:t>SHORT TERM IMPROVEMENTS</w:t>
      </w:r>
    </w:p>
    <w:p>
      <w:pPr>
        <w:pStyle w:val="BodyText"/>
        <w:spacing w:before="119"/>
        <w:ind w:left="139" w:right="333"/>
        <w:jc w:val="both"/>
      </w:pPr>
      <w:r>
        <w:rPr/>
        <w:t>As mentioned above, existing conditions analysis was performed for the purposes of this Comprehensive</w:t>
      </w:r>
      <w:r>
        <w:rPr>
          <w:spacing w:val="-6"/>
        </w:rPr>
        <w:t> </w:t>
      </w:r>
      <w:r>
        <w:rPr/>
        <w:t>Plan</w:t>
      </w:r>
      <w:r>
        <w:rPr>
          <w:spacing w:val="-8"/>
        </w:rPr>
        <w:t> </w:t>
      </w:r>
      <w:r>
        <w:rPr/>
        <w:t>update</w:t>
      </w:r>
      <w:r>
        <w:rPr>
          <w:spacing w:val="-6"/>
        </w:rPr>
        <w:t> </w:t>
      </w:r>
      <w:r>
        <w:rPr/>
        <w:t>by</w:t>
      </w:r>
      <w:r>
        <w:rPr>
          <w:spacing w:val="-7"/>
        </w:rPr>
        <w:t> </w:t>
      </w:r>
      <w:r>
        <w:rPr/>
        <w:t>reviewing</w:t>
      </w:r>
      <w:r>
        <w:rPr>
          <w:spacing w:val="-5"/>
        </w:rPr>
        <w:t> </w:t>
      </w:r>
      <w:r>
        <w:rPr/>
        <w:t>recent</w:t>
      </w:r>
      <w:r>
        <w:rPr>
          <w:spacing w:val="-7"/>
        </w:rPr>
        <w:t> </w:t>
      </w:r>
      <w:r>
        <w:rPr/>
        <w:t>studies</w:t>
      </w:r>
      <w:r>
        <w:rPr>
          <w:spacing w:val="-5"/>
        </w:rPr>
        <w:t> </w:t>
      </w:r>
      <w:r>
        <w:rPr/>
        <w:t>that</w:t>
      </w:r>
      <w:r>
        <w:rPr>
          <w:spacing w:val="-7"/>
        </w:rPr>
        <w:t> </w:t>
      </w:r>
      <w:r>
        <w:rPr/>
        <w:t>have</w:t>
      </w:r>
      <w:r>
        <w:rPr>
          <w:spacing w:val="-6"/>
        </w:rPr>
        <w:t> </w:t>
      </w:r>
      <w:r>
        <w:rPr/>
        <w:t>been</w:t>
      </w:r>
      <w:r>
        <w:rPr>
          <w:spacing w:val="-6"/>
        </w:rPr>
        <w:t> </w:t>
      </w:r>
      <w:r>
        <w:rPr/>
        <w:t>performed</w:t>
      </w:r>
      <w:r>
        <w:rPr>
          <w:spacing w:val="-7"/>
        </w:rPr>
        <w:t> </w:t>
      </w:r>
      <w:r>
        <w:rPr/>
        <w:t>within</w:t>
      </w:r>
      <w:r>
        <w:rPr>
          <w:spacing w:val="-8"/>
        </w:rPr>
        <w:t> </w:t>
      </w:r>
      <w:r>
        <w:rPr/>
        <w:t>the</w:t>
      </w:r>
      <w:r>
        <w:rPr>
          <w:spacing w:val="-8"/>
        </w:rPr>
        <w:t> </w:t>
      </w:r>
      <w:r>
        <w:rPr/>
        <w:t>City</w:t>
      </w:r>
      <w:r>
        <w:rPr>
          <w:spacing w:val="-8"/>
        </w:rPr>
        <w:t> </w:t>
      </w:r>
      <w:r>
        <w:rPr/>
        <w:t>of Richland</w:t>
      </w:r>
      <w:r>
        <w:rPr>
          <w:spacing w:val="-10"/>
        </w:rPr>
        <w:t> </w:t>
      </w:r>
      <w:r>
        <w:rPr/>
        <w:t>to</w:t>
      </w:r>
      <w:r>
        <w:rPr>
          <w:spacing w:val="-11"/>
        </w:rPr>
        <w:t> </w:t>
      </w:r>
      <w:r>
        <w:rPr/>
        <w:t>determine</w:t>
      </w:r>
      <w:r>
        <w:rPr>
          <w:spacing w:val="-9"/>
        </w:rPr>
        <w:t> </w:t>
      </w:r>
      <w:r>
        <w:rPr/>
        <w:t>the</w:t>
      </w:r>
      <w:r>
        <w:rPr>
          <w:spacing w:val="-12"/>
        </w:rPr>
        <w:t> </w:t>
      </w:r>
      <w:r>
        <w:rPr/>
        <w:t>impacts</w:t>
      </w:r>
      <w:r>
        <w:rPr>
          <w:spacing w:val="-8"/>
        </w:rPr>
        <w:t> </w:t>
      </w:r>
      <w:r>
        <w:rPr/>
        <w:t>of</w:t>
      </w:r>
      <w:r>
        <w:rPr>
          <w:spacing w:val="-9"/>
        </w:rPr>
        <w:t> </w:t>
      </w:r>
      <w:r>
        <w:rPr/>
        <w:t>proposed</w:t>
      </w:r>
      <w:r>
        <w:rPr>
          <w:spacing w:val="-13"/>
        </w:rPr>
        <w:t> </w:t>
      </w:r>
      <w:r>
        <w:rPr/>
        <w:t>development.</w:t>
      </w:r>
      <w:r>
        <w:rPr>
          <w:spacing w:val="-11"/>
        </w:rPr>
        <w:t> </w:t>
      </w:r>
      <w:r>
        <w:rPr/>
        <w:t>Other</w:t>
      </w:r>
      <w:r>
        <w:rPr>
          <w:spacing w:val="-12"/>
        </w:rPr>
        <w:t> </w:t>
      </w:r>
      <w:r>
        <w:rPr/>
        <w:t>studies</w:t>
      </w:r>
      <w:r>
        <w:rPr>
          <w:spacing w:val="-10"/>
        </w:rPr>
        <w:t> </w:t>
      </w:r>
      <w:r>
        <w:rPr/>
        <w:t>have</w:t>
      </w:r>
      <w:r>
        <w:rPr>
          <w:spacing w:val="-10"/>
        </w:rPr>
        <w:t> </w:t>
      </w:r>
      <w:r>
        <w:rPr/>
        <w:t>been</w:t>
      </w:r>
      <w:r>
        <w:rPr>
          <w:spacing w:val="-10"/>
        </w:rPr>
        <w:t> </w:t>
      </w:r>
      <w:r>
        <w:rPr/>
        <w:t>commissioned by the City to evaluate corridors for which short and long-range improvements were necessary in order to address congestion caused by growth in the region. City staff’s knowledge of the transportation system has also contributed to identifying where problems are, especially at existing stop-controlled</w:t>
      </w:r>
      <w:r>
        <w:rPr>
          <w:spacing w:val="-5"/>
        </w:rPr>
        <w:t> </w:t>
      </w:r>
      <w:r>
        <w:rPr/>
        <w:t>intersections.</w:t>
      </w:r>
    </w:p>
    <w:p>
      <w:pPr>
        <w:pStyle w:val="BodyText"/>
        <w:spacing w:before="120"/>
        <w:ind w:left="139" w:right="334"/>
        <w:jc w:val="both"/>
      </w:pPr>
      <w:r>
        <w:rPr/>
        <w:t>Traffic volumes collected by the Benton Franklin Council of Governments in 2016 were reviewed as well and examined at a planning level for both roadway segments and intersection levels to identify other potential areas of concern that may not meet City LOS standards. The resulting roadway network PM peak hour existing volume to capacity ratios are shown in Figure T-9. Intersection entering volumes were also examined and evaluated for two conditions. First, whether stop control is adequate when comparing major street and minor street traffic volumes. Second, for signalized intersections, whether additional turn lanes are warranted based on volume to capacity ratios. Because of these studies, several roadway network improvements have been identified and are shown in Figure T-10.</w:t>
      </w:r>
    </w:p>
    <w:p>
      <w:pPr>
        <w:pStyle w:val="BodyText"/>
        <w:spacing w:before="119"/>
        <w:ind w:left="140" w:right="331" w:hanging="2"/>
        <w:jc w:val="both"/>
      </w:pPr>
      <w:r>
        <w:rPr/>
        <w:t>As shown in Figure T-10, new traffic signals, and associated roadway improvements as applicable, are proposed at six existing un-signalized intersections. Improvements to existing signalized intersections are proposed, as determined through various studies to increase capacity at six locations as well. The most significant areas of concern are in the Queensgate Corridor from just north of I-182 south to Keene Road, and George Washington Way north of I-182.</w:t>
      </w:r>
    </w:p>
    <w:p>
      <w:pPr>
        <w:spacing w:after="0"/>
        <w:jc w:val="both"/>
        <w:sectPr>
          <w:pgSz w:w="12240" w:h="15840"/>
          <w:pgMar w:header="0" w:footer="1132" w:top="1360" w:bottom="1320" w:left="1300" w:right="1100"/>
        </w:sectPr>
      </w:pPr>
    </w:p>
    <w:p>
      <w:pPr>
        <w:spacing w:before="79"/>
        <w:ind w:left="139" w:right="445" w:firstLine="0"/>
        <w:jc w:val="left"/>
        <w:rPr>
          <w:rFonts w:ascii="Arial"/>
          <w:b/>
          <w:sz w:val="20"/>
        </w:rPr>
      </w:pPr>
      <w:r>
        <w:rPr>
          <w:rFonts w:ascii="Arial"/>
          <w:b/>
          <w:sz w:val="20"/>
        </w:rPr>
        <w:t>Table T-3: City of Richland 2017 - 2022 Transportation Improvement Program as amended by City of Richland 2022-2028 Transportation Improvement Program</w:t>
      </w:r>
    </w:p>
    <w:p>
      <w:pPr>
        <w:pStyle w:val="BodyText"/>
        <w:spacing w:before="6" w:after="1"/>
        <w:rPr>
          <w:rFonts w:ascii="Arial"/>
          <w:b/>
          <w:sz w:val="10"/>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51"/>
        <w:gridCol w:w="4589"/>
        <w:gridCol w:w="1711"/>
      </w:tblGrid>
      <w:tr>
        <w:trPr>
          <w:trHeight w:val="688" w:hRule="atLeast"/>
        </w:trPr>
        <w:tc>
          <w:tcPr>
            <w:tcW w:w="3151" w:type="dxa"/>
            <w:shd w:val="clear" w:color="auto" w:fill="B8CCE3"/>
          </w:tcPr>
          <w:p>
            <w:pPr>
              <w:pStyle w:val="TableParagraph"/>
              <w:spacing w:before="8"/>
              <w:ind w:left="0"/>
              <w:rPr>
                <w:rFonts w:ascii="Arial"/>
                <w:b/>
                <w:sz w:val="22"/>
              </w:rPr>
            </w:pPr>
          </w:p>
          <w:p>
            <w:pPr>
              <w:pStyle w:val="TableParagraph"/>
              <w:spacing w:before="0"/>
              <w:rPr>
                <w:b/>
                <w:sz w:val="22"/>
              </w:rPr>
            </w:pPr>
            <w:r>
              <w:rPr>
                <w:b/>
                <w:sz w:val="22"/>
              </w:rPr>
              <w:t>Project Title</w:t>
            </w:r>
          </w:p>
        </w:tc>
        <w:tc>
          <w:tcPr>
            <w:tcW w:w="4589" w:type="dxa"/>
            <w:shd w:val="clear" w:color="auto" w:fill="B8CCE3"/>
          </w:tcPr>
          <w:p>
            <w:pPr>
              <w:pStyle w:val="TableParagraph"/>
              <w:spacing w:before="8"/>
              <w:ind w:left="0"/>
              <w:rPr>
                <w:rFonts w:ascii="Arial"/>
                <w:b/>
                <w:sz w:val="22"/>
              </w:rPr>
            </w:pPr>
          </w:p>
          <w:p>
            <w:pPr>
              <w:pStyle w:val="TableParagraph"/>
              <w:spacing w:before="0"/>
              <w:rPr>
                <w:b/>
                <w:sz w:val="22"/>
              </w:rPr>
            </w:pPr>
            <w:r>
              <w:rPr>
                <w:b/>
                <w:sz w:val="22"/>
              </w:rPr>
              <w:t>Project Description</w:t>
            </w:r>
          </w:p>
        </w:tc>
        <w:tc>
          <w:tcPr>
            <w:tcW w:w="1711" w:type="dxa"/>
            <w:shd w:val="clear" w:color="auto" w:fill="B8CCE3"/>
          </w:tcPr>
          <w:p>
            <w:pPr>
              <w:pStyle w:val="TableParagraph"/>
              <w:spacing w:before="8"/>
              <w:ind w:left="0"/>
              <w:rPr>
                <w:rFonts w:ascii="Arial"/>
                <w:b/>
                <w:sz w:val="22"/>
              </w:rPr>
            </w:pPr>
          </w:p>
          <w:p>
            <w:pPr>
              <w:pStyle w:val="TableParagraph"/>
              <w:spacing w:before="0"/>
              <w:ind w:left="203"/>
              <w:rPr>
                <w:b/>
                <w:sz w:val="22"/>
              </w:rPr>
            </w:pPr>
            <w:r>
              <w:rPr>
                <w:b/>
                <w:sz w:val="22"/>
              </w:rPr>
              <w:t>Total Cost ($)</w:t>
            </w:r>
          </w:p>
        </w:tc>
      </w:tr>
      <w:tr>
        <w:trPr>
          <w:trHeight w:val="467" w:hRule="atLeast"/>
        </w:trPr>
        <w:tc>
          <w:tcPr>
            <w:tcW w:w="3151" w:type="dxa"/>
          </w:tcPr>
          <w:p>
            <w:pPr>
              <w:pStyle w:val="TableParagraph"/>
              <w:spacing w:line="237" w:lineRule="exact" w:before="210"/>
              <w:rPr>
                <w:sz w:val="22"/>
              </w:rPr>
            </w:pPr>
            <w:r>
              <w:rPr>
                <w:sz w:val="22"/>
              </w:rPr>
              <w:t>Duportail Bridge</w:t>
            </w:r>
          </w:p>
        </w:tc>
        <w:tc>
          <w:tcPr>
            <w:tcW w:w="4589" w:type="dxa"/>
          </w:tcPr>
          <w:p>
            <w:pPr>
              <w:pStyle w:val="TableParagraph"/>
              <w:spacing w:line="237" w:lineRule="exact" w:before="210"/>
              <w:rPr>
                <w:sz w:val="22"/>
              </w:rPr>
            </w:pPr>
            <w:r>
              <w:rPr>
                <w:sz w:val="22"/>
              </w:rPr>
              <w:t>New bridge and roadway over Yakima River</w:t>
            </w:r>
          </w:p>
        </w:tc>
        <w:tc>
          <w:tcPr>
            <w:tcW w:w="1711" w:type="dxa"/>
          </w:tcPr>
          <w:p>
            <w:pPr>
              <w:pStyle w:val="TableParagraph"/>
              <w:spacing w:line="237" w:lineRule="exact" w:before="210"/>
              <w:rPr>
                <w:sz w:val="22"/>
              </w:rPr>
            </w:pPr>
            <w:r>
              <w:rPr>
                <w:sz w:val="22"/>
              </w:rPr>
              <w:t>35,000,000.00</w:t>
            </w:r>
          </w:p>
        </w:tc>
      </w:tr>
      <w:tr>
        <w:trPr>
          <w:trHeight w:val="585" w:hRule="atLeast"/>
        </w:trPr>
        <w:tc>
          <w:tcPr>
            <w:tcW w:w="3151" w:type="dxa"/>
          </w:tcPr>
          <w:p>
            <w:pPr>
              <w:pStyle w:val="TableParagraph"/>
              <w:spacing w:before="6"/>
              <w:ind w:left="0"/>
              <w:rPr>
                <w:rFonts w:ascii="Arial"/>
                <w:b/>
                <w:sz w:val="28"/>
              </w:rPr>
            </w:pPr>
          </w:p>
          <w:p>
            <w:pPr>
              <w:pStyle w:val="TableParagraph"/>
              <w:spacing w:line="237" w:lineRule="exact" w:before="0"/>
              <w:rPr>
                <w:sz w:val="22"/>
              </w:rPr>
            </w:pPr>
            <w:r>
              <w:rPr>
                <w:sz w:val="22"/>
              </w:rPr>
              <w:t>Center Parkway Extension</w:t>
            </w:r>
          </w:p>
        </w:tc>
        <w:tc>
          <w:tcPr>
            <w:tcW w:w="4589" w:type="dxa"/>
          </w:tcPr>
          <w:p>
            <w:pPr>
              <w:pStyle w:val="TableParagraph"/>
              <w:spacing w:line="260" w:lineRule="atLeast" w:before="67"/>
              <w:ind w:right="174"/>
              <w:rPr>
                <w:sz w:val="22"/>
              </w:rPr>
            </w:pPr>
            <w:r>
              <w:rPr>
                <w:sz w:val="22"/>
              </w:rPr>
              <w:t>Extend Center Parkway from Tapteal Drive to Gage Boulevard</w:t>
            </w:r>
          </w:p>
        </w:tc>
        <w:tc>
          <w:tcPr>
            <w:tcW w:w="1711" w:type="dxa"/>
          </w:tcPr>
          <w:p>
            <w:pPr>
              <w:pStyle w:val="TableParagraph"/>
              <w:spacing w:before="6"/>
              <w:ind w:left="0"/>
              <w:rPr>
                <w:rFonts w:ascii="Arial"/>
                <w:b/>
                <w:sz w:val="28"/>
              </w:rPr>
            </w:pPr>
          </w:p>
          <w:p>
            <w:pPr>
              <w:pStyle w:val="TableParagraph"/>
              <w:spacing w:line="237" w:lineRule="exact" w:before="0"/>
              <w:rPr>
                <w:sz w:val="22"/>
              </w:rPr>
            </w:pPr>
            <w:r>
              <w:rPr>
                <w:sz w:val="22"/>
              </w:rPr>
              <w:t>1,334,120.00</w:t>
            </w:r>
          </w:p>
        </w:tc>
      </w:tr>
      <w:tr>
        <w:trPr>
          <w:trHeight w:val="583" w:hRule="atLeast"/>
        </w:trPr>
        <w:tc>
          <w:tcPr>
            <w:tcW w:w="3151" w:type="dxa"/>
          </w:tcPr>
          <w:p>
            <w:pPr>
              <w:pStyle w:val="TableParagraph"/>
              <w:spacing w:line="256" w:lineRule="exact" w:before="71"/>
              <w:ind w:right="139"/>
              <w:rPr>
                <w:sz w:val="22"/>
              </w:rPr>
            </w:pPr>
            <w:r>
              <w:rPr>
                <w:sz w:val="22"/>
              </w:rPr>
              <w:t>I-182/Queensgate Drive Ramp Terminal Improvements</w:t>
            </w:r>
          </w:p>
        </w:tc>
        <w:tc>
          <w:tcPr>
            <w:tcW w:w="4589" w:type="dxa"/>
          </w:tcPr>
          <w:p>
            <w:pPr>
              <w:pStyle w:val="TableParagraph"/>
              <w:spacing w:line="256" w:lineRule="exact" w:before="71"/>
              <w:ind w:right="722"/>
              <w:rPr>
                <w:sz w:val="22"/>
              </w:rPr>
            </w:pPr>
            <w:r>
              <w:rPr>
                <w:sz w:val="22"/>
              </w:rPr>
              <w:t>Construct roundabout at EB I-182 ramp terminals</w:t>
            </w:r>
          </w:p>
        </w:tc>
        <w:tc>
          <w:tcPr>
            <w:tcW w:w="1711" w:type="dxa"/>
          </w:tcPr>
          <w:p>
            <w:pPr>
              <w:pStyle w:val="TableParagraph"/>
              <w:spacing w:before="2"/>
              <w:ind w:left="0"/>
              <w:rPr>
                <w:rFonts w:ascii="Arial"/>
                <w:b/>
                <w:sz w:val="28"/>
              </w:rPr>
            </w:pPr>
          </w:p>
          <w:p>
            <w:pPr>
              <w:pStyle w:val="TableParagraph"/>
              <w:spacing w:line="239" w:lineRule="exact" w:before="0"/>
              <w:rPr>
                <w:sz w:val="22"/>
              </w:rPr>
            </w:pPr>
            <w:r>
              <w:rPr>
                <w:sz w:val="22"/>
              </w:rPr>
              <w:t>2,715,000.00</w:t>
            </w:r>
          </w:p>
        </w:tc>
      </w:tr>
      <w:tr>
        <w:trPr>
          <w:trHeight w:val="870" w:hRule="atLeast"/>
        </w:trPr>
        <w:tc>
          <w:tcPr>
            <w:tcW w:w="3151" w:type="dxa"/>
          </w:tcPr>
          <w:p>
            <w:pPr>
              <w:pStyle w:val="TableParagraph"/>
              <w:spacing w:before="2"/>
              <w:ind w:left="0"/>
              <w:rPr>
                <w:rFonts w:ascii="Arial"/>
                <w:b/>
                <w:sz w:val="31"/>
              </w:rPr>
            </w:pPr>
          </w:p>
          <w:p>
            <w:pPr>
              <w:pStyle w:val="TableParagraph"/>
              <w:spacing w:line="256" w:lineRule="exact" w:before="0"/>
              <w:ind w:right="353"/>
              <w:rPr>
                <w:sz w:val="22"/>
              </w:rPr>
            </w:pPr>
            <w:r>
              <w:rPr>
                <w:sz w:val="22"/>
              </w:rPr>
              <w:t>Queensgate Drive/Columbia Park Trail Improvements</w:t>
            </w:r>
          </w:p>
        </w:tc>
        <w:tc>
          <w:tcPr>
            <w:tcW w:w="4589" w:type="dxa"/>
          </w:tcPr>
          <w:p>
            <w:pPr>
              <w:pStyle w:val="TableParagraph"/>
              <w:spacing w:before="95"/>
              <w:rPr>
                <w:sz w:val="22"/>
              </w:rPr>
            </w:pPr>
            <w:r>
              <w:rPr>
                <w:sz w:val="22"/>
              </w:rPr>
              <w:t>Add lanes to Queensgate Drive between Keene</w:t>
            </w:r>
          </w:p>
          <w:p>
            <w:pPr>
              <w:pStyle w:val="TableParagraph"/>
              <w:spacing w:line="256" w:lineRule="exact" w:before="6"/>
              <w:rPr>
                <w:sz w:val="22"/>
              </w:rPr>
            </w:pPr>
            <w:r>
              <w:rPr>
                <w:sz w:val="22"/>
              </w:rPr>
              <w:t>Road and I-182. Construct roundabout at Queensgate/Columbia Park Trail</w:t>
            </w:r>
          </w:p>
        </w:tc>
        <w:tc>
          <w:tcPr>
            <w:tcW w:w="1711" w:type="dxa"/>
          </w:tcPr>
          <w:p>
            <w:pPr>
              <w:pStyle w:val="TableParagraph"/>
              <w:spacing w:before="0"/>
              <w:ind w:left="0"/>
              <w:rPr>
                <w:rFonts w:ascii="Arial"/>
                <w:b/>
                <w:sz w:val="26"/>
              </w:rPr>
            </w:pPr>
          </w:p>
          <w:p>
            <w:pPr>
              <w:pStyle w:val="TableParagraph"/>
              <w:spacing w:before="2"/>
              <w:ind w:left="0"/>
              <w:rPr>
                <w:rFonts w:ascii="Arial"/>
                <w:b/>
                <w:sz w:val="27"/>
              </w:rPr>
            </w:pPr>
          </w:p>
          <w:p>
            <w:pPr>
              <w:pStyle w:val="TableParagraph"/>
              <w:spacing w:line="239" w:lineRule="exact" w:before="0"/>
              <w:rPr>
                <w:sz w:val="22"/>
              </w:rPr>
            </w:pPr>
            <w:r>
              <w:rPr>
                <w:sz w:val="22"/>
              </w:rPr>
              <w:t>1,700,000.00</w:t>
            </w:r>
          </w:p>
        </w:tc>
      </w:tr>
      <w:tr>
        <w:trPr>
          <w:trHeight w:val="582" w:hRule="atLeast"/>
        </w:trPr>
        <w:tc>
          <w:tcPr>
            <w:tcW w:w="3151" w:type="dxa"/>
          </w:tcPr>
          <w:p>
            <w:pPr>
              <w:pStyle w:val="TableParagraph"/>
              <w:spacing w:line="256" w:lineRule="exact" w:before="73"/>
              <w:ind w:right="1512"/>
              <w:rPr>
                <w:sz w:val="22"/>
              </w:rPr>
            </w:pPr>
            <w:r>
              <w:rPr>
                <w:sz w:val="22"/>
              </w:rPr>
              <w:t>Swift Boulevard Improvements</w:t>
            </w:r>
          </w:p>
        </w:tc>
        <w:tc>
          <w:tcPr>
            <w:tcW w:w="4589" w:type="dxa"/>
          </w:tcPr>
          <w:p>
            <w:pPr>
              <w:pStyle w:val="TableParagraph"/>
              <w:spacing w:line="256" w:lineRule="exact" w:before="73"/>
              <w:ind w:right="520"/>
              <w:rPr>
                <w:sz w:val="22"/>
              </w:rPr>
            </w:pPr>
            <w:r>
              <w:rPr>
                <w:sz w:val="22"/>
              </w:rPr>
              <w:t>Pavement rehab, widen sidewalks, reduce lanes, streetscaping</w:t>
            </w:r>
          </w:p>
        </w:tc>
        <w:tc>
          <w:tcPr>
            <w:tcW w:w="1711" w:type="dxa"/>
          </w:tcPr>
          <w:p>
            <w:pPr>
              <w:pStyle w:val="TableParagraph"/>
              <w:spacing w:before="3"/>
              <w:ind w:left="0"/>
              <w:rPr>
                <w:rFonts w:ascii="Arial"/>
                <w:b/>
                <w:sz w:val="28"/>
              </w:rPr>
            </w:pPr>
          </w:p>
          <w:p>
            <w:pPr>
              <w:pStyle w:val="TableParagraph"/>
              <w:spacing w:line="237" w:lineRule="exact" w:before="1"/>
              <w:rPr>
                <w:sz w:val="22"/>
              </w:rPr>
            </w:pPr>
            <w:r>
              <w:rPr>
                <w:sz w:val="22"/>
              </w:rPr>
              <w:t>1,365,000.00</w:t>
            </w:r>
          </w:p>
        </w:tc>
      </w:tr>
      <w:tr>
        <w:trPr>
          <w:trHeight w:val="583" w:hRule="atLeast"/>
        </w:trPr>
        <w:tc>
          <w:tcPr>
            <w:tcW w:w="3151" w:type="dxa"/>
          </w:tcPr>
          <w:p>
            <w:pPr>
              <w:pStyle w:val="TableParagraph"/>
              <w:spacing w:line="260" w:lineRule="atLeast" w:before="64"/>
              <w:ind w:right="387"/>
              <w:rPr>
                <w:sz w:val="22"/>
              </w:rPr>
            </w:pPr>
            <w:r>
              <w:rPr>
                <w:sz w:val="22"/>
              </w:rPr>
              <w:t>Vantage Highway Pathway - Phase 2</w:t>
            </w:r>
          </w:p>
        </w:tc>
        <w:tc>
          <w:tcPr>
            <w:tcW w:w="4589" w:type="dxa"/>
          </w:tcPr>
          <w:p>
            <w:pPr>
              <w:pStyle w:val="TableParagraph"/>
              <w:spacing w:line="260" w:lineRule="atLeast" w:before="64"/>
              <w:ind w:right="837"/>
              <w:rPr>
                <w:sz w:val="22"/>
              </w:rPr>
            </w:pPr>
            <w:r>
              <w:rPr>
                <w:sz w:val="22"/>
              </w:rPr>
              <w:t>Separated multi-use pathway between Robertson Drive and Stevens Drive</w:t>
            </w:r>
          </w:p>
        </w:tc>
        <w:tc>
          <w:tcPr>
            <w:tcW w:w="1711" w:type="dxa"/>
          </w:tcPr>
          <w:p>
            <w:pPr>
              <w:pStyle w:val="TableParagraph"/>
              <w:spacing w:before="4"/>
              <w:ind w:left="0"/>
              <w:rPr>
                <w:rFonts w:ascii="Arial"/>
                <w:b/>
                <w:sz w:val="28"/>
              </w:rPr>
            </w:pPr>
          </w:p>
          <w:p>
            <w:pPr>
              <w:pStyle w:val="TableParagraph"/>
              <w:spacing w:line="237" w:lineRule="exact" w:before="0"/>
              <w:rPr>
                <w:sz w:val="22"/>
              </w:rPr>
            </w:pPr>
            <w:r>
              <w:rPr>
                <w:sz w:val="22"/>
              </w:rPr>
              <w:t>670,000.00</w:t>
            </w:r>
          </w:p>
        </w:tc>
      </w:tr>
      <w:tr>
        <w:trPr>
          <w:trHeight w:val="584" w:hRule="atLeast"/>
        </w:trPr>
        <w:tc>
          <w:tcPr>
            <w:tcW w:w="3151" w:type="dxa"/>
          </w:tcPr>
          <w:p>
            <w:pPr>
              <w:pStyle w:val="TableParagraph"/>
              <w:spacing w:line="260" w:lineRule="atLeast" w:before="66"/>
              <w:ind w:right="439"/>
              <w:rPr>
                <w:sz w:val="22"/>
              </w:rPr>
            </w:pPr>
            <w:r>
              <w:rPr>
                <w:sz w:val="22"/>
              </w:rPr>
              <w:t>S. George Washington Way Intersection Improvements</w:t>
            </w:r>
          </w:p>
        </w:tc>
        <w:tc>
          <w:tcPr>
            <w:tcW w:w="4589" w:type="dxa"/>
          </w:tcPr>
          <w:p>
            <w:pPr>
              <w:pStyle w:val="TableParagraph"/>
              <w:spacing w:line="260" w:lineRule="atLeast" w:before="66"/>
              <w:ind w:right="239"/>
              <w:rPr>
                <w:sz w:val="22"/>
              </w:rPr>
            </w:pPr>
            <w:r>
              <w:rPr>
                <w:sz w:val="22"/>
              </w:rPr>
              <w:t>Reconfigure GWW/Col. Point Drive intersection and modify I-182/SR 240 ramps</w:t>
            </w:r>
          </w:p>
        </w:tc>
        <w:tc>
          <w:tcPr>
            <w:tcW w:w="1711" w:type="dxa"/>
          </w:tcPr>
          <w:p>
            <w:pPr>
              <w:pStyle w:val="TableParagraph"/>
              <w:spacing w:before="5"/>
              <w:ind w:left="0"/>
              <w:rPr>
                <w:rFonts w:ascii="Arial"/>
                <w:b/>
                <w:sz w:val="28"/>
              </w:rPr>
            </w:pPr>
          </w:p>
          <w:p>
            <w:pPr>
              <w:pStyle w:val="TableParagraph"/>
              <w:spacing w:line="237" w:lineRule="exact" w:before="0"/>
              <w:rPr>
                <w:sz w:val="22"/>
              </w:rPr>
            </w:pPr>
            <w:r>
              <w:rPr>
                <w:sz w:val="22"/>
              </w:rPr>
              <w:t>9,890,000.00</w:t>
            </w:r>
          </w:p>
        </w:tc>
      </w:tr>
      <w:tr>
        <w:trPr>
          <w:trHeight w:val="883" w:hRule="atLeast"/>
        </w:trPr>
        <w:tc>
          <w:tcPr>
            <w:tcW w:w="3151" w:type="dxa"/>
          </w:tcPr>
          <w:p>
            <w:pPr>
              <w:pStyle w:val="TableParagraph"/>
              <w:spacing w:before="0"/>
              <w:ind w:left="0"/>
              <w:rPr>
                <w:rFonts w:ascii="Arial"/>
                <w:b/>
                <w:sz w:val="26"/>
              </w:rPr>
            </w:pPr>
          </w:p>
          <w:p>
            <w:pPr>
              <w:pStyle w:val="TableParagraph"/>
              <w:spacing w:before="5"/>
              <w:ind w:left="0"/>
              <w:rPr>
                <w:rFonts w:ascii="Arial"/>
                <w:b/>
                <w:sz w:val="28"/>
              </w:rPr>
            </w:pPr>
          </w:p>
          <w:p>
            <w:pPr>
              <w:pStyle w:val="TableParagraph"/>
              <w:spacing w:line="237" w:lineRule="exact" w:before="0"/>
              <w:rPr>
                <w:sz w:val="22"/>
              </w:rPr>
            </w:pPr>
            <w:r>
              <w:rPr>
                <w:sz w:val="22"/>
              </w:rPr>
              <w:t>Columbia Park Trail - East</w:t>
            </w:r>
          </w:p>
        </w:tc>
        <w:tc>
          <w:tcPr>
            <w:tcW w:w="4589" w:type="dxa"/>
          </w:tcPr>
          <w:p>
            <w:pPr>
              <w:pStyle w:val="TableParagraph"/>
              <w:spacing w:before="110"/>
              <w:ind w:right="190"/>
              <w:rPr>
                <w:sz w:val="22"/>
              </w:rPr>
            </w:pPr>
            <w:r>
              <w:rPr>
                <w:sz w:val="22"/>
              </w:rPr>
              <w:t>Reconstruct roadway to provide 3 lanes, curb and gutter, sidewalks, bike lanes, and</w:t>
            </w:r>
          </w:p>
          <w:p>
            <w:pPr>
              <w:pStyle w:val="TableParagraph"/>
              <w:spacing w:line="237" w:lineRule="exact" w:before="0"/>
              <w:rPr>
                <w:sz w:val="22"/>
              </w:rPr>
            </w:pPr>
            <w:r>
              <w:rPr>
                <w:sz w:val="22"/>
              </w:rPr>
              <w:t>streetscaping</w:t>
            </w:r>
          </w:p>
        </w:tc>
        <w:tc>
          <w:tcPr>
            <w:tcW w:w="1711" w:type="dxa"/>
          </w:tcPr>
          <w:p>
            <w:pPr>
              <w:pStyle w:val="TableParagraph"/>
              <w:spacing w:before="0"/>
              <w:ind w:left="0"/>
              <w:rPr>
                <w:rFonts w:ascii="Arial"/>
                <w:b/>
                <w:sz w:val="26"/>
              </w:rPr>
            </w:pPr>
          </w:p>
          <w:p>
            <w:pPr>
              <w:pStyle w:val="TableParagraph"/>
              <w:spacing w:before="5"/>
              <w:ind w:left="0"/>
              <w:rPr>
                <w:rFonts w:ascii="Arial"/>
                <w:b/>
                <w:sz w:val="28"/>
              </w:rPr>
            </w:pPr>
          </w:p>
          <w:p>
            <w:pPr>
              <w:pStyle w:val="TableParagraph"/>
              <w:spacing w:line="237" w:lineRule="exact" w:before="0"/>
              <w:rPr>
                <w:sz w:val="22"/>
              </w:rPr>
            </w:pPr>
            <w:r>
              <w:rPr>
                <w:sz w:val="22"/>
              </w:rPr>
              <w:t>1,300,000.00</w:t>
            </w:r>
          </w:p>
        </w:tc>
      </w:tr>
      <w:tr>
        <w:trPr>
          <w:trHeight w:val="870" w:hRule="atLeast"/>
        </w:trPr>
        <w:tc>
          <w:tcPr>
            <w:tcW w:w="3151" w:type="dxa"/>
          </w:tcPr>
          <w:p>
            <w:pPr>
              <w:pStyle w:val="TableParagraph"/>
              <w:spacing w:before="2"/>
              <w:ind w:left="0"/>
              <w:rPr>
                <w:rFonts w:ascii="Arial"/>
                <w:b/>
                <w:sz w:val="31"/>
              </w:rPr>
            </w:pPr>
          </w:p>
          <w:p>
            <w:pPr>
              <w:pStyle w:val="TableParagraph"/>
              <w:spacing w:line="256" w:lineRule="exact" w:before="0"/>
              <w:ind w:right="308"/>
              <w:rPr>
                <w:sz w:val="22"/>
              </w:rPr>
            </w:pPr>
            <w:r>
              <w:rPr>
                <w:sz w:val="22"/>
              </w:rPr>
              <w:t>Steptoe Street/Tapteal Drive Intersection Improvements</w:t>
            </w:r>
          </w:p>
        </w:tc>
        <w:tc>
          <w:tcPr>
            <w:tcW w:w="4589" w:type="dxa"/>
          </w:tcPr>
          <w:p>
            <w:pPr>
              <w:pStyle w:val="TableParagraph"/>
              <w:spacing w:line="256" w:lineRule="exact" w:before="102"/>
              <w:ind w:right="533"/>
              <w:rPr>
                <w:sz w:val="22"/>
              </w:rPr>
            </w:pPr>
            <w:r>
              <w:rPr>
                <w:sz w:val="22"/>
              </w:rPr>
              <w:t>Realign Tapteal Drive to construct a new intersection with Steptoe Street including modifications to the at-grade rail crossing</w:t>
            </w:r>
          </w:p>
        </w:tc>
        <w:tc>
          <w:tcPr>
            <w:tcW w:w="1711" w:type="dxa"/>
          </w:tcPr>
          <w:p>
            <w:pPr>
              <w:pStyle w:val="TableParagraph"/>
              <w:spacing w:before="0"/>
              <w:ind w:left="0"/>
              <w:rPr>
                <w:rFonts w:ascii="Arial"/>
                <w:b/>
                <w:sz w:val="26"/>
              </w:rPr>
            </w:pPr>
          </w:p>
          <w:p>
            <w:pPr>
              <w:pStyle w:val="TableParagraph"/>
              <w:spacing w:before="2"/>
              <w:ind w:left="0"/>
              <w:rPr>
                <w:rFonts w:ascii="Arial"/>
                <w:b/>
                <w:sz w:val="27"/>
              </w:rPr>
            </w:pPr>
          </w:p>
          <w:p>
            <w:pPr>
              <w:pStyle w:val="TableParagraph"/>
              <w:spacing w:line="239" w:lineRule="exact" w:before="0"/>
              <w:rPr>
                <w:sz w:val="22"/>
              </w:rPr>
            </w:pPr>
            <w:r>
              <w:rPr>
                <w:sz w:val="22"/>
              </w:rPr>
              <w:t>1,380,000.00</w:t>
            </w:r>
          </w:p>
        </w:tc>
      </w:tr>
      <w:tr>
        <w:trPr>
          <w:trHeight w:val="585" w:hRule="atLeast"/>
        </w:trPr>
        <w:tc>
          <w:tcPr>
            <w:tcW w:w="3151" w:type="dxa"/>
          </w:tcPr>
          <w:p>
            <w:pPr>
              <w:pStyle w:val="TableParagraph"/>
              <w:spacing w:before="3"/>
              <w:ind w:left="0"/>
              <w:rPr>
                <w:rFonts w:ascii="Arial"/>
                <w:b/>
                <w:sz w:val="28"/>
              </w:rPr>
            </w:pPr>
          </w:p>
          <w:p>
            <w:pPr>
              <w:pStyle w:val="TableParagraph"/>
              <w:spacing w:line="239" w:lineRule="exact" w:before="1"/>
              <w:rPr>
                <w:sz w:val="22"/>
              </w:rPr>
            </w:pPr>
            <w:r>
              <w:rPr>
                <w:sz w:val="22"/>
              </w:rPr>
              <w:t>Rachel Road Improvements</w:t>
            </w:r>
          </w:p>
        </w:tc>
        <w:tc>
          <w:tcPr>
            <w:tcW w:w="4589" w:type="dxa"/>
          </w:tcPr>
          <w:p>
            <w:pPr>
              <w:pStyle w:val="TableParagraph"/>
              <w:spacing w:line="256" w:lineRule="exact" w:before="73"/>
              <w:ind w:right="168"/>
              <w:rPr>
                <w:sz w:val="22"/>
              </w:rPr>
            </w:pPr>
            <w:r>
              <w:rPr>
                <w:sz w:val="22"/>
              </w:rPr>
              <w:t>Construct a collector street between Bellerive Drive and Leslie Road</w:t>
            </w:r>
          </w:p>
        </w:tc>
        <w:tc>
          <w:tcPr>
            <w:tcW w:w="1711" w:type="dxa"/>
          </w:tcPr>
          <w:p>
            <w:pPr>
              <w:pStyle w:val="TableParagraph"/>
              <w:spacing w:before="3"/>
              <w:ind w:left="0"/>
              <w:rPr>
                <w:rFonts w:ascii="Arial"/>
                <w:b/>
                <w:sz w:val="28"/>
              </w:rPr>
            </w:pPr>
          </w:p>
          <w:p>
            <w:pPr>
              <w:pStyle w:val="TableParagraph"/>
              <w:spacing w:line="239" w:lineRule="exact" w:before="1"/>
              <w:rPr>
                <w:sz w:val="22"/>
              </w:rPr>
            </w:pPr>
            <w:r>
              <w:rPr>
                <w:sz w:val="22"/>
              </w:rPr>
              <w:t>2,200,000.00</w:t>
            </w:r>
          </w:p>
        </w:tc>
      </w:tr>
      <w:tr>
        <w:trPr>
          <w:trHeight w:val="585" w:hRule="atLeast"/>
        </w:trPr>
        <w:tc>
          <w:tcPr>
            <w:tcW w:w="3151" w:type="dxa"/>
          </w:tcPr>
          <w:p>
            <w:pPr>
              <w:pStyle w:val="TableParagraph"/>
              <w:spacing w:before="3"/>
              <w:ind w:left="0"/>
              <w:rPr>
                <w:rFonts w:ascii="Arial"/>
                <w:b/>
                <w:sz w:val="28"/>
              </w:rPr>
            </w:pPr>
          </w:p>
          <w:p>
            <w:pPr>
              <w:pStyle w:val="TableParagraph"/>
              <w:spacing w:line="239" w:lineRule="exact" w:before="1"/>
              <w:rPr>
                <w:sz w:val="22"/>
              </w:rPr>
            </w:pPr>
            <w:r>
              <w:rPr>
                <w:sz w:val="22"/>
              </w:rPr>
              <w:t>Queensgate Drive Extension</w:t>
            </w:r>
          </w:p>
        </w:tc>
        <w:tc>
          <w:tcPr>
            <w:tcW w:w="4589" w:type="dxa"/>
          </w:tcPr>
          <w:p>
            <w:pPr>
              <w:pStyle w:val="TableParagraph"/>
              <w:spacing w:line="256" w:lineRule="exact" w:before="73"/>
              <w:ind w:right="120"/>
              <w:rPr>
                <w:sz w:val="22"/>
              </w:rPr>
            </w:pPr>
            <w:r>
              <w:rPr>
                <w:sz w:val="22"/>
              </w:rPr>
              <w:t>Construct a 3-lane roadway between Shockley Road and Keene Road</w:t>
            </w:r>
          </w:p>
        </w:tc>
        <w:tc>
          <w:tcPr>
            <w:tcW w:w="1711" w:type="dxa"/>
          </w:tcPr>
          <w:p>
            <w:pPr>
              <w:pStyle w:val="TableParagraph"/>
              <w:spacing w:before="3"/>
              <w:ind w:left="0"/>
              <w:rPr>
                <w:rFonts w:ascii="Arial"/>
                <w:b/>
                <w:sz w:val="28"/>
              </w:rPr>
            </w:pPr>
          </w:p>
          <w:p>
            <w:pPr>
              <w:pStyle w:val="TableParagraph"/>
              <w:spacing w:line="239" w:lineRule="exact" w:before="1"/>
              <w:rPr>
                <w:sz w:val="22"/>
              </w:rPr>
            </w:pPr>
            <w:r>
              <w:rPr>
                <w:sz w:val="22"/>
              </w:rPr>
              <w:t>1,100,000.00</w:t>
            </w:r>
          </w:p>
        </w:tc>
      </w:tr>
      <w:tr>
        <w:trPr>
          <w:trHeight w:val="868" w:hRule="atLeast"/>
        </w:trPr>
        <w:tc>
          <w:tcPr>
            <w:tcW w:w="3151" w:type="dxa"/>
          </w:tcPr>
          <w:p>
            <w:pPr>
              <w:pStyle w:val="TableParagraph"/>
              <w:spacing w:before="0"/>
              <w:ind w:left="0"/>
              <w:rPr>
                <w:rFonts w:ascii="Arial"/>
                <w:b/>
                <w:sz w:val="26"/>
              </w:rPr>
            </w:pPr>
          </w:p>
          <w:p>
            <w:pPr>
              <w:pStyle w:val="TableParagraph"/>
              <w:spacing w:before="2"/>
              <w:ind w:left="0"/>
              <w:rPr>
                <w:rFonts w:ascii="Arial"/>
                <w:b/>
                <w:sz w:val="27"/>
              </w:rPr>
            </w:pPr>
          </w:p>
          <w:p>
            <w:pPr>
              <w:pStyle w:val="TableParagraph"/>
              <w:spacing w:line="237" w:lineRule="exact" w:before="0"/>
              <w:rPr>
                <w:sz w:val="22"/>
              </w:rPr>
            </w:pPr>
            <w:r>
              <w:rPr>
                <w:sz w:val="22"/>
              </w:rPr>
              <w:t>Gage Boulevard Improvements</w:t>
            </w:r>
          </w:p>
        </w:tc>
        <w:tc>
          <w:tcPr>
            <w:tcW w:w="4589" w:type="dxa"/>
          </w:tcPr>
          <w:p>
            <w:pPr>
              <w:pStyle w:val="TableParagraph"/>
              <w:spacing w:before="95"/>
              <w:ind w:right="387"/>
              <w:rPr>
                <w:sz w:val="22"/>
              </w:rPr>
            </w:pPr>
            <w:r>
              <w:rPr>
                <w:sz w:val="22"/>
              </w:rPr>
              <w:t>Add bike lanes, shoulders, sidewalks, street lights, and storm drainage between Penny</w:t>
            </w:r>
          </w:p>
          <w:p>
            <w:pPr>
              <w:pStyle w:val="TableParagraph"/>
              <w:spacing w:line="237" w:lineRule="exact" w:before="0"/>
              <w:rPr>
                <w:sz w:val="22"/>
              </w:rPr>
            </w:pPr>
            <w:r>
              <w:rPr>
                <w:sz w:val="22"/>
              </w:rPr>
              <w:t>Royal and Morency</w:t>
            </w:r>
          </w:p>
        </w:tc>
        <w:tc>
          <w:tcPr>
            <w:tcW w:w="1711" w:type="dxa"/>
          </w:tcPr>
          <w:p>
            <w:pPr>
              <w:pStyle w:val="TableParagraph"/>
              <w:spacing w:before="0"/>
              <w:ind w:left="0"/>
              <w:rPr>
                <w:rFonts w:ascii="Arial"/>
                <w:b/>
                <w:sz w:val="26"/>
              </w:rPr>
            </w:pPr>
          </w:p>
          <w:p>
            <w:pPr>
              <w:pStyle w:val="TableParagraph"/>
              <w:spacing w:before="2"/>
              <w:ind w:left="0"/>
              <w:rPr>
                <w:rFonts w:ascii="Arial"/>
                <w:b/>
                <w:sz w:val="27"/>
              </w:rPr>
            </w:pPr>
          </w:p>
          <w:p>
            <w:pPr>
              <w:pStyle w:val="TableParagraph"/>
              <w:spacing w:line="237" w:lineRule="exact" w:before="0"/>
              <w:rPr>
                <w:sz w:val="22"/>
              </w:rPr>
            </w:pPr>
            <w:r>
              <w:rPr>
                <w:sz w:val="22"/>
              </w:rPr>
              <w:t>825,000.00</w:t>
            </w:r>
          </w:p>
        </w:tc>
      </w:tr>
      <w:tr>
        <w:trPr>
          <w:trHeight w:val="585" w:hRule="atLeast"/>
        </w:trPr>
        <w:tc>
          <w:tcPr>
            <w:tcW w:w="3151" w:type="dxa"/>
          </w:tcPr>
          <w:p>
            <w:pPr>
              <w:pStyle w:val="TableParagraph"/>
              <w:spacing w:before="6"/>
              <w:ind w:left="0"/>
              <w:rPr>
                <w:rFonts w:ascii="Arial"/>
                <w:b/>
                <w:sz w:val="28"/>
              </w:rPr>
            </w:pPr>
          </w:p>
          <w:p>
            <w:pPr>
              <w:pStyle w:val="TableParagraph"/>
              <w:spacing w:line="237" w:lineRule="exact" w:before="0"/>
              <w:rPr>
                <w:sz w:val="22"/>
              </w:rPr>
            </w:pPr>
            <w:r>
              <w:rPr>
                <w:sz w:val="22"/>
              </w:rPr>
              <w:t>Bellerive Drive Extension</w:t>
            </w:r>
          </w:p>
        </w:tc>
        <w:tc>
          <w:tcPr>
            <w:tcW w:w="4589" w:type="dxa"/>
          </w:tcPr>
          <w:p>
            <w:pPr>
              <w:pStyle w:val="TableParagraph"/>
              <w:spacing w:line="260" w:lineRule="atLeast" w:before="67"/>
              <w:ind w:right="175"/>
              <w:rPr>
                <w:sz w:val="22"/>
              </w:rPr>
            </w:pPr>
            <w:r>
              <w:rPr>
                <w:sz w:val="22"/>
              </w:rPr>
              <w:t>Construct a two-lane collector street between Wenatchee Lane and Rachel Road</w:t>
            </w:r>
          </w:p>
        </w:tc>
        <w:tc>
          <w:tcPr>
            <w:tcW w:w="1711" w:type="dxa"/>
          </w:tcPr>
          <w:p>
            <w:pPr>
              <w:pStyle w:val="TableParagraph"/>
              <w:spacing w:before="6"/>
              <w:ind w:left="0"/>
              <w:rPr>
                <w:rFonts w:ascii="Arial"/>
                <w:b/>
                <w:sz w:val="28"/>
              </w:rPr>
            </w:pPr>
          </w:p>
          <w:p>
            <w:pPr>
              <w:pStyle w:val="TableParagraph"/>
              <w:spacing w:line="237" w:lineRule="exact" w:before="0"/>
              <w:rPr>
                <w:sz w:val="22"/>
              </w:rPr>
            </w:pPr>
            <w:r>
              <w:rPr>
                <w:sz w:val="22"/>
              </w:rPr>
              <w:t>70,000.00</w:t>
            </w:r>
          </w:p>
        </w:tc>
      </w:tr>
      <w:tr>
        <w:trPr>
          <w:trHeight w:val="1394" w:hRule="atLeast"/>
        </w:trPr>
        <w:tc>
          <w:tcPr>
            <w:tcW w:w="3151" w:type="dxa"/>
          </w:tcPr>
          <w:p>
            <w:pPr>
              <w:pStyle w:val="TableParagraph"/>
              <w:spacing w:before="0"/>
              <w:ind w:left="0"/>
              <w:rPr>
                <w:rFonts w:ascii="Arial"/>
                <w:b/>
                <w:sz w:val="26"/>
              </w:rPr>
            </w:pPr>
          </w:p>
          <w:p>
            <w:pPr>
              <w:pStyle w:val="TableParagraph"/>
              <w:spacing w:before="0"/>
              <w:ind w:left="0"/>
              <w:rPr>
                <w:rFonts w:ascii="Arial"/>
                <w:b/>
                <w:sz w:val="26"/>
              </w:rPr>
            </w:pPr>
          </w:p>
          <w:p>
            <w:pPr>
              <w:pStyle w:val="TableParagraph"/>
              <w:spacing w:before="8"/>
              <w:ind w:left="0"/>
              <w:rPr>
                <w:rFonts w:ascii="Arial"/>
                <w:b/>
                <w:sz w:val="24"/>
              </w:rPr>
            </w:pPr>
          </w:p>
          <w:p>
            <w:pPr>
              <w:pStyle w:val="TableParagraph"/>
              <w:spacing w:line="256" w:lineRule="exact" w:before="1"/>
              <w:ind w:right="141"/>
              <w:rPr>
                <w:sz w:val="22"/>
              </w:rPr>
            </w:pPr>
            <w:r>
              <w:rPr>
                <w:sz w:val="22"/>
              </w:rPr>
              <w:t>Marcus Whitman Elementary - SRTS</w:t>
            </w:r>
          </w:p>
        </w:tc>
        <w:tc>
          <w:tcPr>
            <w:tcW w:w="4589" w:type="dxa"/>
          </w:tcPr>
          <w:p>
            <w:pPr>
              <w:pStyle w:val="TableParagraph"/>
              <w:spacing w:before="103"/>
              <w:ind w:right="161"/>
              <w:rPr>
                <w:sz w:val="22"/>
              </w:rPr>
            </w:pPr>
            <w:r>
              <w:rPr>
                <w:sz w:val="22"/>
              </w:rPr>
              <w:t>Construct sidewalks and frontage improvements and overlay on Snow Avenue between Duportail Street and Hoffman Street,</w:t>
            </w:r>
          </w:p>
          <w:p>
            <w:pPr>
              <w:pStyle w:val="TableParagraph"/>
              <w:spacing w:line="256" w:lineRule="exact" w:before="6"/>
              <w:ind w:right="413"/>
              <w:rPr>
                <w:sz w:val="22"/>
              </w:rPr>
            </w:pPr>
            <w:r>
              <w:rPr>
                <w:sz w:val="22"/>
              </w:rPr>
              <w:t>and Gray Street between Snow Avenue and Winslow Avenue</w:t>
            </w:r>
          </w:p>
        </w:tc>
        <w:tc>
          <w:tcPr>
            <w:tcW w:w="1711" w:type="dxa"/>
          </w:tcPr>
          <w:p>
            <w:pPr>
              <w:pStyle w:val="TableParagraph"/>
              <w:spacing w:before="0"/>
              <w:ind w:left="0"/>
              <w:rPr>
                <w:rFonts w:ascii="Arial"/>
                <w:b/>
                <w:sz w:val="26"/>
              </w:rPr>
            </w:pPr>
          </w:p>
          <w:p>
            <w:pPr>
              <w:pStyle w:val="TableParagraph"/>
              <w:spacing w:before="0"/>
              <w:ind w:left="0"/>
              <w:rPr>
                <w:rFonts w:ascii="Arial"/>
                <w:b/>
                <w:sz w:val="26"/>
              </w:rPr>
            </w:pPr>
          </w:p>
          <w:p>
            <w:pPr>
              <w:pStyle w:val="TableParagraph"/>
              <w:spacing w:before="0"/>
              <w:ind w:left="0"/>
              <w:rPr>
                <w:rFonts w:ascii="Arial"/>
                <w:b/>
                <w:sz w:val="26"/>
              </w:rPr>
            </w:pPr>
          </w:p>
          <w:p>
            <w:pPr>
              <w:pStyle w:val="TableParagraph"/>
              <w:spacing w:before="8"/>
              <w:ind w:left="0"/>
              <w:rPr>
                <w:rFonts w:ascii="Arial"/>
                <w:b/>
                <w:sz w:val="20"/>
              </w:rPr>
            </w:pPr>
          </w:p>
          <w:p>
            <w:pPr>
              <w:pStyle w:val="TableParagraph"/>
              <w:spacing w:line="239" w:lineRule="exact" w:before="0"/>
              <w:rPr>
                <w:sz w:val="22"/>
              </w:rPr>
            </w:pPr>
            <w:r>
              <w:rPr>
                <w:sz w:val="22"/>
              </w:rPr>
              <w:t>491,200.00</w:t>
            </w:r>
          </w:p>
        </w:tc>
      </w:tr>
      <w:tr>
        <w:trPr>
          <w:trHeight w:val="870" w:hRule="atLeast"/>
        </w:trPr>
        <w:tc>
          <w:tcPr>
            <w:tcW w:w="3151" w:type="dxa"/>
          </w:tcPr>
          <w:p>
            <w:pPr>
              <w:pStyle w:val="TableParagraph"/>
              <w:spacing w:before="0"/>
              <w:ind w:left="0"/>
              <w:rPr>
                <w:rFonts w:ascii="Arial"/>
                <w:b/>
                <w:sz w:val="26"/>
              </w:rPr>
            </w:pPr>
          </w:p>
          <w:p>
            <w:pPr>
              <w:pStyle w:val="TableParagraph"/>
              <w:spacing w:before="1"/>
              <w:ind w:left="0"/>
              <w:rPr>
                <w:rFonts w:ascii="Arial"/>
                <w:b/>
                <w:sz w:val="27"/>
              </w:rPr>
            </w:pPr>
          </w:p>
          <w:p>
            <w:pPr>
              <w:pStyle w:val="TableParagraph"/>
              <w:spacing w:line="239" w:lineRule="exact" w:before="0"/>
              <w:rPr>
                <w:sz w:val="22"/>
              </w:rPr>
            </w:pPr>
            <w:r>
              <w:rPr>
                <w:sz w:val="22"/>
              </w:rPr>
              <w:t>Stevens Drive Pathway</w:t>
            </w:r>
          </w:p>
        </w:tc>
        <w:tc>
          <w:tcPr>
            <w:tcW w:w="4589" w:type="dxa"/>
          </w:tcPr>
          <w:p>
            <w:pPr>
              <w:pStyle w:val="TableParagraph"/>
              <w:spacing w:before="95"/>
              <w:ind w:right="302"/>
              <w:rPr>
                <w:sz w:val="22"/>
              </w:rPr>
            </w:pPr>
            <w:r>
              <w:rPr>
                <w:sz w:val="22"/>
              </w:rPr>
              <w:t>Construct a separated multi-use pathway on the east side of Stevens Drive</w:t>
            </w:r>
            <w:r>
              <w:rPr>
                <w:spacing w:val="-9"/>
                <w:sz w:val="22"/>
              </w:rPr>
              <w:t> </w:t>
            </w:r>
            <w:r>
              <w:rPr>
                <w:sz w:val="22"/>
              </w:rPr>
              <w:t>between</w:t>
            </w:r>
          </w:p>
          <w:p>
            <w:pPr>
              <w:pStyle w:val="TableParagraph"/>
              <w:spacing w:line="239" w:lineRule="exact" w:before="0"/>
              <w:rPr>
                <w:sz w:val="22"/>
              </w:rPr>
            </w:pPr>
            <w:r>
              <w:rPr>
                <w:sz w:val="22"/>
              </w:rPr>
              <w:t>Spengler Street and Horn Rapids</w:t>
            </w:r>
            <w:r>
              <w:rPr>
                <w:spacing w:val="-11"/>
                <w:sz w:val="22"/>
              </w:rPr>
              <w:t> </w:t>
            </w:r>
            <w:r>
              <w:rPr>
                <w:sz w:val="22"/>
              </w:rPr>
              <w:t>Road</w:t>
            </w:r>
          </w:p>
        </w:tc>
        <w:tc>
          <w:tcPr>
            <w:tcW w:w="1711" w:type="dxa"/>
          </w:tcPr>
          <w:p>
            <w:pPr>
              <w:pStyle w:val="TableParagraph"/>
              <w:spacing w:before="0"/>
              <w:ind w:left="0"/>
              <w:rPr>
                <w:rFonts w:ascii="Arial"/>
                <w:b/>
                <w:sz w:val="26"/>
              </w:rPr>
            </w:pPr>
          </w:p>
          <w:p>
            <w:pPr>
              <w:pStyle w:val="TableParagraph"/>
              <w:spacing w:before="1"/>
              <w:ind w:left="0"/>
              <w:rPr>
                <w:rFonts w:ascii="Arial"/>
                <w:b/>
                <w:sz w:val="27"/>
              </w:rPr>
            </w:pPr>
          </w:p>
          <w:p>
            <w:pPr>
              <w:pStyle w:val="TableParagraph"/>
              <w:spacing w:line="239" w:lineRule="exact" w:before="0"/>
              <w:rPr>
                <w:sz w:val="22"/>
              </w:rPr>
            </w:pPr>
            <w:r>
              <w:rPr>
                <w:sz w:val="22"/>
              </w:rPr>
              <w:t>950,000.00</w:t>
            </w:r>
          </w:p>
        </w:tc>
      </w:tr>
    </w:tbl>
    <w:p>
      <w:pPr>
        <w:spacing w:after="0" w:line="239" w:lineRule="exact"/>
        <w:rPr>
          <w:sz w:val="22"/>
        </w:rPr>
        <w:sectPr>
          <w:pgSz w:w="12240" w:h="15840"/>
          <w:pgMar w:header="0" w:footer="1132" w:top="1360" w:bottom="1320" w:left="1300" w:right="1100"/>
        </w:sect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51"/>
        <w:gridCol w:w="4589"/>
        <w:gridCol w:w="1711"/>
      </w:tblGrid>
      <w:tr>
        <w:trPr>
          <w:trHeight w:val="690" w:hRule="atLeast"/>
        </w:trPr>
        <w:tc>
          <w:tcPr>
            <w:tcW w:w="3151" w:type="dxa"/>
            <w:shd w:val="clear" w:color="auto" w:fill="B8CCE3"/>
          </w:tcPr>
          <w:p>
            <w:pPr>
              <w:pStyle w:val="TableParagraph"/>
              <w:spacing w:before="10"/>
              <w:ind w:left="0"/>
              <w:rPr>
                <w:rFonts w:ascii="Arial"/>
                <w:b/>
                <w:sz w:val="22"/>
              </w:rPr>
            </w:pPr>
          </w:p>
          <w:p>
            <w:pPr>
              <w:pStyle w:val="TableParagraph"/>
              <w:spacing w:before="0"/>
              <w:rPr>
                <w:b/>
                <w:sz w:val="22"/>
              </w:rPr>
            </w:pPr>
            <w:r>
              <w:rPr>
                <w:b/>
                <w:sz w:val="22"/>
              </w:rPr>
              <w:t>Project Title</w:t>
            </w:r>
          </w:p>
        </w:tc>
        <w:tc>
          <w:tcPr>
            <w:tcW w:w="4589" w:type="dxa"/>
            <w:shd w:val="clear" w:color="auto" w:fill="B8CCE3"/>
          </w:tcPr>
          <w:p>
            <w:pPr>
              <w:pStyle w:val="TableParagraph"/>
              <w:spacing w:before="10"/>
              <w:ind w:left="0"/>
              <w:rPr>
                <w:rFonts w:ascii="Arial"/>
                <w:b/>
                <w:sz w:val="22"/>
              </w:rPr>
            </w:pPr>
          </w:p>
          <w:p>
            <w:pPr>
              <w:pStyle w:val="TableParagraph"/>
              <w:spacing w:before="0"/>
              <w:rPr>
                <w:b/>
                <w:sz w:val="22"/>
              </w:rPr>
            </w:pPr>
            <w:r>
              <w:rPr>
                <w:b/>
                <w:sz w:val="22"/>
              </w:rPr>
              <w:t>Project Description</w:t>
            </w:r>
          </w:p>
        </w:tc>
        <w:tc>
          <w:tcPr>
            <w:tcW w:w="1711" w:type="dxa"/>
            <w:shd w:val="clear" w:color="auto" w:fill="B8CCE3"/>
          </w:tcPr>
          <w:p>
            <w:pPr>
              <w:pStyle w:val="TableParagraph"/>
              <w:spacing w:before="10"/>
              <w:ind w:left="0"/>
              <w:rPr>
                <w:rFonts w:ascii="Arial"/>
                <w:b/>
                <w:sz w:val="22"/>
              </w:rPr>
            </w:pPr>
          </w:p>
          <w:p>
            <w:pPr>
              <w:pStyle w:val="TableParagraph"/>
              <w:spacing w:before="0"/>
              <w:ind w:left="203"/>
              <w:rPr>
                <w:b/>
                <w:sz w:val="22"/>
              </w:rPr>
            </w:pPr>
            <w:r>
              <w:rPr>
                <w:b/>
                <w:sz w:val="22"/>
              </w:rPr>
              <w:t>Total Cost ($)</w:t>
            </w:r>
          </w:p>
        </w:tc>
      </w:tr>
      <w:tr>
        <w:trPr>
          <w:trHeight w:val="868" w:hRule="atLeast"/>
        </w:trPr>
        <w:tc>
          <w:tcPr>
            <w:tcW w:w="3151" w:type="dxa"/>
          </w:tcPr>
          <w:p>
            <w:pPr>
              <w:pStyle w:val="TableParagraph"/>
              <w:spacing w:before="0"/>
              <w:ind w:left="0"/>
              <w:rPr>
                <w:rFonts w:ascii="Arial"/>
                <w:b/>
                <w:sz w:val="26"/>
              </w:rPr>
            </w:pPr>
          </w:p>
          <w:p>
            <w:pPr>
              <w:pStyle w:val="TableParagraph"/>
              <w:spacing w:before="2"/>
              <w:ind w:left="0"/>
              <w:rPr>
                <w:rFonts w:ascii="Arial"/>
                <w:b/>
                <w:sz w:val="27"/>
              </w:rPr>
            </w:pPr>
          </w:p>
          <w:p>
            <w:pPr>
              <w:pStyle w:val="TableParagraph"/>
              <w:spacing w:line="237" w:lineRule="exact" w:before="0"/>
              <w:rPr>
                <w:sz w:val="22"/>
              </w:rPr>
            </w:pPr>
            <w:r>
              <w:rPr>
                <w:sz w:val="22"/>
              </w:rPr>
              <w:t>Queensgate Drive - Phase II</w:t>
            </w:r>
          </w:p>
        </w:tc>
        <w:tc>
          <w:tcPr>
            <w:tcW w:w="4589" w:type="dxa"/>
          </w:tcPr>
          <w:p>
            <w:pPr>
              <w:pStyle w:val="TableParagraph"/>
              <w:spacing w:before="95"/>
              <w:ind w:right="175"/>
              <w:rPr>
                <w:sz w:val="22"/>
              </w:rPr>
            </w:pPr>
            <w:r>
              <w:rPr>
                <w:sz w:val="22"/>
              </w:rPr>
              <w:t>Construct a two-lane collector street between Bermuda Road and Alla Vista Road, including</w:t>
            </w:r>
          </w:p>
          <w:p>
            <w:pPr>
              <w:pStyle w:val="TableParagraph"/>
              <w:spacing w:line="237" w:lineRule="exact" w:before="0"/>
              <w:rPr>
                <w:sz w:val="22"/>
              </w:rPr>
            </w:pPr>
            <w:r>
              <w:rPr>
                <w:sz w:val="22"/>
              </w:rPr>
              <w:t>frontage improvements</w:t>
            </w:r>
          </w:p>
        </w:tc>
        <w:tc>
          <w:tcPr>
            <w:tcW w:w="1711" w:type="dxa"/>
          </w:tcPr>
          <w:p>
            <w:pPr>
              <w:pStyle w:val="TableParagraph"/>
              <w:spacing w:before="0"/>
              <w:ind w:left="0"/>
              <w:rPr>
                <w:rFonts w:ascii="Arial"/>
                <w:b/>
                <w:sz w:val="26"/>
              </w:rPr>
            </w:pPr>
          </w:p>
          <w:p>
            <w:pPr>
              <w:pStyle w:val="TableParagraph"/>
              <w:spacing w:before="2"/>
              <w:ind w:left="0"/>
              <w:rPr>
                <w:rFonts w:ascii="Arial"/>
                <w:b/>
                <w:sz w:val="27"/>
              </w:rPr>
            </w:pPr>
          </w:p>
          <w:p>
            <w:pPr>
              <w:pStyle w:val="TableParagraph"/>
              <w:spacing w:line="237" w:lineRule="exact" w:before="0"/>
              <w:rPr>
                <w:sz w:val="22"/>
              </w:rPr>
            </w:pPr>
            <w:r>
              <w:rPr>
                <w:sz w:val="22"/>
              </w:rPr>
              <w:t>3,400,000.00</w:t>
            </w:r>
          </w:p>
        </w:tc>
      </w:tr>
      <w:tr>
        <w:trPr>
          <w:trHeight w:val="901" w:hRule="atLeast"/>
        </w:trPr>
        <w:tc>
          <w:tcPr>
            <w:tcW w:w="3151" w:type="dxa"/>
            <w:tcBorders>
              <w:bottom w:val="nil"/>
            </w:tcBorders>
          </w:tcPr>
          <w:p>
            <w:pPr>
              <w:pStyle w:val="TableParagraph"/>
              <w:spacing w:before="9"/>
              <w:ind w:left="0"/>
              <w:rPr>
                <w:rFonts w:ascii="Arial"/>
                <w:b/>
                <w:sz w:val="30"/>
              </w:rPr>
            </w:pPr>
          </w:p>
          <w:p>
            <w:pPr>
              <w:pStyle w:val="TableParagraph"/>
              <w:spacing w:before="0"/>
              <w:ind w:right="387"/>
              <w:rPr>
                <w:sz w:val="22"/>
              </w:rPr>
            </w:pPr>
            <w:r>
              <w:rPr>
                <w:sz w:val="22"/>
              </w:rPr>
              <w:t>Vantage Highway Pathway - Phase 3</w:t>
            </w:r>
          </w:p>
        </w:tc>
        <w:tc>
          <w:tcPr>
            <w:tcW w:w="4589" w:type="dxa"/>
            <w:tcBorders>
              <w:bottom w:val="nil"/>
            </w:tcBorders>
          </w:tcPr>
          <w:p>
            <w:pPr>
              <w:pStyle w:val="TableParagraph"/>
              <w:spacing w:before="98"/>
              <w:ind w:right="302"/>
              <w:rPr>
                <w:sz w:val="22"/>
              </w:rPr>
            </w:pPr>
            <w:r>
              <w:rPr>
                <w:sz w:val="22"/>
              </w:rPr>
              <w:t>Construct a separated multi-use pathway on the north side of SR 240 between Twin Bridges Road and Kingsgate Way</w:t>
            </w:r>
          </w:p>
        </w:tc>
        <w:tc>
          <w:tcPr>
            <w:tcW w:w="1711" w:type="dxa"/>
            <w:tcBorders>
              <w:bottom w:val="nil"/>
            </w:tcBorders>
          </w:tcPr>
          <w:p>
            <w:pPr>
              <w:pStyle w:val="TableParagraph"/>
              <w:spacing w:before="0"/>
              <w:ind w:left="0"/>
              <w:rPr>
                <w:rFonts w:ascii="Arial"/>
                <w:b/>
                <w:sz w:val="26"/>
              </w:rPr>
            </w:pPr>
          </w:p>
          <w:p>
            <w:pPr>
              <w:pStyle w:val="TableParagraph"/>
              <w:spacing w:before="4"/>
              <w:ind w:left="0"/>
              <w:rPr>
                <w:rFonts w:ascii="Arial"/>
                <w:b/>
                <w:sz w:val="27"/>
              </w:rPr>
            </w:pPr>
          </w:p>
          <w:p>
            <w:pPr>
              <w:pStyle w:val="TableParagraph"/>
              <w:spacing w:before="0"/>
              <w:rPr>
                <w:sz w:val="22"/>
              </w:rPr>
            </w:pPr>
            <w:r>
              <w:rPr>
                <w:sz w:val="22"/>
              </w:rPr>
              <w:t>600,000.00</w:t>
            </w:r>
          </w:p>
        </w:tc>
      </w:tr>
      <w:tr>
        <w:trPr>
          <w:trHeight w:val="1366" w:hRule="atLeast"/>
        </w:trPr>
        <w:tc>
          <w:tcPr>
            <w:tcW w:w="3151" w:type="dxa"/>
            <w:tcBorders>
              <w:top w:val="nil"/>
              <w:bottom w:val="nil"/>
            </w:tcBorders>
          </w:tcPr>
          <w:p>
            <w:pPr>
              <w:pStyle w:val="TableParagraph"/>
              <w:spacing w:before="0"/>
              <w:ind w:left="0"/>
              <w:rPr>
                <w:rFonts w:ascii="Arial"/>
                <w:b/>
                <w:sz w:val="26"/>
              </w:rPr>
            </w:pPr>
          </w:p>
          <w:p>
            <w:pPr>
              <w:pStyle w:val="TableParagraph"/>
              <w:spacing w:before="0"/>
              <w:ind w:left="0"/>
              <w:rPr>
                <w:rFonts w:ascii="Arial"/>
                <w:b/>
                <w:sz w:val="26"/>
              </w:rPr>
            </w:pPr>
          </w:p>
          <w:p>
            <w:pPr>
              <w:pStyle w:val="TableParagraph"/>
              <w:spacing w:before="204"/>
              <w:ind w:right="912"/>
              <w:rPr>
                <w:sz w:val="22"/>
              </w:rPr>
            </w:pPr>
            <w:r>
              <w:rPr>
                <w:sz w:val="22"/>
              </w:rPr>
              <w:t>Downton Connectivity Improvements</w:t>
            </w:r>
          </w:p>
        </w:tc>
        <w:tc>
          <w:tcPr>
            <w:tcW w:w="4589" w:type="dxa"/>
            <w:tcBorders>
              <w:top w:val="nil"/>
              <w:bottom w:val="nil"/>
            </w:tcBorders>
          </w:tcPr>
          <w:p>
            <w:pPr>
              <w:pStyle w:val="TableParagraph"/>
              <w:spacing w:before="29"/>
              <w:ind w:right="165"/>
              <w:rPr>
                <w:sz w:val="22"/>
              </w:rPr>
            </w:pPr>
            <w:r>
              <w:rPr>
                <w:sz w:val="22"/>
              </w:rPr>
              <w:t>Conversion of George Washington Way and Jadwin Avenue to a one-way couplet between Symons Street and Jadwin Avenue. Add active transportation connectivity and safety improvements.</w:t>
            </w:r>
          </w:p>
        </w:tc>
        <w:tc>
          <w:tcPr>
            <w:tcW w:w="1711" w:type="dxa"/>
            <w:tcBorders>
              <w:top w:val="nil"/>
              <w:bottom w:val="nil"/>
            </w:tcBorders>
          </w:tcPr>
          <w:p>
            <w:pPr>
              <w:pStyle w:val="TableParagraph"/>
              <w:spacing w:before="0"/>
              <w:ind w:left="0"/>
              <w:rPr>
                <w:rFonts w:ascii="Arial"/>
                <w:b/>
                <w:sz w:val="26"/>
              </w:rPr>
            </w:pPr>
          </w:p>
          <w:p>
            <w:pPr>
              <w:pStyle w:val="TableParagraph"/>
              <w:spacing w:before="0"/>
              <w:ind w:left="0"/>
              <w:rPr>
                <w:rFonts w:ascii="Arial"/>
                <w:b/>
                <w:sz w:val="26"/>
              </w:rPr>
            </w:pPr>
          </w:p>
          <w:p>
            <w:pPr>
              <w:pStyle w:val="TableParagraph"/>
              <w:spacing w:before="0"/>
              <w:ind w:left="0"/>
              <w:rPr>
                <w:rFonts w:ascii="Arial"/>
                <w:b/>
                <w:sz w:val="26"/>
              </w:rPr>
            </w:pPr>
          </w:p>
          <w:p>
            <w:pPr>
              <w:pStyle w:val="TableParagraph"/>
              <w:spacing w:before="165"/>
              <w:rPr>
                <w:sz w:val="22"/>
              </w:rPr>
            </w:pPr>
            <w:r>
              <w:rPr>
                <w:sz w:val="22"/>
              </w:rPr>
              <w:t>16,000,000.00</w:t>
            </w:r>
          </w:p>
        </w:tc>
      </w:tr>
      <w:tr>
        <w:trPr>
          <w:trHeight w:val="870" w:hRule="atLeast"/>
        </w:trPr>
        <w:tc>
          <w:tcPr>
            <w:tcW w:w="3151" w:type="dxa"/>
            <w:tcBorders>
              <w:top w:val="nil"/>
              <w:bottom w:val="nil"/>
            </w:tcBorders>
          </w:tcPr>
          <w:p>
            <w:pPr>
              <w:pStyle w:val="TableParagraph"/>
              <w:spacing w:before="7"/>
              <w:ind w:left="0"/>
              <w:rPr>
                <w:rFonts w:ascii="Arial"/>
                <w:b/>
                <w:sz w:val="26"/>
              </w:rPr>
            </w:pPr>
          </w:p>
          <w:p>
            <w:pPr>
              <w:pStyle w:val="TableParagraph"/>
              <w:spacing w:before="1"/>
              <w:ind w:right="253"/>
              <w:rPr>
                <w:sz w:val="22"/>
              </w:rPr>
            </w:pPr>
            <w:r>
              <w:rPr>
                <w:sz w:val="22"/>
              </w:rPr>
              <w:t>Systemic Pedestrian Crossing Safety Improvements</w:t>
            </w:r>
          </w:p>
        </w:tc>
        <w:tc>
          <w:tcPr>
            <w:tcW w:w="4589" w:type="dxa"/>
            <w:tcBorders>
              <w:top w:val="nil"/>
              <w:bottom w:val="nil"/>
            </w:tcBorders>
          </w:tcPr>
          <w:p>
            <w:pPr>
              <w:pStyle w:val="TableParagraph"/>
              <w:spacing w:before="47"/>
              <w:ind w:right="426"/>
              <w:rPr>
                <w:sz w:val="22"/>
              </w:rPr>
            </w:pPr>
            <w:r>
              <w:rPr>
                <w:sz w:val="22"/>
              </w:rPr>
              <w:t>Construct safety improvements at various pedestrian crossings identified in the Local Road Safety Plan</w:t>
            </w:r>
          </w:p>
        </w:tc>
        <w:tc>
          <w:tcPr>
            <w:tcW w:w="1711" w:type="dxa"/>
            <w:tcBorders>
              <w:top w:val="nil"/>
              <w:bottom w:val="nil"/>
            </w:tcBorders>
          </w:tcPr>
          <w:p>
            <w:pPr>
              <w:pStyle w:val="TableParagraph"/>
              <w:spacing w:before="0"/>
              <w:ind w:left="0"/>
              <w:rPr>
                <w:rFonts w:ascii="Arial"/>
                <w:b/>
                <w:sz w:val="26"/>
              </w:rPr>
            </w:pPr>
          </w:p>
          <w:p>
            <w:pPr>
              <w:pStyle w:val="TableParagraph"/>
              <w:spacing w:before="0"/>
              <w:ind w:left="0"/>
              <w:rPr>
                <w:rFonts w:ascii="Arial"/>
                <w:b/>
                <w:sz w:val="23"/>
              </w:rPr>
            </w:pPr>
          </w:p>
          <w:p>
            <w:pPr>
              <w:pStyle w:val="TableParagraph"/>
              <w:spacing w:before="0"/>
              <w:rPr>
                <w:sz w:val="22"/>
              </w:rPr>
            </w:pPr>
            <w:r>
              <w:rPr>
                <w:sz w:val="22"/>
              </w:rPr>
              <w:t>1,300,000.00</w:t>
            </w:r>
          </w:p>
        </w:tc>
      </w:tr>
      <w:tr>
        <w:trPr>
          <w:trHeight w:val="821" w:hRule="atLeast"/>
        </w:trPr>
        <w:tc>
          <w:tcPr>
            <w:tcW w:w="3151" w:type="dxa"/>
            <w:tcBorders>
              <w:top w:val="nil"/>
            </w:tcBorders>
          </w:tcPr>
          <w:p>
            <w:pPr>
              <w:pStyle w:val="TableParagraph"/>
              <w:spacing w:before="49"/>
              <w:ind w:right="638"/>
              <w:rPr>
                <w:sz w:val="22"/>
              </w:rPr>
            </w:pPr>
            <w:r>
              <w:rPr>
                <w:sz w:val="22"/>
              </w:rPr>
              <w:t>Systemic Stop-Controlled Intersections Safety</w:t>
            </w:r>
          </w:p>
          <w:p>
            <w:pPr>
              <w:pStyle w:val="TableParagraph"/>
              <w:spacing w:line="237" w:lineRule="exact" w:before="0"/>
              <w:rPr>
                <w:sz w:val="22"/>
              </w:rPr>
            </w:pPr>
            <w:r>
              <w:rPr>
                <w:sz w:val="22"/>
              </w:rPr>
              <w:t>Improvements</w:t>
            </w:r>
          </w:p>
        </w:tc>
        <w:tc>
          <w:tcPr>
            <w:tcW w:w="4589" w:type="dxa"/>
            <w:tcBorders>
              <w:top w:val="nil"/>
            </w:tcBorders>
          </w:tcPr>
          <w:p>
            <w:pPr>
              <w:pStyle w:val="TableParagraph"/>
              <w:spacing w:before="49"/>
              <w:ind w:right="206"/>
              <w:rPr>
                <w:sz w:val="22"/>
              </w:rPr>
            </w:pPr>
            <w:r>
              <w:rPr>
                <w:sz w:val="22"/>
              </w:rPr>
              <w:t>Construct safety improvements at various stop-controlled intersections identified in the</w:t>
            </w:r>
          </w:p>
          <w:p>
            <w:pPr>
              <w:pStyle w:val="TableParagraph"/>
              <w:spacing w:line="237" w:lineRule="exact" w:before="0"/>
              <w:rPr>
                <w:sz w:val="22"/>
              </w:rPr>
            </w:pPr>
            <w:r>
              <w:rPr>
                <w:sz w:val="22"/>
              </w:rPr>
              <w:t>Local Road Safety Plan.</w:t>
            </w:r>
          </w:p>
        </w:tc>
        <w:tc>
          <w:tcPr>
            <w:tcW w:w="1711" w:type="dxa"/>
            <w:tcBorders>
              <w:top w:val="nil"/>
            </w:tcBorders>
          </w:tcPr>
          <w:p>
            <w:pPr>
              <w:pStyle w:val="TableParagraph"/>
              <w:spacing w:before="0"/>
              <w:ind w:left="0"/>
              <w:rPr>
                <w:rFonts w:ascii="Arial"/>
                <w:b/>
                <w:sz w:val="26"/>
              </w:rPr>
            </w:pPr>
          </w:p>
          <w:p>
            <w:pPr>
              <w:pStyle w:val="TableParagraph"/>
              <w:spacing w:before="1"/>
              <w:ind w:left="0"/>
              <w:rPr>
                <w:rFonts w:ascii="Arial"/>
                <w:b/>
                <w:sz w:val="23"/>
              </w:rPr>
            </w:pPr>
          </w:p>
          <w:p>
            <w:pPr>
              <w:pStyle w:val="TableParagraph"/>
              <w:spacing w:line="237" w:lineRule="exact" w:before="0"/>
              <w:rPr>
                <w:sz w:val="22"/>
              </w:rPr>
            </w:pPr>
            <w:r>
              <w:rPr>
                <w:sz w:val="22"/>
              </w:rPr>
              <w:t>2,200,000.00</w:t>
            </w:r>
          </w:p>
        </w:tc>
      </w:tr>
    </w:tbl>
    <w:p>
      <w:pPr>
        <w:pStyle w:val="BodyText"/>
        <w:spacing w:before="9"/>
        <w:rPr>
          <w:rFonts w:ascii="Arial"/>
          <w:b/>
          <w:sz w:val="8"/>
        </w:rPr>
      </w:pPr>
    </w:p>
    <w:p>
      <w:pPr>
        <w:spacing w:before="100"/>
        <w:ind w:left="140" w:right="0" w:firstLine="0"/>
        <w:jc w:val="both"/>
        <w:rPr>
          <w:b/>
          <w:sz w:val="24"/>
        </w:rPr>
      </w:pPr>
      <w:bookmarkStart w:name="Long Term Improvements" w:id="152"/>
      <w:bookmarkEnd w:id="152"/>
      <w:r>
        <w:rPr/>
      </w:r>
      <w:r>
        <w:rPr>
          <w:b/>
          <w:sz w:val="24"/>
        </w:rPr>
        <w:t>LONG TERM IMPROVEMENTS</w:t>
      </w:r>
    </w:p>
    <w:p>
      <w:pPr>
        <w:pStyle w:val="BodyText"/>
        <w:spacing w:before="119"/>
        <w:ind w:left="140" w:right="335"/>
        <w:jc w:val="both"/>
      </w:pPr>
      <w:r>
        <w:rPr/>
        <w:t>This section discusses the future roadway network to serve the anticipated growth within the City. It identifies additional bicycle and pedestrian projects as well.</w:t>
      </w:r>
    </w:p>
    <w:p>
      <w:pPr>
        <w:spacing w:before="202"/>
        <w:ind w:left="140" w:right="0" w:firstLine="0"/>
        <w:jc w:val="both"/>
        <w:rPr>
          <w:b/>
          <w:sz w:val="22"/>
        </w:rPr>
      </w:pPr>
      <w:bookmarkStart w:name="Future Functionally Classified Roadway N" w:id="153"/>
      <w:bookmarkEnd w:id="153"/>
      <w:r>
        <w:rPr/>
      </w:r>
      <w:r>
        <w:rPr>
          <w:b/>
          <w:color w:val="C0504D"/>
          <w:sz w:val="22"/>
        </w:rPr>
        <w:t>Future Functionally Classified Roadway Network</w:t>
      </w:r>
    </w:p>
    <w:p>
      <w:pPr>
        <w:pStyle w:val="BodyText"/>
        <w:spacing w:before="119"/>
        <w:ind w:left="140" w:right="334"/>
        <w:jc w:val="both"/>
      </w:pPr>
      <w:r>
        <w:rPr/>
        <w:t>Growth in the City of Richland is anticipated in several undeveloped areas, including the south Richland</w:t>
      </w:r>
      <w:r>
        <w:rPr>
          <w:spacing w:val="-12"/>
        </w:rPr>
        <w:t> </w:t>
      </w:r>
      <w:r>
        <w:rPr/>
        <w:t>area</w:t>
      </w:r>
      <w:r>
        <w:rPr>
          <w:spacing w:val="-13"/>
        </w:rPr>
        <w:t> </w:t>
      </w:r>
      <w:r>
        <w:rPr/>
        <w:t>south</w:t>
      </w:r>
      <w:r>
        <w:rPr>
          <w:spacing w:val="-11"/>
        </w:rPr>
        <w:t> </w:t>
      </w:r>
      <w:r>
        <w:rPr/>
        <w:t>of</w:t>
      </w:r>
      <w:r>
        <w:rPr>
          <w:spacing w:val="-10"/>
        </w:rPr>
        <w:t> </w:t>
      </w:r>
      <w:r>
        <w:rPr/>
        <w:t>the</w:t>
      </w:r>
      <w:r>
        <w:rPr>
          <w:spacing w:val="-13"/>
        </w:rPr>
        <w:t> </w:t>
      </w:r>
      <w:r>
        <w:rPr/>
        <w:t>Yakima</w:t>
      </w:r>
      <w:r>
        <w:rPr>
          <w:spacing w:val="-11"/>
        </w:rPr>
        <w:t> </w:t>
      </w:r>
      <w:r>
        <w:rPr/>
        <w:t>River,</w:t>
      </w:r>
      <w:r>
        <w:rPr>
          <w:spacing w:val="-10"/>
        </w:rPr>
        <w:t> </w:t>
      </w:r>
      <w:r>
        <w:rPr/>
        <w:t>as</w:t>
      </w:r>
      <w:r>
        <w:rPr>
          <w:spacing w:val="-10"/>
        </w:rPr>
        <w:t> </w:t>
      </w:r>
      <w:r>
        <w:rPr/>
        <w:t>well</w:t>
      </w:r>
      <w:r>
        <w:rPr>
          <w:spacing w:val="-12"/>
        </w:rPr>
        <w:t> </w:t>
      </w:r>
      <w:r>
        <w:rPr/>
        <w:t>as</w:t>
      </w:r>
      <w:r>
        <w:rPr>
          <w:spacing w:val="-10"/>
        </w:rPr>
        <w:t> </w:t>
      </w:r>
      <w:r>
        <w:rPr/>
        <w:t>the</w:t>
      </w:r>
      <w:r>
        <w:rPr>
          <w:spacing w:val="-10"/>
        </w:rPr>
        <w:t> </w:t>
      </w:r>
      <w:r>
        <w:rPr/>
        <w:t>Badger</w:t>
      </w:r>
      <w:r>
        <w:rPr>
          <w:spacing w:val="-12"/>
        </w:rPr>
        <w:t> </w:t>
      </w:r>
      <w:r>
        <w:rPr/>
        <w:t>Mountain</w:t>
      </w:r>
      <w:r>
        <w:rPr>
          <w:spacing w:val="-11"/>
        </w:rPr>
        <w:t> </w:t>
      </w:r>
      <w:r>
        <w:rPr/>
        <w:t>South</w:t>
      </w:r>
      <w:r>
        <w:rPr>
          <w:spacing w:val="-10"/>
        </w:rPr>
        <w:t> </w:t>
      </w:r>
      <w:r>
        <w:rPr/>
        <w:t>sub-area</w:t>
      </w:r>
      <w:r>
        <w:rPr>
          <w:spacing w:val="-11"/>
        </w:rPr>
        <w:t> </w:t>
      </w:r>
      <w:r>
        <w:rPr/>
        <w:t>and</w:t>
      </w:r>
      <w:r>
        <w:rPr>
          <w:spacing w:val="-11"/>
        </w:rPr>
        <w:t> </w:t>
      </w:r>
      <w:r>
        <w:rPr/>
        <w:t>the</w:t>
      </w:r>
      <w:r>
        <w:rPr>
          <w:spacing w:val="-11"/>
        </w:rPr>
        <w:t> </w:t>
      </w:r>
      <w:r>
        <w:rPr/>
        <w:t>Horn Rapids Industrial Park in north Richland. The City of Richland has planned a roadway network to serve</w:t>
      </w:r>
      <w:r>
        <w:rPr>
          <w:spacing w:val="-10"/>
        </w:rPr>
        <w:t> </w:t>
      </w:r>
      <w:r>
        <w:rPr/>
        <w:t>these</w:t>
      </w:r>
      <w:r>
        <w:rPr>
          <w:spacing w:val="-10"/>
        </w:rPr>
        <w:t> </w:t>
      </w:r>
      <w:r>
        <w:rPr/>
        <w:t>developing</w:t>
      </w:r>
      <w:r>
        <w:rPr>
          <w:spacing w:val="-8"/>
        </w:rPr>
        <w:t> </w:t>
      </w:r>
      <w:r>
        <w:rPr/>
        <w:t>areas</w:t>
      </w:r>
      <w:r>
        <w:rPr>
          <w:spacing w:val="-9"/>
        </w:rPr>
        <w:t> </w:t>
      </w:r>
      <w:r>
        <w:rPr/>
        <w:t>and</w:t>
      </w:r>
      <w:r>
        <w:rPr>
          <w:spacing w:val="-12"/>
        </w:rPr>
        <w:t> </w:t>
      </w:r>
      <w:r>
        <w:rPr/>
        <w:t>many</w:t>
      </w:r>
      <w:r>
        <w:rPr>
          <w:spacing w:val="-13"/>
        </w:rPr>
        <w:t> </w:t>
      </w:r>
      <w:r>
        <w:rPr/>
        <w:t>of</w:t>
      </w:r>
      <w:r>
        <w:rPr>
          <w:spacing w:val="-9"/>
        </w:rPr>
        <w:t> </w:t>
      </w:r>
      <w:r>
        <w:rPr/>
        <w:t>the</w:t>
      </w:r>
      <w:r>
        <w:rPr>
          <w:spacing w:val="-10"/>
        </w:rPr>
        <w:t> </w:t>
      </w:r>
      <w:r>
        <w:rPr/>
        <w:t>improvements</w:t>
      </w:r>
      <w:r>
        <w:rPr>
          <w:spacing w:val="-8"/>
        </w:rPr>
        <w:t> </w:t>
      </w:r>
      <w:r>
        <w:rPr/>
        <w:t>will</w:t>
      </w:r>
      <w:r>
        <w:rPr>
          <w:spacing w:val="-10"/>
        </w:rPr>
        <w:t> </w:t>
      </w:r>
      <w:r>
        <w:rPr/>
        <w:t>be</w:t>
      </w:r>
      <w:r>
        <w:rPr>
          <w:spacing w:val="-9"/>
        </w:rPr>
        <w:t> </w:t>
      </w:r>
      <w:r>
        <w:rPr/>
        <w:t>paid</w:t>
      </w:r>
      <w:r>
        <w:rPr>
          <w:spacing w:val="-10"/>
        </w:rPr>
        <w:t> </w:t>
      </w:r>
      <w:r>
        <w:rPr/>
        <w:t>for</w:t>
      </w:r>
      <w:r>
        <w:rPr>
          <w:spacing w:val="-9"/>
        </w:rPr>
        <w:t> </w:t>
      </w:r>
      <w:r>
        <w:rPr/>
        <w:t>by</w:t>
      </w:r>
      <w:r>
        <w:rPr>
          <w:spacing w:val="-11"/>
        </w:rPr>
        <w:t> </w:t>
      </w:r>
      <w:r>
        <w:rPr/>
        <w:t>private</w:t>
      </w:r>
      <w:r>
        <w:rPr>
          <w:spacing w:val="-9"/>
        </w:rPr>
        <w:t> </w:t>
      </w:r>
      <w:r>
        <w:rPr/>
        <w:t>development.</w:t>
      </w:r>
    </w:p>
    <w:p>
      <w:pPr>
        <w:pStyle w:val="BodyText"/>
        <w:spacing w:before="120"/>
        <w:ind w:left="140" w:right="332"/>
        <w:jc w:val="both"/>
      </w:pPr>
      <w:r>
        <w:rPr/>
        <w:t>The City Municipal Code has definitions for various types of streets, identifying the purpose for each road along with associated standards. The code divides collectors into two types, the Arterial Collector and Neighborhood Collector, which is somewhat different than the currently approved state classified system. The future functionally classified street system of roadways is shown in Figure T-11 and is the network towards which the City is working to provide in order to serve development. It includes the following mileages of the various types of roads.</w:t>
      </w:r>
    </w:p>
    <w:p>
      <w:pPr>
        <w:spacing w:before="200"/>
        <w:ind w:left="140" w:right="0" w:firstLine="0"/>
        <w:jc w:val="both"/>
        <w:rPr>
          <w:b/>
          <w:sz w:val="24"/>
        </w:rPr>
      </w:pPr>
      <w:bookmarkStart w:name="FUTURE DEFICIENCIES" w:id="154"/>
      <w:bookmarkEnd w:id="154"/>
      <w:r>
        <w:rPr/>
      </w:r>
      <w:r>
        <w:rPr>
          <w:b/>
          <w:sz w:val="24"/>
        </w:rPr>
        <w:t>FUTURE DEFICIENCIES</w:t>
      </w:r>
    </w:p>
    <w:p>
      <w:pPr>
        <w:spacing w:before="201"/>
        <w:ind w:left="140" w:right="0" w:firstLine="0"/>
        <w:jc w:val="both"/>
        <w:rPr>
          <w:b/>
          <w:sz w:val="22"/>
        </w:rPr>
      </w:pPr>
      <w:bookmarkStart w:name="Roadway System" w:id="155"/>
      <w:bookmarkEnd w:id="155"/>
      <w:r>
        <w:rPr/>
      </w:r>
      <w:r>
        <w:rPr>
          <w:b/>
          <w:color w:val="C0504D"/>
          <w:sz w:val="22"/>
        </w:rPr>
        <w:t>Roadway System</w:t>
      </w:r>
    </w:p>
    <w:p>
      <w:pPr>
        <w:pStyle w:val="BodyText"/>
        <w:spacing w:before="119"/>
        <w:ind w:left="140" w:right="334"/>
        <w:jc w:val="both"/>
      </w:pPr>
      <w:r>
        <w:rPr/>
        <w:t>The GMA requires that communities forecast anticipated growth in traffic volumes for at least a 10- year horizon based on the adopted land use plan to provide information on the needs of future growth.</w:t>
      </w:r>
    </w:p>
    <w:p>
      <w:pPr>
        <w:pStyle w:val="BodyText"/>
        <w:spacing w:before="119"/>
        <w:ind w:left="140" w:right="335"/>
        <w:jc w:val="both"/>
      </w:pPr>
      <w:r>
        <w:rPr/>
        <w:t>As a tool in preparing the Regional Transportation Plan (RTP), the Benton Franklin Council of Governments maintains a set of regional computerized transportation models. The model is developed</w:t>
      </w:r>
      <w:r>
        <w:rPr>
          <w:spacing w:val="-7"/>
        </w:rPr>
        <w:t> </w:t>
      </w:r>
      <w:r>
        <w:rPr/>
        <w:t>using</w:t>
      </w:r>
      <w:r>
        <w:rPr>
          <w:spacing w:val="-5"/>
        </w:rPr>
        <w:t> </w:t>
      </w:r>
      <w:r>
        <w:rPr/>
        <w:t>current</w:t>
      </w:r>
      <w:r>
        <w:rPr>
          <w:spacing w:val="-7"/>
        </w:rPr>
        <w:t> </w:t>
      </w:r>
      <w:r>
        <w:rPr/>
        <w:t>traffic</w:t>
      </w:r>
      <w:r>
        <w:rPr>
          <w:spacing w:val="-3"/>
        </w:rPr>
        <w:t> </w:t>
      </w:r>
      <w:r>
        <w:rPr/>
        <w:t>data</w:t>
      </w:r>
      <w:r>
        <w:rPr>
          <w:spacing w:val="-4"/>
        </w:rPr>
        <w:t> </w:t>
      </w:r>
      <w:r>
        <w:rPr/>
        <w:t>and</w:t>
      </w:r>
      <w:r>
        <w:rPr>
          <w:spacing w:val="-7"/>
        </w:rPr>
        <w:t> </w:t>
      </w:r>
      <w:r>
        <w:rPr/>
        <w:t>land</w:t>
      </w:r>
      <w:r>
        <w:rPr>
          <w:spacing w:val="-7"/>
        </w:rPr>
        <w:t> </w:t>
      </w:r>
      <w:r>
        <w:rPr/>
        <w:t>uses</w:t>
      </w:r>
      <w:r>
        <w:rPr>
          <w:spacing w:val="-6"/>
        </w:rPr>
        <w:t> </w:t>
      </w:r>
      <w:r>
        <w:rPr/>
        <w:t>in</w:t>
      </w:r>
      <w:r>
        <w:rPr>
          <w:spacing w:val="-5"/>
        </w:rPr>
        <w:t> </w:t>
      </w:r>
      <w:r>
        <w:rPr/>
        <w:t>the</w:t>
      </w:r>
      <w:r>
        <w:rPr>
          <w:spacing w:val="-4"/>
        </w:rPr>
        <w:t> </w:t>
      </w:r>
      <w:r>
        <w:rPr/>
        <w:t>region</w:t>
      </w:r>
      <w:r>
        <w:rPr>
          <w:spacing w:val="-8"/>
        </w:rPr>
        <w:t> </w:t>
      </w:r>
      <w:r>
        <w:rPr/>
        <w:t>using</w:t>
      </w:r>
      <w:r>
        <w:rPr>
          <w:spacing w:val="-5"/>
        </w:rPr>
        <w:t> </w:t>
      </w:r>
      <w:r>
        <w:rPr/>
        <w:t>Transportation</w:t>
      </w:r>
      <w:r>
        <w:rPr>
          <w:spacing w:val="-8"/>
        </w:rPr>
        <w:t> </w:t>
      </w:r>
      <w:r>
        <w:rPr/>
        <w:t>Analysis</w:t>
      </w:r>
      <w:r>
        <w:rPr>
          <w:spacing w:val="-6"/>
        </w:rPr>
        <w:t> </w:t>
      </w:r>
      <w:r>
        <w:rPr/>
        <w:t>Zones (TAZs)</w:t>
      </w:r>
      <w:r>
        <w:rPr>
          <w:spacing w:val="24"/>
        </w:rPr>
        <w:t> </w:t>
      </w:r>
      <w:r>
        <w:rPr/>
        <w:t>that</w:t>
      </w:r>
      <w:r>
        <w:rPr>
          <w:spacing w:val="21"/>
        </w:rPr>
        <w:t> </w:t>
      </w:r>
      <w:r>
        <w:rPr/>
        <w:t>are</w:t>
      </w:r>
      <w:r>
        <w:rPr>
          <w:spacing w:val="24"/>
        </w:rPr>
        <w:t> </w:t>
      </w:r>
      <w:r>
        <w:rPr/>
        <w:t>defined</w:t>
      </w:r>
      <w:r>
        <w:rPr>
          <w:spacing w:val="22"/>
        </w:rPr>
        <w:t> </w:t>
      </w:r>
      <w:r>
        <w:rPr/>
        <w:t>by</w:t>
      </w:r>
      <w:r>
        <w:rPr>
          <w:spacing w:val="23"/>
        </w:rPr>
        <w:t> </w:t>
      </w:r>
      <w:r>
        <w:rPr/>
        <w:t>various</w:t>
      </w:r>
      <w:r>
        <w:rPr>
          <w:spacing w:val="25"/>
        </w:rPr>
        <w:t> </w:t>
      </w:r>
      <w:r>
        <w:rPr/>
        <w:t>attributes</w:t>
      </w:r>
      <w:r>
        <w:rPr>
          <w:spacing w:val="25"/>
        </w:rPr>
        <w:t> </w:t>
      </w:r>
      <w:r>
        <w:rPr/>
        <w:t>describing</w:t>
      </w:r>
      <w:r>
        <w:rPr>
          <w:spacing w:val="25"/>
        </w:rPr>
        <w:t> </w:t>
      </w:r>
      <w:r>
        <w:rPr/>
        <w:t>the</w:t>
      </w:r>
      <w:r>
        <w:rPr>
          <w:spacing w:val="24"/>
        </w:rPr>
        <w:t> </w:t>
      </w:r>
      <w:r>
        <w:rPr/>
        <w:t>number</w:t>
      </w:r>
      <w:r>
        <w:rPr>
          <w:spacing w:val="25"/>
        </w:rPr>
        <w:t> </w:t>
      </w:r>
      <w:r>
        <w:rPr/>
        <w:t>and</w:t>
      </w:r>
      <w:r>
        <w:rPr>
          <w:spacing w:val="24"/>
        </w:rPr>
        <w:t> </w:t>
      </w:r>
      <w:r>
        <w:rPr/>
        <w:t>type</w:t>
      </w:r>
      <w:r>
        <w:rPr>
          <w:spacing w:val="24"/>
        </w:rPr>
        <w:t> </w:t>
      </w:r>
      <w:r>
        <w:rPr/>
        <w:t>of</w:t>
      </w:r>
      <w:r>
        <w:rPr>
          <w:spacing w:val="24"/>
        </w:rPr>
        <w:t> </w:t>
      </w:r>
      <w:r>
        <w:rPr/>
        <w:t>households</w:t>
      </w:r>
      <w:r>
        <w:rPr>
          <w:spacing w:val="25"/>
        </w:rPr>
        <w:t> </w:t>
      </w:r>
      <w:r>
        <w:rPr/>
        <w:t>and</w:t>
      </w:r>
    </w:p>
    <w:p>
      <w:pPr>
        <w:spacing w:after="0"/>
        <w:jc w:val="both"/>
        <w:sectPr>
          <w:pgSz w:w="12240" w:h="15840"/>
          <w:pgMar w:header="0" w:footer="1132" w:top="1440" w:bottom="1320" w:left="1300" w:right="1100"/>
        </w:sectPr>
      </w:pPr>
    </w:p>
    <w:p>
      <w:pPr>
        <w:pStyle w:val="BodyText"/>
        <w:spacing w:before="80"/>
        <w:ind w:left="140" w:right="334"/>
        <w:jc w:val="both"/>
      </w:pPr>
      <w:r>
        <w:rPr/>
        <w:t>employees</w:t>
      </w:r>
      <w:r>
        <w:rPr>
          <w:spacing w:val="-13"/>
        </w:rPr>
        <w:t> </w:t>
      </w:r>
      <w:r>
        <w:rPr/>
        <w:t>as</w:t>
      </w:r>
      <w:r>
        <w:rPr>
          <w:spacing w:val="-11"/>
        </w:rPr>
        <w:t> </w:t>
      </w:r>
      <w:r>
        <w:rPr/>
        <w:t>well</w:t>
      </w:r>
      <w:r>
        <w:rPr>
          <w:spacing w:val="-13"/>
        </w:rPr>
        <w:t> </w:t>
      </w:r>
      <w:r>
        <w:rPr/>
        <w:t>as</w:t>
      </w:r>
      <w:r>
        <w:rPr>
          <w:spacing w:val="-11"/>
        </w:rPr>
        <w:t> </w:t>
      </w:r>
      <w:r>
        <w:rPr/>
        <w:t>other</w:t>
      </w:r>
      <w:r>
        <w:rPr>
          <w:spacing w:val="-12"/>
        </w:rPr>
        <w:t> </w:t>
      </w:r>
      <w:r>
        <w:rPr/>
        <w:t>land</w:t>
      </w:r>
      <w:r>
        <w:rPr>
          <w:spacing w:val="-12"/>
        </w:rPr>
        <w:t> </w:t>
      </w:r>
      <w:r>
        <w:rPr/>
        <w:t>uses</w:t>
      </w:r>
      <w:r>
        <w:rPr>
          <w:spacing w:val="-10"/>
        </w:rPr>
        <w:t> </w:t>
      </w:r>
      <w:r>
        <w:rPr/>
        <w:t>within</w:t>
      </w:r>
      <w:r>
        <w:rPr>
          <w:spacing w:val="-12"/>
        </w:rPr>
        <w:t> </w:t>
      </w:r>
      <w:r>
        <w:rPr/>
        <w:t>each</w:t>
      </w:r>
      <w:r>
        <w:rPr>
          <w:spacing w:val="-13"/>
        </w:rPr>
        <w:t> </w:t>
      </w:r>
      <w:r>
        <w:rPr/>
        <w:t>zone.</w:t>
      </w:r>
      <w:r>
        <w:rPr>
          <w:spacing w:val="-11"/>
        </w:rPr>
        <w:t> </w:t>
      </w:r>
      <w:r>
        <w:rPr/>
        <w:t>The</w:t>
      </w:r>
      <w:r>
        <w:rPr>
          <w:spacing w:val="-11"/>
        </w:rPr>
        <w:t> </w:t>
      </w:r>
      <w:r>
        <w:rPr/>
        <w:t>model</w:t>
      </w:r>
      <w:r>
        <w:rPr>
          <w:spacing w:val="-11"/>
        </w:rPr>
        <w:t> </w:t>
      </w:r>
      <w:r>
        <w:rPr/>
        <w:t>is</w:t>
      </w:r>
      <w:r>
        <w:rPr>
          <w:spacing w:val="-10"/>
        </w:rPr>
        <w:t> </w:t>
      </w:r>
      <w:r>
        <w:rPr/>
        <w:t>calibrated</w:t>
      </w:r>
      <w:r>
        <w:rPr>
          <w:spacing w:val="-12"/>
        </w:rPr>
        <w:t> </w:t>
      </w:r>
      <w:r>
        <w:rPr/>
        <w:t>for</w:t>
      </w:r>
      <w:r>
        <w:rPr>
          <w:spacing w:val="-12"/>
        </w:rPr>
        <w:t> </w:t>
      </w:r>
      <w:r>
        <w:rPr/>
        <w:t>existing</w:t>
      </w:r>
      <w:r>
        <w:rPr>
          <w:spacing w:val="-10"/>
        </w:rPr>
        <w:t> </w:t>
      </w:r>
      <w:r>
        <w:rPr/>
        <w:t>conditions using Federal Highway Administration procedures and methods. Once calibrated for existing conditions, changes in assumptions for future land uses and roadway networks can be made to determine the potential impacts of developments and roadway scenarios. Land use assumptions representing</w:t>
      </w:r>
      <w:r>
        <w:rPr>
          <w:spacing w:val="-7"/>
        </w:rPr>
        <w:t> </w:t>
      </w:r>
      <w:r>
        <w:rPr/>
        <w:t>future</w:t>
      </w:r>
      <w:r>
        <w:rPr>
          <w:spacing w:val="-7"/>
        </w:rPr>
        <w:t> </w:t>
      </w:r>
      <w:r>
        <w:rPr/>
        <w:t>conditions</w:t>
      </w:r>
      <w:r>
        <w:rPr>
          <w:spacing w:val="-9"/>
        </w:rPr>
        <w:t> </w:t>
      </w:r>
      <w:r>
        <w:rPr/>
        <w:t>are</w:t>
      </w:r>
      <w:r>
        <w:rPr>
          <w:spacing w:val="-7"/>
        </w:rPr>
        <w:t> </w:t>
      </w:r>
      <w:r>
        <w:rPr/>
        <w:t>developed</w:t>
      </w:r>
      <w:r>
        <w:rPr>
          <w:spacing w:val="-9"/>
        </w:rPr>
        <w:t> </w:t>
      </w:r>
      <w:r>
        <w:rPr/>
        <w:t>to</w:t>
      </w:r>
      <w:r>
        <w:rPr>
          <w:spacing w:val="-7"/>
        </w:rPr>
        <w:t> </w:t>
      </w:r>
      <w:r>
        <w:rPr/>
        <w:t>determine</w:t>
      </w:r>
      <w:r>
        <w:rPr>
          <w:spacing w:val="-7"/>
        </w:rPr>
        <w:t> </w:t>
      </w:r>
      <w:r>
        <w:rPr/>
        <w:t>various</w:t>
      </w:r>
      <w:r>
        <w:rPr>
          <w:spacing w:val="-7"/>
        </w:rPr>
        <w:t> </w:t>
      </w:r>
      <w:r>
        <w:rPr/>
        <w:t>impacts</w:t>
      </w:r>
      <w:r>
        <w:rPr>
          <w:spacing w:val="-10"/>
        </w:rPr>
        <w:t> </w:t>
      </w:r>
      <w:r>
        <w:rPr/>
        <w:t>on</w:t>
      </w:r>
      <w:r>
        <w:rPr>
          <w:spacing w:val="-9"/>
        </w:rPr>
        <w:t> </w:t>
      </w:r>
      <w:r>
        <w:rPr/>
        <w:t>the</w:t>
      </w:r>
      <w:r>
        <w:rPr>
          <w:spacing w:val="-7"/>
        </w:rPr>
        <w:t> </w:t>
      </w:r>
      <w:r>
        <w:rPr/>
        <w:t>roadway</w:t>
      </w:r>
      <w:r>
        <w:rPr>
          <w:spacing w:val="-9"/>
        </w:rPr>
        <w:t> </w:t>
      </w:r>
      <w:r>
        <w:rPr/>
        <w:t>network at a regional level. The future year model representing the year 2032 developed by Benton Franklin Council of Governments and prepared in 2012 represents the best land use and roadway assumptions available at the time it was created and substantially represents the land use scenario presented in this Comprehensive Plan Update. The current RTP is in the process of being updated to the</w:t>
      </w:r>
      <w:r>
        <w:rPr>
          <w:spacing w:val="-5"/>
        </w:rPr>
        <w:t> </w:t>
      </w:r>
      <w:r>
        <w:rPr/>
        <w:t>year</w:t>
      </w:r>
      <w:r>
        <w:rPr>
          <w:spacing w:val="-5"/>
        </w:rPr>
        <w:t> </w:t>
      </w:r>
      <w:r>
        <w:rPr/>
        <w:t>2040</w:t>
      </w:r>
      <w:r>
        <w:rPr>
          <w:spacing w:val="-4"/>
        </w:rPr>
        <w:t> </w:t>
      </w:r>
      <w:r>
        <w:rPr/>
        <w:t>but</w:t>
      </w:r>
      <w:r>
        <w:rPr>
          <w:spacing w:val="-5"/>
        </w:rPr>
        <w:t> </w:t>
      </w:r>
      <w:r>
        <w:rPr/>
        <w:t>is</w:t>
      </w:r>
      <w:r>
        <w:rPr>
          <w:spacing w:val="-3"/>
        </w:rPr>
        <w:t> </w:t>
      </w:r>
      <w:r>
        <w:rPr/>
        <w:t>unavailable</w:t>
      </w:r>
      <w:r>
        <w:rPr>
          <w:spacing w:val="-4"/>
        </w:rPr>
        <w:t> </w:t>
      </w:r>
      <w:r>
        <w:rPr/>
        <w:t>during</w:t>
      </w:r>
      <w:r>
        <w:rPr>
          <w:spacing w:val="-3"/>
        </w:rPr>
        <w:t> </w:t>
      </w:r>
      <w:r>
        <w:rPr/>
        <w:t>this</w:t>
      </w:r>
      <w:r>
        <w:rPr>
          <w:spacing w:val="-3"/>
        </w:rPr>
        <w:t> </w:t>
      </w:r>
      <w:r>
        <w:rPr/>
        <w:t>Comprehensive</w:t>
      </w:r>
      <w:r>
        <w:rPr>
          <w:spacing w:val="-4"/>
        </w:rPr>
        <w:t> </w:t>
      </w:r>
      <w:r>
        <w:rPr/>
        <w:t>Plan</w:t>
      </w:r>
      <w:r>
        <w:rPr>
          <w:spacing w:val="-6"/>
        </w:rPr>
        <w:t> </w:t>
      </w:r>
      <w:r>
        <w:rPr/>
        <w:t>Update.</w:t>
      </w:r>
      <w:r>
        <w:rPr>
          <w:spacing w:val="-4"/>
        </w:rPr>
        <w:t> </w:t>
      </w:r>
      <w:r>
        <w:rPr/>
        <w:t>Once</w:t>
      </w:r>
      <w:r>
        <w:rPr>
          <w:spacing w:val="-4"/>
        </w:rPr>
        <w:t> </w:t>
      </w:r>
      <w:r>
        <w:rPr/>
        <w:t>updated,</w:t>
      </w:r>
      <w:r>
        <w:rPr>
          <w:spacing w:val="-4"/>
        </w:rPr>
        <w:t> </w:t>
      </w:r>
      <w:r>
        <w:rPr/>
        <w:t>the</w:t>
      </w:r>
      <w:r>
        <w:rPr>
          <w:spacing w:val="-6"/>
        </w:rPr>
        <w:t> </w:t>
      </w:r>
      <w:r>
        <w:rPr/>
        <w:t>City</w:t>
      </w:r>
      <w:r>
        <w:rPr>
          <w:spacing w:val="-5"/>
        </w:rPr>
        <w:t> </w:t>
      </w:r>
      <w:r>
        <w:rPr/>
        <w:t>will review the results and plan accordingly to address congestion that is anticipated in the long-range scenarios beyond those that are already</w:t>
      </w:r>
      <w:r>
        <w:rPr>
          <w:spacing w:val="-7"/>
        </w:rPr>
        <w:t> </w:t>
      </w:r>
      <w:r>
        <w:rPr/>
        <w:t>identified.</w:t>
      </w:r>
    </w:p>
    <w:p>
      <w:pPr>
        <w:pStyle w:val="BodyText"/>
        <w:spacing w:before="121"/>
        <w:ind w:left="140" w:right="336"/>
        <w:jc w:val="both"/>
      </w:pPr>
      <w:r>
        <w:rPr/>
        <w:t>It</w:t>
      </w:r>
      <w:r>
        <w:rPr>
          <w:spacing w:val="-9"/>
        </w:rPr>
        <w:t> </w:t>
      </w:r>
      <w:r>
        <w:rPr/>
        <w:t>must</w:t>
      </w:r>
      <w:r>
        <w:rPr>
          <w:spacing w:val="-8"/>
        </w:rPr>
        <w:t> </w:t>
      </w:r>
      <w:r>
        <w:rPr/>
        <w:t>be</w:t>
      </w:r>
      <w:r>
        <w:rPr>
          <w:spacing w:val="-9"/>
        </w:rPr>
        <w:t> </w:t>
      </w:r>
      <w:r>
        <w:rPr/>
        <w:t>recognized</w:t>
      </w:r>
      <w:r>
        <w:rPr>
          <w:spacing w:val="-8"/>
        </w:rPr>
        <w:t> </w:t>
      </w:r>
      <w:r>
        <w:rPr/>
        <w:t>that</w:t>
      </w:r>
      <w:r>
        <w:rPr>
          <w:spacing w:val="-12"/>
        </w:rPr>
        <w:t> </w:t>
      </w:r>
      <w:r>
        <w:rPr/>
        <w:t>although</w:t>
      </w:r>
      <w:r>
        <w:rPr>
          <w:spacing w:val="-8"/>
        </w:rPr>
        <w:t> </w:t>
      </w:r>
      <w:r>
        <w:rPr/>
        <w:t>traffic</w:t>
      </w:r>
      <w:r>
        <w:rPr>
          <w:spacing w:val="-11"/>
        </w:rPr>
        <w:t> </w:t>
      </w:r>
      <w:r>
        <w:rPr/>
        <w:t>models</w:t>
      </w:r>
      <w:r>
        <w:rPr>
          <w:spacing w:val="-7"/>
        </w:rPr>
        <w:t> </w:t>
      </w:r>
      <w:r>
        <w:rPr/>
        <w:t>are</w:t>
      </w:r>
      <w:r>
        <w:rPr>
          <w:spacing w:val="-9"/>
        </w:rPr>
        <w:t> </w:t>
      </w:r>
      <w:r>
        <w:rPr/>
        <w:t>calibrated</w:t>
      </w:r>
      <w:r>
        <w:rPr>
          <w:spacing w:val="-8"/>
        </w:rPr>
        <w:t> </w:t>
      </w:r>
      <w:r>
        <w:rPr/>
        <w:t>within</w:t>
      </w:r>
      <w:r>
        <w:rPr>
          <w:spacing w:val="-10"/>
        </w:rPr>
        <w:t> </w:t>
      </w:r>
      <w:r>
        <w:rPr/>
        <w:t>acceptable</w:t>
      </w:r>
      <w:r>
        <w:rPr>
          <w:spacing w:val="-8"/>
        </w:rPr>
        <w:t> </w:t>
      </w:r>
      <w:r>
        <w:rPr/>
        <w:t>ranges,</w:t>
      </w:r>
      <w:r>
        <w:rPr>
          <w:spacing w:val="-9"/>
        </w:rPr>
        <w:t> </w:t>
      </w:r>
      <w:r>
        <w:rPr/>
        <w:t>the</w:t>
      </w:r>
      <w:r>
        <w:rPr>
          <w:spacing w:val="-8"/>
        </w:rPr>
        <w:t> </w:t>
      </w:r>
      <w:r>
        <w:rPr/>
        <w:t>model is just one tool in transportation planning and traffic forecasting. The Benton Franklin Council of Governments model is a PM peak hour model that provides roadway segment volumes (not specific turn movement</w:t>
      </w:r>
      <w:r>
        <w:rPr>
          <w:spacing w:val="-4"/>
        </w:rPr>
        <w:t> </w:t>
      </w:r>
      <w:r>
        <w:rPr/>
        <w:t>volumes).</w:t>
      </w:r>
    </w:p>
    <w:p>
      <w:pPr>
        <w:pStyle w:val="BodyText"/>
        <w:spacing w:before="118"/>
        <w:ind w:left="140" w:right="333"/>
        <w:jc w:val="both"/>
      </w:pPr>
      <w:r>
        <w:rPr/>
        <w:t>A</w:t>
      </w:r>
      <w:r>
        <w:rPr>
          <w:spacing w:val="-13"/>
        </w:rPr>
        <w:t> </w:t>
      </w:r>
      <w:r>
        <w:rPr/>
        <w:t>major</w:t>
      </w:r>
      <w:r>
        <w:rPr>
          <w:spacing w:val="-12"/>
        </w:rPr>
        <w:t> </w:t>
      </w:r>
      <w:r>
        <w:rPr/>
        <w:t>transportation</w:t>
      </w:r>
      <w:r>
        <w:rPr>
          <w:spacing w:val="-12"/>
        </w:rPr>
        <w:t> </w:t>
      </w:r>
      <w:r>
        <w:rPr/>
        <w:t>challenge</w:t>
      </w:r>
      <w:r>
        <w:rPr>
          <w:spacing w:val="-11"/>
        </w:rPr>
        <w:t> </w:t>
      </w:r>
      <w:r>
        <w:rPr/>
        <w:t>within</w:t>
      </w:r>
      <w:r>
        <w:rPr>
          <w:spacing w:val="-12"/>
        </w:rPr>
        <w:t> </w:t>
      </w:r>
      <w:r>
        <w:rPr/>
        <w:t>the</w:t>
      </w:r>
      <w:r>
        <w:rPr>
          <w:spacing w:val="-14"/>
        </w:rPr>
        <w:t> </w:t>
      </w:r>
      <w:r>
        <w:rPr/>
        <w:t>City</w:t>
      </w:r>
      <w:r>
        <w:rPr>
          <w:spacing w:val="-12"/>
        </w:rPr>
        <w:t> </w:t>
      </w:r>
      <w:r>
        <w:rPr/>
        <w:t>of</w:t>
      </w:r>
      <w:r>
        <w:rPr>
          <w:spacing w:val="-14"/>
        </w:rPr>
        <w:t> </w:t>
      </w:r>
      <w:r>
        <w:rPr/>
        <w:t>Richland</w:t>
      </w:r>
      <w:r>
        <w:rPr>
          <w:spacing w:val="-13"/>
        </w:rPr>
        <w:t> </w:t>
      </w:r>
      <w:r>
        <w:rPr/>
        <w:t>transportation</w:t>
      </w:r>
      <w:r>
        <w:rPr>
          <w:spacing w:val="-12"/>
        </w:rPr>
        <w:t> </w:t>
      </w:r>
      <w:r>
        <w:rPr/>
        <w:t>system</w:t>
      </w:r>
      <w:r>
        <w:rPr>
          <w:spacing w:val="-13"/>
        </w:rPr>
        <w:t> </w:t>
      </w:r>
      <w:r>
        <w:rPr/>
        <w:t>is</w:t>
      </w:r>
      <w:r>
        <w:rPr>
          <w:spacing w:val="-13"/>
        </w:rPr>
        <w:t> </w:t>
      </w:r>
      <w:r>
        <w:rPr/>
        <w:t>for</w:t>
      </w:r>
      <w:r>
        <w:rPr>
          <w:spacing w:val="-12"/>
        </w:rPr>
        <w:t> </w:t>
      </w:r>
      <w:r>
        <w:rPr/>
        <w:t>north-south travel. Several factors contribute to this situation, including the major regional employers situated north of the City, combined with the fact that significant housing that is provided south and east of the Yakima and Columbia Rivers within the region. Regional commute traffic from south Richland, Kennewick and Pasco, is currently limited to SR 240 and George Washington Way for north-south travel through the City of Richland because of the challenge of providing adequate capacity to cross the Yakima River to the south and Columbia River to the east. I-182 also creates a barrier given that there are only three access points and four crossings within the City as</w:t>
      </w:r>
      <w:r>
        <w:rPr>
          <w:spacing w:val="-17"/>
        </w:rPr>
        <w:t> </w:t>
      </w:r>
      <w:r>
        <w:rPr/>
        <w:t>well.</w:t>
      </w:r>
    </w:p>
    <w:p>
      <w:pPr>
        <w:pStyle w:val="BodyText"/>
        <w:spacing w:before="120"/>
        <w:ind w:left="140" w:right="333"/>
        <w:jc w:val="both"/>
      </w:pPr>
      <w:r>
        <w:rPr/>
        <w:t>Congestion</w:t>
      </w:r>
      <w:r>
        <w:rPr>
          <w:spacing w:val="-5"/>
        </w:rPr>
        <w:t> </w:t>
      </w:r>
      <w:r>
        <w:rPr/>
        <w:t>as</w:t>
      </w:r>
      <w:r>
        <w:rPr>
          <w:spacing w:val="-3"/>
        </w:rPr>
        <w:t> </w:t>
      </w:r>
      <w:r>
        <w:rPr/>
        <w:t>a</w:t>
      </w:r>
      <w:r>
        <w:rPr>
          <w:spacing w:val="-4"/>
        </w:rPr>
        <w:t> </w:t>
      </w:r>
      <w:r>
        <w:rPr/>
        <w:t>result</w:t>
      </w:r>
      <w:r>
        <w:rPr>
          <w:spacing w:val="-5"/>
        </w:rPr>
        <w:t> </w:t>
      </w:r>
      <w:r>
        <w:rPr/>
        <w:t>of</w:t>
      </w:r>
      <w:r>
        <w:rPr>
          <w:spacing w:val="-4"/>
        </w:rPr>
        <w:t> </w:t>
      </w:r>
      <w:r>
        <w:rPr/>
        <w:t>this</w:t>
      </w:r>
      <w:r>
        <w:rPr>
          <w:spacing w:val="-3"/>
        </w:rPr>
        <w:t> </w:t>
      </w:r>
      <w:r>
        <w:rPr/>
        <w:t>north-south</w:t>
      </w:r>
      <w:r>
        <w:rPr>
          <w:spacing w:val="-4"/>
        </w:rPr>
        <w:t> </w:t>
      </w:r>
      <w:r>
        <w:rPr/>
        <w:t>demand</w:t>
      </w:r>
      <w:r>
        <w:rPr>
          <w:spacing w:val="-5"/>
        </w:rPr>
        <w:t> </w:t>
      </w:r>
      <w:r>
        <w:rPr/>
        <w:t>at</w:t>
      </w:r>
      <w:r>
        <w:rPr>
          <w:spacing w:val="-5"/>
        </w:rPr>
        <w:t> </w:t>
      </w:r>
      <w:r>
        <w:rPr/>
        <w:t>commute</w:t>
      </w:r>
      <w:r>
        <w:rPr>
          <w:spacing w:val="-4"/>
        </w:rPr>
        <w:t> </w:t>
      </w:r>
      <w:r>
        <w:rPr/>
        <w:t>times</w:t>
      </w:r>
      <w:r>
        <w:rPr>
          <w:spacing w:val="-3"/>
        </w:rPr>
        <w:t> </w:t>
      </w:r>
      <w:r>
        <w:rPr/>
        <w:t>is</w:t>
      </w:r>
      <w:r>
        <w:rPr>
          <w:spacing w:val="-3"/>
        </w:rPr>
        <w:t> </w:t>
      </w:r>
      <w:r>
        <w:rPr/>
        <w:t>manifest</w:t>
      </w:r>
      <w:r>
        <w:rPr>
          <w:spacing w:val="-5"/>
        </w:rPr>
        <w:t> </w:t>
      </w:r>
      <w:r>
        <w:rPr/>
        <w:t>at</w:t>
      </w:r>
      <w:r>
        <w:rPr>
          <w:spacing w:val="-5"/>
        </w:rPr>
        <w:t> </w:t>
      </w:r>
      <w:r>
        <w:rPr/>
        <w:t>the</w:t>
      </w:r>
      <w:r>
        <w:rPr>
          <w:spacing w:val="-4"/>
        </w:rPr>
        <w:t> </w:t>
      </w:r>
      <w:r>
        <w:rPr/>
        <w:t>I-182/George Washington Way interchange and also at I-182/SR 240/Aaron Drive interchange as well as most other</w:t>
      </w:r>
      <w:r>
        <w:rPr>
          <w:spacing w:val="-10"/>
        </w:rPr>
        <w:t> </w:t>
      </w:r>
      <w:r>
        <w:rPr/>
        <w:t>cross-streets</w:t>
      </w:r>
      <w:r>
        <w:rPr>
          <w:spacing w:val="-7"/>
        </w:rPr>
        <w:t> </w:t>
      </w:r>
      <w:r>
        <w:rPr/>
        <w:t>of</w:t>
      </w:r>
      <w:r>
        <w:rPr>
          <w:spacing w:val="-7"/>
        </w:rPr>
        <w:t> </w:t>
      </w:r>
      <w:r>
        <w:rPr/>
        <w:t>SR</w:t>
      </w:r>
      <w:r>
        <w:rPr>
          <w:spacing w:val="-9"/>
        </w:rPr>
        <w:t> </w:t>
      </w:r>
      <w:r>
        <w:rPr/>
        <w:t>240</w:t>
      </w:r>
      <w:r>
        <w:rPr>
          <w:spacing w:val="-8"/>
        </w:rPr>
        <w:t> </w:t>
      </w:r>
      <w:r>
        <w:rPr/>
        <w:t>such</w:t>
      </w:r>
      <w:r>
        <w:rPr>
          <w:spacing w:val="-7"/>
        </w:rPr>
        <w:t> </w:t>
      </w:r>
      <w:r>
        <w:rPr/>
        <w:t>as</w:t>
      </w:r>
      <w:r>
        <w:rPr>
          <w:spacing w:val="-6"/>
        </w:rPr>
        <w:t> </w:t>
      </w:r>
      <w:r>
        <w:rPr/>
        <w:t>Duportail</w:t>
      </w:r>
      <w:r>
        <w:rPr>
          <w:spacing w:val="-8"/>
        </w:rPr>
        <w:t> </w:t>
      </w:r>
      <w:r>
        <w:rPr/>
        <w:t>Street,</w:t>
      </w:r>
      <w:r>
        <w:rPr>
          <w:spacing w:val="-7"/>
        </w:rPr>
        <w:t> </w:t>
      </w:r>
      <w:r>
        <w:rPr/>
        <w:t>Swift</w:t>
      </w:r>
      <w:r>
        <w:rPr>
          <w:spacing w:val="-8"/>
        </w:rPr>
        <w:t> </w:t>
      </w:r>
      <w:r>
        <w:rPr/>
        <w:t>Boulevard,</w:t>
      </w:r>
      <w:r>
        <w:rPr>
          <w:spacing w:val="-9"/>
        </w:rPr>
        <w:t> </w:t>
      </w:r>
      <w:r>
        <w:rPr/>
        <w:t>Van</w:t>
      </w:r>
      <w:r>
        <w:rPr>
          <w:spacing w:val="-9"/>
        </w:rPr>
        <w:t> </w:t>
      </w:r>
      <w:r>
        <w:rPr/>
        <w:t>Giesen</w:t>
      </w:r>
      <w:r>
        <w:rPr>
          <w:spacing w:val="-8"/>
        </w:rPr>
        <w:t> </w:t>
      </w:r>
      <w:r>
        <w:rPr/>
        <w:t>Street</w:t>
      </w:r>
      <w:r>
        <w:rPr>
          <w:spacing w:val="-7"/>
        </w:rPr>
        <w:t> </w:t>
      </w:r>
      <w:r>
        <w:rPr/>
        <w:t>and</w:t>
      </w:r>
      <w:r>
        <w:rPr>
          <w:spacing w:val="-8"/>
        </w:rPr>
        <w:t> </w:t>
      </w:r>
      <w:r>
        <w:rPr/>
        <w:t>Jadwin Avenue. A related issue with this north-south congestion is the associated congestion at city street facilities that interface with the state highway facilities. For example SR 240/Columbia Park Trail and I-182/Queensgate</w:t>
      </w:r>
      <w:r>
        <w:rPr>
          <w:spacing w:val="-3"/>
        </w:rPr>
        <w:t> </w:t>
      </w:r>
      <w:r>
        <w:rPr/>
        <w:t>Drive.</w:t>
      </w:r>
    </w:p>
    <w:p>
      <w:pPr>
        <w:pStyle w:val="BodyText"/>
        <w:spacing w:before="121"/>
        <w:ind w:left="140" w:right="333"/>
        <w:jc w:val="both"/>
      </w:pPr>
      <w:r>
        <w:rPr/>
        <w:t>The 2032 Regional Transportation Model was reviewed for deficiencies, and as noted above identifies several locations of anticipated future deficiencies. Many of the corridors discussed above have</w:t>
      </w:r>
      <w:r>
        <w:rPr>
          <w:spacing w:val="-6"/>
        </w:rPr>
        <w:t> </w:t>
      </w:r>
      <w:r>
        <w:rPr/>
        <w:t>been</w:t>
      </w:r>
      <w:r>
        <w:rPr>
          <w:spacing w:val="-10"/>
        </w:rPr>
        <w:t> </w:t>
      </w:r>
      <w:r>
        <w:rPr/>
        <w:t>studied</w:t>
      </w:r>
      <w:r>
        <w:rPr>
          <w:spacing w:val="-7"/>
        </w:rPr>
        <w:t> </w:t>
      </w:r>
      <w:r>
        <w:rPr/>
        <w:t>by</w:t>
      </w:r>
      <w:r>
        <w:rPr>
          <w:spacing w:val="-7"/>
        </w:rPr>
        <w:t> </w:t>
      </w:r>
      <w:r>
        <w:rPr/>
        <w:t>the</w:t>
      </w:r>
      <w:r>
        <w:rPr>
          <w:spacing w:val="-9"/>
        </w:rPr>
        <w:t> </w:t>
      </w:r>
      <w:r>
        <w:rPr/>
        <w:t>City</w:t>
      </w:r>
      <w:r>
        <w:rPr>
          <w:spacing w:val="-8"/>
        </w:rPr>
        <w:t> </w:t>
      </w:r>
      <w:r>
        <w:rPr/>
        <w:t>to</w:t>
      </w:r>
      <w:r>
        <w:rPr>
          <w:spacing w:val="-5"/>
        </w:rPr>
        <w:t> </w:t>
      </w:r>
      <w:r>
        <w:rPr/>
        <w:t>better</w:t>
      </w:r>
      <w:r>
        <w:rPr>
          <w:spacing w:val="-7"/>
        </w:rPr>
        <w:t> </w:t>
      </w:r>
      <w:r>
        <w:rPr/>
        <w:t>understand</w:t>
      </w:r>
      <w:r>
        <w:rPr>
          <w:spacing w:val="-9"/>
        </w:rPr>
        <w:t> </w:t>
      </w:r>
      <w:r>
        <w:rPr/>
        <w:t>future</w:t>
      </w:r>
      <w:r>
        <w:rPr>
          <w:spacing w:val="-8"/>
        </w:rPr>
        <w:t> </w:t>
      </w:r>
      <w:r>
        <w:rPr/>
        <w:t>conditions</w:t>
      </w:r>
      <w:r>
        <w:rPr>
          <w:spacing w:val="-8"/>
        </w:rPr>
        <w:t> </w:t>
      </w:r>
      <w:r>
        <w:rPr/>
        <w:t>in</w:t>
      </w:r>
      <w:r>
        <w:rPr>
          <w:spacing w:val="-6"/>
        </w:rPr>
        <w:t> </w:t>
      </w:r>
      <w:r>
        <w:rPr/>
        <w:t>more</w:t>
      </w:r>
      <w:r>
        <w:rPr>
          <w:spacing w:val="-8"/>
        </w:rPr>
        <w:t> </w:t>
      </w:r>
      <w:r>
        <w:rPr/>
        <w:t>detail</w:t>
      </w:r>
      <w:r>
        <w:rPr>
          <w:spacing w:val="-9"/>
        </w:rPr>
        <w:t> </w:t>
      </w:r>
      <w:r>
        <w:rPr/>
        <w:t>and</w:t>
      </w:r>
      <w:r>
        <w:rPr>
          <w:spacing w:val="-7"/>
        </w:rPr>
        <w:t> </w:t>
      </w:r>
      <w:r>
        <w:rPr/>
        <w:t>to</w:t>
      </w:r>
      <w:r>
        <w:rPr>
          <w:spacing w:val="-5"/>
        </w:rPr>
        <w:t> </w:t>
      </w:r>
      <w:r>
        <w:rPr/>
        <w:t>determine appropriate</w:t>
      </w:r>
      <w:r>
        <w:rPr>
          <w:spacing w:val="-12"/>
        </w:rPr>
        <w:t> </w:t>
      </w:r>
      <w:r>
        <w:rPr/>
        <w:t>solutions</w:t>
      </w:r>
      <w:r>
        <w:rPr>
          <w:spacing w:val="-11"/>
        </w:rPr>
        <w:t> </w:t>
      </w:r>
      <w:r>
        <w:rPr/>
        <w:t>to</w:t>
      </w:r>
      <w:r>
        <w:rPr>
          <w:spacing w:val="-12"/>
        </w:rPr>
        <w:t> </w:t>
      </w:r>
      <w:r>
        <w:rPr/>
        <w:t>address</w:t>
      </w:r>
      <w:r>
        <w:rPr>
          <w:spacing w:val="-10"/>
        </w:rPr>
        <w:t> </w:t>
      </w:r>
      <w:r>
        <w:rPr/>
        <w:t>anticipated</w:t>
      </w:r>
      <w:r>
        <w:rPr>
          <w:spacing w:val="-13"/>
        </w:rPr>
        <w:t> </w:t>
      </w:r>
      <w:r>
        <w:rPr/>
        <w:t>transportation</w:t>
      </w:r>
      <w:r>
        <w:rPr>
          <w:spacing w:val="-13"/>
        </w:rPr>
        <w:t> </w:t>
      </w:r>
      <w:r>
        <w:rPr/>
        <w:t>issues.</w:t>
      </w:r>
      <w:r>
        <w:rPr>
          <w:spacing w:val="25"/>
        </w:rPr>
        <w:t> </w:t>
      </w:r>
      <w:r>
        <w:rPr/>
        <w:t>Such</w:t>
      </w:r>
      <w:r>
        <w:rPr>
          <w:spacing w:val="-12"/>
        </w:rPr>
        <w:t> </w:t>
      </w:r>
      <w:r>
        <w:rPr/>
        <w:t>studies</w:t>
      </w:r>
      <w:r>
        <w:rPr>
          <w:spacing w:val="-10"/>
        </w:rPr>
        <w:t> </w:t>
      </w:r>
      <w:r>
        <w:rPr/>
        <w:t>have</w:t>
      </w:r>
      <w:r>
        <w:rPr>
          <w:spacing w:val="-12"/>
        </w:rPr>
        <w:t> </w:t>
      </w:r>
      <w:r>
        <w:rPr/>
        <w:t>considered</w:t>
      </w:r>
      <w:r>
        <w:rPr>
          <w:spacing w:val="-13"/>
        </w:rPr>
        <w:t> </w:t>
      </w:r>
      <w:r>
        <w:rPr/>
        <w:t>the following improvements for these corridors, and the projects have already been included above in Table T-3 Transportation Improvement</w:t>
      </w:r>
      <w:r>
        <w:rPr>
          <w:spacing w:val="-12"/>
        </w:rPr>
        <w:t> </w:t>
      </w:r>
      <w:r>
        <w:rPr/>
        <w:t>Program:</w:t>
      </w:r>
    </w:p>
    <w:p>
      <w:pPr>
        <w:pStyle w:val="ListParagraph"/>
        <w:numPr>
          <w:ilvl w:val="2"/>
          <w:numId w:val="5"/>
        </w:numPr>
        <w:tabs>
          <w:tab w:pos="861" w:val="left" w:leader="none"/>
        </w:tabs>
        <w:spacing w:line="240" w:lineRule="auto" w:before="61" w:after="0"/>
        <w:ind w:left="860" w:right="0" w:hanging="361"/>
        <w:jc w:val="both"/>
        <w:rPr>
          <w:sz w:val="22"/>
        </w:rPr>
      </w:pPr>
      <w:r>
        <w:rPr>
          <w:sz w:val="22"/>
        </w:rPr>
        <w:t>Southern</w:t>
      </w:r>
      <w:r>
        <w:rPr>
          <w:spacing w:val="-8"/>
          <w:sz w:val="22"/>
        </w:rPr>
        <w:t> </w:t>
      </w:r>
      <w:r>
        <w:rPr>
          <w:sz w:val="22"/>
        </w:rPr>
        <w:t>portion</w:t>
      </w:r>
      <w:r>
        <w:rPr>
          <w:spacing w:val="-6"/>
          <w:sz w:val="22"/>
        </w:rPr>
        <w:t> </w:t>
      </w:r>
      <w:r>
        <w:rPr>
          <w:sz w:val="22"/>
        </w:rPr>
        <w:t>of</w:t>
      </w:r>
      <w:r>
        <w:rPr>
          <w:spacing w:val="-6"/>
          <w:sz w:val="22"/>
        </w:rPr>
        <w:t> </w:t>
      </w:r>
      <w:r>
        <w:rPr>
          <w:sz w:val="22"/>
        </w:rPr>
        <w:t>the</w:t>
      </w:r>
      <w:r>
        <w:rPr>
          <w:spacing w:val="-5"/>
          <w:sz w:val="22"/>
        </w:rPr>
        <w:t> </w:t>
      </w:r>
      <w:r>
        <w:rPr>
          <w:sz w:val="22"/>
        </w:rPr>
        <w:t>George</w:t>
      </w:r>
      <w:r>
        <w:rPr>
          <w:spacing w:val="-6"/>
          <w:sz w:val="22"/>
        </w:rPr>
        <w:t> </w:t>
      </w:r>
      <w:r>
        <w:rPr>
          <w:sz w:val="22"/>
        </w:rPr>
        <w:t>Washington</w:t>
      </w:r>
      <w:r>
        <w:rPr>
          <w:spacing w:val="-6"/>
          <w:sz w:val="22"/>
        </w:rPr>
        <w:t> </w:t>
      </w:r>
      <w:r>
        <w:rPr>
          <w:sz w:val="22"/>
        </w:rPr>
        <w:t>Way</w:t>
      </w:r>
      <w:r>
        <w:rPr>
          <w:spacing w:val="-8"/>
          <w:sz w:val="22"/>
        </w:rPr>
        <w:t> </w:t>
      </w:r>
      <w:r>
        <w:rPr>
          <w:sz w:val="22"/>
        </w:rPr>
        <w:t>corridor</w:t>
      </w:r>
      <w:r>
        <w:rPr>
          <w:spacing w:val="-6"/>
          <w:sz w:val="22"/>
        </w:rPr>
        <w:t> </w:t>
      </w:r>
      <w:r>
        <w:rPr>
          <w:sz w:val="22"/>
        </w:rPr>
        <w:t>in</w:t>
      </w:r>
      <w:r>
        <w:rPr>
          <w:spacing w:val="-7"/>
          <w:sz w:val="22"/>
        </w:rPr>
        <w:t> </w:t>
      </w:r>
      <w:r>
        <w:rPr>
          <w:sz w:val="22"/>
        </w:rPr>
        <w:t>the</w:t>
      </w:r>
      <w:r>
        <w:rPr>
          <w:spacing w:val="-6"/>
          <w:sz w:val="22"/>
        </w:rPr>
        <w:t> </w:t>
      </w:r>
      <w:r>
        <w:rPr>
          <w:sz w:val="22"/>
        </w:rPr>
        <w:t>vicinity</w:t>
      </w:r>
      <w:r>
        <w:rPr>
          <w:spacing w:val="-7"/>
          <w:sz w:val="22"/>
        </w:rPr>
        <w:t> </w:t>
      </w:r>
      <w:r>
        <w:rPr>
          <w:sz w:val="22"/>
        </w:rPr>
        <w:t>of</w:t>
      </w:r>
      <w:r>
        <w:rPr>
          <w:spacing w:val="-6"/>
          <w:sz w:val="22"/>
        </w:rPr>
        <w:t> </w:t>
      </w:r>
      <w:r>
        <w:rPr>
          <w:sz w:val="22"/>
        </w:rPr>
        <w:t>I-182</w:t>
      </w:r>
      <w:r>
        <w:rPr>
          <w:spacing w:val="-6"/>
          <w:sz w:val="22"/>
        </w:rPr>
        <w:t> </w:t>
      </w:r>
      <w:r>
        <w:rPr>
          <w:sz w:val="22"/>
        </w:rPr>
        <w:t>interchange</w:t>
      </w:r>
    </w:p>
    <w:p>
      <w:pPr>
        <w:pStyle w:val="ListParagraph"/>
        <w:numPr>
          <w:ilvl w:val="2"/>
          <w:numId w:val="5"/>
        </w:numPr>
        <w:tabs>
          <w:tab w:pos="861" w:val="left" w:leader="none"/>
        </w:tabs>
        <w:spacing w:line="240" w:lineRule="auto" w:before="58" w:after="0"/>
        <w:ind w:left="860" w:right="0" w:hanging="361"/>
        <w:jc w:val="both"/>
        <w:rPr>
          <w:sz w:val="22"/>
        </w:rPr>
      </w:pPr>
      <w:r>
        <w:rPr>
          <w:sz w:val="22"/>
        </w:rPr>
        <w:t>Queensgate Drive/I-182 Interchange eastbound ramps to the</w:t>
      </w:r>
      <w:r>
        <w:rPr>
          <w:spacing w:val="-8"/>
          <w:sz w:val="22"/>
        </w:rPr>
        <w:t> </w:t>
      </w:r>
      <w:r>
        <w:rPr>
          <w:sz w:val="22"/>
        </w:rPr>
        <w:t>south</w:t>
      </w:r>
    </w:p>
    <w:p>
      <w:pPr>
        <w:pStyle w:val="BodyText"/>
        <w:spacing w:before="122"/>
        <w:ind w:left="140" w:right="334"/>
        <w:jc w:val="both"/>
      </w:pPr>
      <w:r>
        <w:rPr/>
        <w:t>Relatively few congestion issues exist on the local street system as the City has engaged in planning and financing efforts for the South Richland Collector system. Completed projects such as Steptoe Street south of Gage Boulevard to Clearwater Avenue have helped to alleviate congestion. The extension</w:t>
      </w:r>
      <w:r>
        <w:rPr>
          <w:spacing w:val="-12"/>
        </w:rPr>
        <w:t> </w:t>
      </w:r>
      <w:r>
        <w:rPr/>
        <w:t>of</w:t>
      </w:r>
      <w:r>
        <w:rPr>
          <w:spacing w:val="-11"/>
        </w:rPr>
        <w:t> </w:t>
      </w:r>
      <w:r>
        <w:rPr/>
        <w:t>Rachel</w:t>
      </w:r>
      <w:r>
        <w:rPr>
          <w:spacing w:val="-10"/>
        </w:rPr>
        <w:t> </w:t>
      </w:r>
      <w:r>
        <w:rPr/>
        <w:t>Road</w:t>
      </w:r>
      <w:r>
        <w:rPr>
          <w:spacing w:val="-14"/>
        </w:rPr>
        <w:t> </w:t>
      </w:r>
      <w:r>
        <w:rPr/>
        <w:t>between</w:t>
      </w:r>
      <w:r>
        <w:rPr>
          <w:spacing w:val="-11"/>
        </w:rPr>
        <w:t> </w:t>
      </w:r>
      <w:r>
        <w:rPr/>
        <w:t>Leslie</w:t>
      </w:r>
      <w:r>
        <w:rPr>
          <w:spacing w:val="-11"/>
        </w:rPr>
        <w:t> </w:t>
      </w:r>
      <w:r>
        <w:rPr/>
        <w:t>Road</w:t>
      </w:r>
      <w:r>
        <w:rPr>
          <w:spacing w:val="-11"/>
        </w:rPr>
        <w:t> </w:t>
      </w:r>
      <w:r>
        <w:rPr/>
        <w:t>and</w:t>
      </w:r>
      <w:r>
        <w:rPr>
          <w:spacing w:val="-14"/>
        </w:rPr>
        <w:t> </w:t>
      </w:r>
      <w:r>
        <w:rPr/>
        <w:t>Steptoe</w:t>
      </w:r>
      <w:r>
        <w:rPr>
          <w:spacing w:val="-14"/>
        </w:rPr>
        <w:t> </w:t>
      </w:r>
      <w:r>
        <w:rPr/>
        <w:t>Street</w:t>
      </w:r>
      <w:r>
        <w:rPr>
          <w:spacing w:val="-11"/>
        </w:rPr>
        <w:t> </w:t>
      </w:r>
      <w:r>
        <w:rPr/>
        <w:t>will</w:t>
      </w:r>
      <w:r>
        <w:rPr>
          <w:spacing w:val="-12"/>
        </w:rPr>
        <w:t> </w:t>
      </w:r>
      <w:r>
        <w:rPr/>
        <w:t>also</w:t>
      </w:r>
      <w:r>
        <w:rPr>
          <w:spacing w:val="-10"/>
        </w:rPr>
        <w:t> </w:t>
      </w:r>
      <w:r>
        <w:rPr/>
        <w:t>help</w:t>
      </w:r>
      <w:r>
        <w:rPr>
          <w:spacing w:val="-12"/>
        </w:rPr>
        <w:t> </w:t>
      </w:r>
      <w:r>
        <w:rPr/>
        <w:t>to</w:t>
      </w:r>
      <w:r>
        <w:rPr>
          <w:spacing w:val="-10"/>
        </w:rPr>
        <w:t> </w:t>
      </w:r>
      <w:r>
        <w:rPr/>
        <w:t>address</w:t>
      </w:r>
      <w:r>
        <w:rPr>
          <w:spacing w:val="-10"/>
        </w:rPr>
        <w:t> </w:t>
      </w:r>
      <w:r>
        <w:rPr/>
        <w:t>congestion on</w:t>
      </w:r>
      <w:r>
        <w:rPr>
          <w:spacing w:val="-9"/>
        </w:rPr>
        <w:t> </w:t>
      </w:r>
      <w:r>
        <w:rPr/>
        <w:t>other</w:t>
      </w:r>
      <w:r>
        <w:rPr>
          <w:spacing w:val="-8"/>
        </w:rPr>
        <w:t> </w:t>
      </w:r>
      <w:r>
        <w:rPr/>
        <w:t>facilities</w:t>
      </w:r>
      <w:r>
        <w:rPr>
          <w:spacing w:val="-9"/>
        </w:rPr>
        <w:t> </w:t>
      </w:r>
      <w:r>
        <w:rPr/>
        <w:t>such</w:t>
      </w:r>
      <w:r>
        <w:rPr>
          <w:spacing w:val="-6"/>
        </w:rPr>
        <w:t> </w:t>
      </w:r>
      <w:r>
        <w:rPr/>
        <w:t>as</w:t>
      </w:r>
      <w:r>
        <w:rPr>
          <w:spacing w:val="-9"/>
        </w:rPr>
        <w:t> </w:t>
      </w:r>
      <w:r>
        <w:rPr/>
        <w:t>Gage</w:t>
      </w:r>
      <w:r>
        <w:rPr>
          <w:spacing w:val="-8"/>
        </w:rPr>
        <w:t> </w:t>
      </w:r>
      <w:r>
        <w:rPr/>
        <w:t>Boulevard.</w:t>
      </w:r>
      <w:r>
        <w:rPr>
          <w:spacing w:val="-10"/>
        </w:rPr>
        <w:t> </w:t>
      </w:r>
      <w:r>
        <w:rPr/>
        <w:t>Some</w:t>
      </w:r>
      <w:r>
        <w:rPr>
          <w:spacing w:val="-9"/>
        </w:rPr>
        <w:t> </w:t>
      </w:r>
      <w:r>
        <w:rPr/>
        <w:t>long</w:t>
      </w:r>
      <w:r>
        <w:rPr>
          <w:spacing w:val="-6"/>
        </w:rPr>
        <w:t> </w:t>
      </w:r>
      <w:r>
        <w:rPr/>
        <w:t>range</w:t>
      </w:r>
      <w:r>
        <w:rPr>
          <w:spacing w:val="-7"/>
        </w:rPr>
        <w:t> </w:t>
      </w:r>
      <w:r>
        <w:rPr/>
        <w:t>projects,</w:t>
      </w:r>
      <w:r>
        <w:rPr>
          <w:spacing w:val="-9"/>
        </w:rPr>
        <w:t> </w:t>
      </w:r>
      <w:r>
        <w:rPr/>
        <w:t>in</w:t>
      </w:r>
      <w:r>
        <w:rPr>
          <w:spacing w:val="-9"/>
        </w:rPr>
        <w:t> </w:t>
      </w:r>
      <w:r>
        <w:rPr/>
        <w:t>addition</w:t>
      </w:r>
      <w:r>
        <w:rPr>
          <w:spacing w:val="-9"/>
        </w:rPr>
        <w:t> </w:t>
      </w:r>
      <w:r>
        <w:rPr/>
        <w:t>to</w:t>
      </w:r>
      <w:r>
        <w:rPr>
          <w:spacing w:val="-7"/>
        </w:rPr>
        <w:t> </w:t>
      </w:r>
      <w:r>
        <w:rPr/>
        <w:t>those</w:t>
      </w:r>
      <w:r>
        <w:rPr>
          <w:spacing w:val="-6"/>
        </w:rPr>
        <w:t> </w:t>
      </w:r>
      <w:r>
        <w:rPr/>
        <w:t>listed</w:t>
      </w:r>
      <w:r>
        <w:rPr>
          <w:spacing w:val="-8"/>
        </w:rPr>
        <w:t> </w:t>
      </w:r>
      <w:r>
        <w:rPr/>
        <w:t>above under existing deficiencies, have already been identified by City Staff and are included in the 2040 regional</w:t>
      </w:r>
      <w:r>
        <w:rPr>
          <w:spacing w:val="-8"/>
        </w:rPr>
        <w:t> </w:t>
      </w:r>
      <w:r>
        <w:rPr/>
        <w:t>modeling</w:t>
      </w:r>
      <w:r>
        <w:rPr>
          <w:spacing w:val="-4"/>
        </w:rPr>
        <w:t> </w:t>
      </w:r>
      <w:r>
        <w:rPr/>
        <w:t>process,</w:t>
      </w:r>
      <w:r>
        <w:rPr>
          <w:spacing w:val="-4"/>
        </w:rPr>
        <w:t> </w:t>
      </w:r>
      <w:r>
        <w:rPr/>
        <w:t>that</w:t>
      </w:r>
      <w:r>
        <w:rPr>
          <w:spacing w:val="-6"/>
        </w:rPr>
        <w:t> </w:t>
      </w:r>
      <w:r>
        <w:rPr/>
        <w:t>to</w:t>
      </w:r>
      <w:r>
        <w:rPr>
          <w:spacing w:val="-5"/>
        </w:rPr>
        <w:t> </w:t>
      </w:r>
      <w:r>
        <w:rPr/>
        <w:t>address</w:t>
      </w:r>
      <w:r>
        <w:rPr>
          <w:spacing w:val="-4"/>
        </w:rPr>
        <w:t> </w:t>
      </w:r>
      <w:r>
        <w:rPr/>
        <w:t>issues</w:t>
      </w:r>
      <w:r>
        <w:rPr>
          <w:spacing w:val="-3"/>
        </w:rPr>
        <w:t> </w:t>
      </w:r>
      <w:r>
        <w:rPr/>
        <w:t>identified</w:t>
      </w:r>
      <w:r>
        <w:rPr>
          <w:spacing w:val="-6"/>
        </w:rPr>
        <w:t> </w:t>
      </w:r>
      <w:r>
        <w:rPr/>
        <w:t>in</w:t>
      </w:r>
      <w:r>
        <w:rPr>
          <w:spacing w:val="-6"/>
        </w:rPr>
        <w:t> </w:t>
      </w:r>
      <w:r>
        <w:rPr/>
        <w:t>the</w:t>
      </w:r>
      <w:r>
        <w:rPr>
          <w:spacing w:val="-4"/>
        </w:rPr>
        <w:t> </w:t>
      </w:r>
      <w:r>
        <w:rPr/>
        <w:t>2032</w:t>
      </w:r>
      <w:r>
        <w:rPr>
          <w:spacing w:val="-5"/>
        </w:rPr>
        <w:t> </w:t>
      </w:r>
      <w:r>
        <w:rPr/>
        <w:t>regional</w:t>
      </w:r>
      <w:r>
        <w:rPr>
          <w:spacing w:val="-5"/>
        </w:rPr>
        <w:t> </w:t>
      </w:r>
      <w:r>
        <w:rPr/>
        <w:t>traffic</w:t>
      </w:r>
      <w:r>
        <w:rPr>
          <w:spacing w:val="-3"/>
        </w:rPr>
        <w:t> </w:t>
      </w:r>
      <w:r>
        <w:rPr/>
        <w:t>model.</w:t>
      </w:r>
      <w:r>
        <w:rPr>
          <w:spacing w:val="-5"/>
        </w:rPr>
        <w:t> </w:t>
      </w:r>
      <w:r>
        <w:rPr/>
        <w:t>Major projects of note</w:t>
      </w:r>
      <w:r>
        <w:rPr>
          <w:spacing w:val="-5"/>
        </w:rPr>
        <w:t> </w:t>
      </w:r>
      <w:r>
        <w:rPr/>
        <w:t>include:</w:t>
      </w:r>
    </w:p>
    <w:p>
      <w:pPr>
        <w:pStyle w:val="ListParagraph"/>
        <w:numPr>
          <w:ilvl w:val="2"/>
          <w:numId w:val="5"/>
        </w:numPr>
        <w:tabs>
          <w:tab w:pos="861" w:val="left" w:leader="none"/>
        </w:tabs>
        <w:spacing w:line="240" w:lineRule="auto" w:before="58" w:after="0"/>
        <w:ind w:left="860" w:right="0" w:hanging="361"/>
        <w:jc w:val="both"/>
        <w:rPr>
          <w:sz w:val="22"/>
        </w:rPr>
      </w:pPr>
      <w:r>
        <w:rPr>
          <w:sz w:val="22"/>
        </w:rPr>
        <w:t>I-182 / SR240 / Aaron Drive Interchange</w:t>
      </w:r>
      <w:r>
        <w:rPr>
          <w:spacing w:val="-11"/>
          <w:sz w:val="22"/>
        </w:rPr>
        <w:t> </w:t>
      </w:r>
      <w:r>
        <w:rPr>
          <w:sz w:val="22"/>
        </w:rPr>
        <w:t>Improvements</w:t>
      </w:r>
    </w:p>
    <w:p>
      <w:pPr>
        <w:spacing w:after="0" w:line="240" w:lineRule="auto"/>
        <w:jc w:val="both"/>
        <w:rPr>
          <w:sz w:val="22"/>
        </w:rPr>
        <w:sectPr>
          <w:pgSz w:w="12240" w:h="15840"/>
          <w:pgMar w:header="0" w:footer="1132" w:top="1360" w:bottom="1320" w:left="1300" w:right="1100"/>
        </w:sectPr>
      </w:pPr>
    </w:p>
    <w:p>
      <w:pPr>
        <w:pStyle w:val="ListParagraph"/>
        <w:numPr>
          <w:ilvl w:val="2"/>
          <w:numId w:val="5"/>
        </w:numPr>
        <w:tabs>
          <w:tab w:pos="861" w:val="left" w:leader="none"/>
        </w:tabs>
        <w:spacing w:line="240" w:lineRule="auto" w:before="80" w:after="0"/>
        <w:ind w:left="860" w:right="0" w:hanging="362"/>
        <w:jc w:val="both"/>
        <w:rPr>
          <w:sz w:val="22"/>
        </w:rPr>
      </w:pPr>
      <w:r>
        <w:rPr>
          <w:sz w:val="22"/>
        </w:rPr>
        <w:t>Kingsgate / Queensgate</w:t>
      </w:r>
      <w:r>
        <w:rPr>
          <w:spacing w:val="-4"/>
          <w:sz w:val="22"/>
        </w:rPr>
        <w:t> </w:t>
      </w:r>
      <w:r>
        <w:rPr>
          <w:sz w:val="22"/>
        </w:rPr>
        <w:t>Corridor</w:t>
      </w:r>
    </w:p>
    <w:p>
      <w:pPr>
        <w:pStyle w:val="BodyText"/>
        <w:spacing w:before="119"/>
        <w:ind w:left="140" w:right="336"/>
        <w:jc w:val="both"/>
      </w:pPr>
      <w:r>
        <w:rPr/>
        <w:t>These projects are listed below in the recommendations section as well, along with other projects identified in the South Richland Collector Financing Program that has set impact fees for development.</w:t>
      </w:r>
    </w:p>
    <w:p>
      <w:pPr>
        <w:pStyle w:val="BodyText"/>
        <w:spacing w:before="121"/>
        <w:ind w:left="140" w:right="334"/>
        <w:jc w:val="both"/>
      </w:pPr>
      <w:r>
        <w:rPr/>
        <w:t>The BFCOG also conducted a study for an additional crossing of the Columbia River. Although not likely</w:t>
      </w:r>
      <w:r>
        <w:rPr>
          <w:spacing w:val="-5"/>
        </w:rPr>
        <w:t> </w:t>
      </w:r>
      <w:r>
        <w:rPr/>
        <w:t>to</w:t>
      </w:r>
      <w:r>
        <w:rPr>
          <w:spacing w:val="-4"/>
        </w:rPr>
        <w:t> </w:t>
      </w:r>
      <w:r>
        <w:rPr/>
        <w:t>be</w:t>
      </w:r>
      <w:r>
        <w:rPr>
          <w:spacing w:val="-4"/>
        </w:rPr>
        <w:t> </w:t>
      </w:r>
      <w:r>
        <w:rPr/>
        <w:t>funded</w:t>
      </w:r>
      <w:r>
        <w:rPr>
          <w:spacing w:val="-5"/>
        </w:rPr>
        <w:t> </w:t>
      </w:r>
      <w:r>
        <w:rPr/>
        <w:t>within</w:t>
      </w:r>
      <w:r>
        <w:rPr>
          <w:spacing w:val="-8"/>
        </w:rPr>
        <w:t> </w:t>
      </w:r>
      <w:r>
        <w:rPr/>
        <w:t>the</w:t>
      </w:r>
      <w:r>
        <w:rPr>
          <w:spacing w:val="-4"/>
        </w:rPr>
        <w:t> </w:t>
      </w:r>
      <w:r>
        <w:rPr/>
        <w:t>next</w:t>
      </w:r>
      <w:r>
        <w:rPr>
          <w:spacing w:val="-5"/>
        </w:rPr>
        <w:t> </w:t>
      </w:r>
      <w:r>
        <w:rPr/>
        <w:t>20</w:t>
      </w:r>
      <w:r>
        <w:rPr>
          <w:spacing w:val="-4"/>
        </w:rPr>
        <w:t> </w:t>
      </w:r>
      <w:r>
        <w:rPr/>
        <w:t>years,</w:t>
      </w:r>
      <w:r>
        <w:rPr>
          <w:spacing w:val="-4"/>
        </w:rPr>
        <w:t> </w:t>
      </w:r>
      <w:r>
        <w:rPr/>
        <w:t>the</w:t>
      </w:r>
      <w:r>
        <w:rPr>
          <w:spacing w:val="-4"/>
        </w:rPr>
        <w:t> </w:t>
      </w:r>
      <w:r>
        <w:rPr/>
        <w:t>City</w:t>
      </w:r>
      <w:r>
        <w:rPr>
          <w:spacing w:val="-4"/>
        </w:rPr>
        <w:t> </w:t>
      </w:r>
      <w:r>
        <w:rPr/>
        <w:t>of</w:t>
      </w:r>
      <w:r>
        <w:rPr>
          <w:spacing w:val="-4"/>
        </w:rPr>
        <w:t> </w:t>
      </w:r>
      <w:r>
        <w:rPr/>
        <w:t>Richland</w:t>
      </w:r>
      <w:r>
        <w:rPr>
          <w:spacing w:val="-7"/>
        </w:rPr>
        <w:t> </w:t>
      </w:r>
      <w:r>
        <w:rPr/>
        <w:t>is</w:t>
      </w:r>
      <w:r>
        <w:rPr>
          <w:spacing w:val="-6"/>
        </w:rPr>
        <w:t> </w:t>
      </w:r>
      <w:r>
        <w:rPr/>
        <w:t>supportive</w:t>
      </w:r>
      <w:r>
        <w:rPr>
          <w:spacing w:val="-9"/>
        </w:rPr>
        <w:t> </w:t>
      </w:r>
      <w:r>
        <w:rPr/>
        <w:t>of</w:t>
      </w:r>
      <w:r>
        <w:rPr>
          <w:spacing w:val="-4"/>
        </w:rPr>
        <w:t> </w:t>
      </w:r>
      <w:r>
        <w:rPr/>
        <w:t>an</w:t>
      </w:r>
      <w:r>
        <w:rPr>
          <w:spacing w:val="-5"/>
        </w:rPr>
        <w:t> </w:t>
      </w:r>
      <w:r>
        <w:rPr/>
        <w:t>alternative</w:t>
      </w:r>
      <w:r>
        <w:rPr>
          <w:spacing w:val="-7"/>
        </w:rPr>
        <w:t> </w:t>
      </w:r>
      <w:r>
        <w:rPr/>
        <w:t>north</w:t>
      </w:r>
      <w:bookmarkStart w:name="Air and Rail Services" w:id="156"/>
      <w:bookmarkEnd w:id="156"/>
      <w:r>
        <w:rPr/>
      </w:r>
      <w:r>
        <w:rPr/>
        <w:t> of the Hanford 300 Area in north</w:t>
      </w:r>
      <w:r>
        <w:rPr>
          <w:spacing w:val="-8"/>
        </w:rPr>
        <w:t> </w:t>
      </w:r>
      <w:r>
        <w:rPr/>
        <w:t>Richland.</w:t>
      </w:r>
    </w:p>
    <w:p>
      <w:pPr>
        <w:spacing w:before="201"/>
        <w:ind w:left="140" w:right="0" w:firstLine="0"/>
        <w:jc w:val="both"/>
        <w:rPr>
          <w:b/>
          <w:sz w:val="22"/>
        </w:rPr>
      </w:pPr>
      <w:r>
        <w:rPr>
          <w:b/>
          <w:color w:val="C0504D"/>
          <w:sz w:val="22"/>
        </w:rPr>
        <w:t>Air and Rail Services</w:t>
      </w:r>
    </w:p>
    <w:p>
      <w:pPr>
        <w:pStyle w:val="BodyText"/>
        <w:spacing w:before="119"/>
        <w:ind w:left="140" w:right="332"/>
        <w:jc w:val="both"/>
      </w:pPr>
      <w:r>
        <w:rPr/>
        <w:t>Growth in Richland and the Tri-Cities area will increase demand for airport services, but air transportation</w:t>
      </w:r>
      <w:r>
        <w:rPr>
          <w:spacing w:val="-10"/>
        </w:rPr>
        <w:t> </w:t>
      </w:r>
      <w:r>
        <w:rPr/>
        <w:t>demand</w:t>
      </w:r>
      <w:r>
        <w:rPr>
          <w:spacing w:val="-8"/>
        </w:rPr>
        <w:t> </w:t>
      </w:r>
      <w:r>
        <w:rPr/>
        <w:t>is</w:t>
      </w:r>
      <w:r>
        <w:rPr>
          <w:spacing w:val="-10"/>
        </w:rPr>
        <w:t> </w:t>
      </w:r>
      <w:r>
        <w:rPr/>
        <w:t>more</w:t>
      </w:r>
      <w:r>
        <w:rPr>
          <w:spacing w:val="-8"/>
        </w:rPr>
        <w:t> </w:t>
      </w:r>
      <w:r>
        <w:rPr/>
        <w:t>directly</w:t>
      </w:r>
      <w:r>
        <w:rPr>
          <w:spacing w:val="-10"/>
        </w:rPr>
        <w:t> </w:t>
      </w:r>
      <w:r>
        <w:rPr/>
        <w:t>related</w:t>
      </w:r>
      <w:r>
        <w:rPr>
          <w:spacing w:val="-8"/>
        </w:rPr>
        <w:t> </w:t>
      </w:r>
      <w:r>
        <w:rPr/>
        <w:t>to</w:t>
      </w:r>
      <w:r>
        <w:rPr>
          <w:spacing w:val="-9"/>
        </w:rPr>
        <w:t> </w:t>
      </w:r>
      <w:r>
        <w:rPr/>
        <w:t>regional</w:t>
      </w:r>
      <w:r>
        <w:rPr>
          <w:spacing w:val="-8"/>
        </w:rPr>
        <w:t> </w:t>
      </w:r>
      <w:r>
        <w:rPr/>
        <w:t>changes.</w:t>
      </w:r>
      <w:r>
        <w:rPr>
          <w:spacing w:val="-9"/>
        </w:rPr>
        <w:t> </w:t>
      </w:r>
      <w:r>
        <w:rPr/>
        <w:t>For</w:t>
      </w:r>
      <w:r>
        <w:rPr>
          <w:spacing w:val="-8"/>
        </w:rPr>
        <w:t> </w:t>
      </w:r>
      <w:r>
        <w:rPr/>
        <w:t>example,</w:t>
      </w:r>
      <w:r>
        <w:rPr>
          <w:spacing w:val="-9"/>
        </w:rPr>
        <w:t> </w:t>
      </w:r>
      <w:r>
        <w:rPr/>
        <w:t>the</w:t>
      </w:r>
      <w:r>
        <w:rPr>
          <w:spacing w:val="-8"/>
        </w:rPr>
        <w:t> </w:t>
      </w:r>
      <w:r>
        <w:rPr/>
        <w:t>closure</w:t>
      </w:r>
      <w:r>
        <w:rPr>
          <w:spacing w:val="-9"/>
        </w:rPr>
        <w:t> </w:t>
      </w:r>
      <w:r>
        <w:rPr/>
        <w:t>of</w:t>
      </w:r>
      <w:r>
        <w:rPr>
          <w:spacing w:val="-8"/>
        </w:rPr>
        <w:t> </w:t>
      </w:r>
      <w:r>
        <w:rPr/>
        <w:t>Vista Field in the City of Kennewick significantly increased the number of based aircraft at the Richland Airport and therefore the demand for more hangars. As mentioned earlier, the Richland Airport Master</w:t>
      </w:r>
      <w:r>
        <w:rPr>
          <w:spacing w:val="-13"/>
        </w:rPr>
        <w:t> </w:t>
      </w:r>
      <w:r>
        <w:rPr/>
        <w:t>Plan</w:t>
      </w:r>
      <w:r>
        <w:rPr>
          <w:spacing w:val="-12"/>
        </w:rPr>
        <w:t> </w:t>
      </w:r>
      <w:r>
        <w:rPr/>
        <w:t>calls</w:t>
      </w:r>
      <w:r>
        <w:rPr>
          <w:spacing w:val="-11"/>
        </w:rPr>
        <w:t> </w:t>
      </w:r>
      <w:r>
        <w:rPr/>
        <w:t>for</w:t>
      </w:r>
      <w:r>
        <w:rPr>
          <w:spacing w:val="-12"/>
        </w:rPr>
        <w:t> </w:t>
      </w:r>
      <w:r>
        <w:rPr/>
        <w:t>a</w:t>
      </w:r>
      <w:r>
        <w:rPr>
          <w:spacing w:val="-11"/>
        </w:rPr>
        <w:t> </w:t>
      </w:r>
      <w:r>
        <w:rPr/>
        <w:t>runway</w:t>
      </w:r>
      <w:r>
        <w:rPr>
          <w:spacing w:val="-12"/>
        </w:rPr>
        <w:t> </w:t>
      </w:r>
      <w:r>
        <w:rPr/>
        <w:t>extension</w:t>
      </w:r>
      <w:r>
        <w:rPr>
          <w:spacing w:val="-12"/>
        </w:rPr>
        <w:t> </w:t>
      </w:r>
      <w:r>
        <w:rPr/>
        <w:t>to</w:t>
      </w:r>
      <w:r>
        <w:rPr>
          <w:spacing w:val="-11"/>
        </w:rPr>
        <w:t> </w:t>
      </w:r>
      <w:r>
        <w:rPr/>
        <w:t>the</w:t>
      </w:r>
      <w:r>
        <w:rPr>
          <w:spacing w:val="-11"/>
        </w:rPr>
        <w:t> </w:t>
      </w:r>
      <w:r>
        <w:rPr/>
        <w:t>north</w:t>
      </w:r>
      <w:r>
        <w:rPr>
          <w:spacing w:val="-11"/>
        </w:rPr>
        <w:t> </w:t>
      </w:r>
      <w:r>
        <w:rPr/>
        <w:t>for</w:t>
      </w:r>
      <w:r>
        <w:rPr>
          <w:spacing w:val="-12"/>
        </w:rPr>
        <w:t> </w:t>
      </w:r>
      <w:r>
        <w:rPr/>
        <w:t>a</w:t>
      </w:r>
      <w:r>
        <w:rPr>
          <w:spacing w:val="-11"/>
        </w:rPr>
        <w:t> </w:t>
      </w:r>
      <w:r>
        <w:rPr/>
        <w:t>total</w:t>
      </w:r>
      <w:r>
        <w:rPr>
          <w:spacing w:val="-11"/>
        </w:rPr>
        <w:t> </w:t>
      </w:r>
      <w:r>
        <w:rPr/>
        <w:t>of</w:t>
      </w:r>
      <w:r>
        <w:rPr>
          <w:spacing w:val="-14"/>
        </w:rPr>
        <w:t> </w:t>
      </w:r>
      <w:r>
        <w:rPr/>
        <w:t>5,000</w:t>
      </w:r>
      <w:r>
        <w:rPr>
          <w:spacing w:val="-11"/>
        </w:rPr>
        <w:t> </w:t>
      </w:r>
      <w:r>
        <w:rPr/>
        <w:t>feet</w:t>
      </w:r>
      <w:r>
        <w:rPr>
          <w:spacing w:val="-14"/>
        </w:rPr>
        <w:t> </w:t>
      </w:r>
      <w:r>
        <w:rPr/>
        <w:t>in</w:t>
      </w:r>
      <w:r>
        <w:rPr>
          <w:spacing w:val="-12"/>
        </w:rPr>
        <w:t> </w:t>
      </w:r>
      <w:r>
        <w:rPr/>
        <w:t>order</w:t>
      </w:r>
      <w:r>
        <w:rPr>
          <w:spacing w:val="-12"/>
        </w:rPr>
        <w:t> </w:t>
      </w:r>
      <w:r>
        <w:rPr/>
        <w:t>to</w:t>
      </w:r>
      <w:r>
        <w:rPr>
          <w:spacing w:val="-11"/>
        </w:rPr>
        <w:t> </w:t>
      </w:r>
      <w:r>
        <w:rPr/>
        <w:t>accommodate faster aircraft and corporate jets. This runway extension will cause the Runway Protection Zone (RPZ) to be extended over SR 240 and some developed industrial properties. The Federal Aviation Administration (FAA) in recent years has taken significant interest in development within Runway Protection Zones, thus this action will require study and potential mitigation. Of note also is the fact that</w:t>
      </w:r>
      <w:r>
        <w:rPr>
          <w:spacing w:val="-13"/>
        </w:rPr>
        <w:t> </w:t>
      </w:r>
      <w:r>
        <w:rPr/>
        <w:t>the</w:t>
      </w:r>
      <w:r>
        <w:rPr>
          <w:spacing w:val="-15"/>
        </w:rPr>
        <w:t> </w:t>
      </w:r>
      <w:r>
        <w:rPr/>
        <w:t>future</w:t>
      </w:r>
      <w:r>
        <w:rPr>
          <w:spacing w:val="-11"/>
        </w:rPr>
        <w:t> </w:t>
      </w:r>
      <w:r>
        <w:rPr/>
        <w:t>roadway</w:t>
      </w:r>
      <w:r>
        <w:rPr>
          <w:spacing w:val="-13"/>
        </w:rPr>
        <w:t> </w:t>
      </w:r>
      <w:r>
        <w:rPr/>
        <w:t>deficiencies</w:t>
      </w:r>
      <w:r>
        <w:rPr>
          <w:spacing w:val="-11"/>
        </w:rPr>
        <w:t> </w:t>
      </w:r>
      <w:r>
        <w:rPr/>
        <w:t>list</w:t>
      </w:r>
      <w:r>
        <w:rPr>
          <w:spacing w:val="-12"/>
        </w:rPr>
        <w:t> </w:t>
      </w:r>
      <w:r>
        <w:rPr/>
        <w:t>the</w:t>
      </w:r>
      <w:r>
        <w:rPr>
          <w:spacing w:val="-12"/>
        </w:rPr>
        <w:t> </w:t>
      </w:r>
      <w:r>
        <w:rPr/>
        <w:t>widening</w:t>
      </w:r>
      <w:r>
        <w:rPr>
          <w:spacing w:val="-10"/>
        </w:rPr>
        <w:t> </w:t>
      </w:r>
      <w:r>
        <w:rPr/>
        <w:t>of</w:t>
      </w:r>
      <w:r>
        <w:rPr>
          <w:spacing w:val="-15"/>
        </w:rPr>
        <w:t> </w:t>
      </w:r>
      <w:r>
        <w:rPr/>
        <w:t>SR</w:t>
      </w:r>
      <w:r>
        <w:rPr>
          <w:spacing w:val="-13"/>
        </w:rPr>
        <w:t> </w:t>
      </w:r>
      <w:r>
        <w:rPr/>
        <w:t>240</w:t>
      </w:r>
      <w:r>
        <w:rPr>
          <w:spacing w:val="-11"/>
        </w:rPr>
        <w:t> </w:t>
      </w:r>
      <w:r>
        <w:rPr/>
        <w:t>between</w:t>
      </w:r>
      <w:r>
        <w:rPr>
          <w:spacing w:val="-16"/>
        </w:rPr>
        <w:t> </w:t>
      </w:r>
      <w:r>
        <w:rPr/>
        <w:t>Stevens</w:t>
      </w:r>
      <w:r>
        <w:rPr>
          <w:spacing w:val="-10"/>
        </w:rPr>
        <w:t> </w:t>
      </w:r>
      <w:r>
        <w:rPr/>
        <w:t>Drive</w:t>
      </w:r>
      <w:r>
        <w:rPr>
          <w:spacing w:val="-12"/>
        </w:rPr>
        <w:t> </w:t>
      </w:r>
      <w:r>
        <w:rPr/>
        <w:t>and</w:t>
      </w:r>
      <w:r>
        <w:rPr>
          <w:spacing w:val="-13"/>
        </w:rPr>
        <w:t> </w:t>
      </w:r>
      <w:r>
        <w:rPr/>
        <w:t>Kingsgate Way. Since this roadway widening is within the future RPZ, the FAA would require an RPZ Analysis as well.</w:t>
      </w:r>
    </w:p>
    <w:p>
      <w:pPr>
        <w:pStyle w:val="BodyText"/>
        <w:spacing w:before="121"/>
        <w:ind w:left="140" w:right="332"/>
        <w:jc w:val="both"/>
      </w:pPr>
      <w:r>
        <w:rPr/>
        <w:t>Demand for freight and passenger rail facilities could increase, depending on the type of new commercial and industrial development the plan’s economic strategy attracts. The City of Richland has put significant investment into additional rail lines to serve the Horn Rapids Industrial Park. Additional rail lines may be warranted as well to serve areas to the north of Horn Rapids Road.</w:t>
      </w:r>
    </w:p>
    <w:p>
      <w:pPr>
        <w:spacing w:before="199"/>
        <w:ind w:left="140" w:right="0" w:firstLine="0"/>
        <w:jc w:val="both"/>
        <w:rPr>
          <w:b/>
          <w:sz w:val="22"/>
        </w:rPr>
      </w:pPr>
      <w:bookmarkStart w:name="Bicycle and Pedestrian Facilities" w:id="157"/>
      <w:bookmarkEnd w:id="157"/>
      <w:r>
        <w:rPr/>
      </w:r>
      <w:r>
        <w:rPr>
          <w:b/>
          <w:color w:val="C0504D"/>
          <w:sz w:val="22"/>
        </w:rPr>
        <w:t>Bicycle and Pedestrian Facilities</w:t>
      </w:r>
    </w:p>
    <w:p>
      <w:pPr>
        <w:pStyle w:val="BodyText"/>
        <w:spacing w:before="119"/>
        <w:ind w:left="140" w:right="333"/>
        <w:jc w:val="both"/>
      </w:pPr>
      <w:r>
        <w:rPr/>
        <w:t>The Benton Franklin Council of Governments completed a Regional Active Transportation Plan in 2016. As part of the planning process several workshops were held to give participants the opportunity</w:t>
      </w:r>
      <w:r>
        <w:rPr>
          <w:spacing w:val="-12"/>
        </w:rPr>
        <w:t> </w:t>
      </w:r>
      <w:r>
        <w:rPr/>
        <w:t>to</w:t>
      </w:r>
      <w:r>
        <w:rPr>
          <w:spacing w:val="-10"/>
        </w:rPr>
        <w:t> </w:t>
      </w:r>
      <w:r>
        <w:rPr/>
        <w:t>identify</w:t>
      </w:r>
      <w:r>
        <w:rPr>
          <w:spacing w:val="-12"/>
        </w:rPr>
        <w:t> </w:t>
      </w:r>
      <w:r>
        <w:rPr/>
        <w:t>issues</w:t>
      </w:r>
      <w:r>
        <w:rPr>
          <w:spacing w:val="-9"/>
        </w:rPr>
        <w:t> </w:t>
      </w:r>
      <w:r>
        <w:rPr/>
        <w:t>and</w:t>
      </w:r>
      <w:r>
        <w:rPr>
          <w:spacing w:val="-13"/>
        </w:rPr>
        <w:t> </w:t>
      </w:r>
      <w:r>
        <w:rPr/>
        <w:t>concerns</w:t>
      </w:r>
      <w:r>
        <w:rPr>
          <w:spacing w:val="-10"/>
        </w:rPr>
        <w:t> </w:t>
      </w:r>
      <w:r>
        <w:rPr/>
        <w:t>with</w:t>
      </w:r>
      <w:r>
        <w:rPr>
          <w:spacing w:val="-10"/>
        </w:rPr>
        <w:t> </w:t>
      </w:r>
      <w:r>
        <w:rPr/>
        <w:t>providing</w:t>
      </w:r>
      <w:r>
        <w:rPr>
          <w:spacing w:val="-10"/>
        </w:rPr>
        <w:t> </w:t>
      </w:r>
      <w:r>
        <w:rPr/>
        <w:t>facilities</w:t>
      </w:r>
      <w:r>
        <w:rPr>
          <w:spacing w:val="-9"/>
        </w:rPr>
        <w:t> </w:t>
      </w:r>
      <w:r>
        <w:rPr/>
        <w:t>that</w:t>
      </w:r>
      <w:r>
        <w:rPr>
          <w:spacing w:val="-11"/>
        </w:rPr>
        <w:t> </w:t>
      </w:r>
      <w:r>
        <w:rPr/>
        <w:t>foster</w:t>
      </w:r>
      <w:r>
        <w:rPr>
          <w:spacing w:val="-13"/>
        </w:rPr>
        <w:t> </w:t>
      </w:r>
      <w:r>
        <w:rPr/>
        <w:t>active</w:t>
      </w:r>
      <w:r>
        <w:rPr>
          <w:spacing w:val="-10"/>
        </w:rPr>
        <w:t> </w:t>
      </w:r>
      <w:r>
        <w:rPr/>
        <w:t>transportation. Specific issues within the City of Richland ranged from specific maintenance locations as well as barriers such as missing trail segments, railroad crossings, freeway overpasses, and shared parking lanes that make bicycle travel more challenging. Five specific projects within the City of Richland were identified, four of which were listed in the TIP projects for 2017 – 2022 in Table T-3. The fifth project is a pedestrian overpass along Columbia Center Boulevard over SR</w:t>
      </w:r>
      <w:r>
        <w:rPr>
          <w:spacing w:val="-15"/>
        </w:rPr>
        <w:t> </w:t>
      </w:r>
      <w:r>
        <w:rPr/>
        <w:t>240.</w:t>
      </w:r>
    </w:p>
    <w:p>
      <w:pPr>
        <w:pStyle w:val="BodyText"/>
        <w:spacing w:before="121"/>
        <w:ind w:left="140" w:right="334"/>
        <w:jc w:val="both"/>
      </w:pPr>
      <w:r>
        <w:rPr/>
        <w:t>The City also considers multi-modal needs in new corridors and in street standards for when new roadway facilities are constructed.</w:t>
      </w:r>
    </w:p>
    <w:p>
      <w:pPr>
        <w:pStyle w:val="BodyText"/>
        <w:spacing w:before="120"/>
        <w:ind w:left="140" w:right="334"/>
        <w:jc w:val="both"/>
      </w:pPr>
      <w:r>
        <w:rPr/>
        <w:t>There</w:t>
      </w:r>
      <w:r>
        <w:rPr>
          <w:spacing w:val="-5"/>
        </w:rPr>
        <w:t> </w:t>
      </w:r>
      <w:r>
        <w:rPr/>
        <w:t>are</w:t>
      </w:r>
      <w:r>
        <w:rPr>
          <w:spacing w:val="-4"/>
        </w:rPr>
        <w:t> </w:t>
      </w:r>
      <w:r>
        <w:rPr/>
        <w:t>no</w:t>
      </w:r>
      <w:r>
        <w:rPr>
          <w:spacing w:val="-6"/>
        </w:rPr>
        <w:t> </w:t>
      </w:r>
      <w:r>
        <w:rPr/>
        <w:t>identified</w:t>
      </w:r>
      <w:r>
        <w:rPr>
          <w:spacing w:val="-6"/>
        </w:rPr>
        <w:t> </w:t>
      </w:r>
      <w:r>
        <w:rPr/>
        <w:t>deficiencies</w:t>
      </w:r>
      <w:r>
        <w:rPr>
          <w:spacing w:val="-6"/>
        </w:rPr>
        <w:t> </w:t>
      </w:r>
      <w:r>
        <w:rPr/>
        <w:t>in</w:t>
      </w:r>
      <w:r>
        <w:rPr>
          <w:spacing w:val="-5"/>
        </w:rPr>
        <w:t> </w:t>
      </w:r>
      <w:r>
        <w:rPr/>
        <w:t>bicycle</w:t>
      </w:r>
      <w:r>
        <w:rPr>
          <w:spacing w:val="-4"/>
        </w:rPr>
        <w:t> </w:t>
      </w:r>
      <w:r>
        <w:rPr/>
        <w:t>and</w:t>
      </w:r>
      <w:r>
        <w:rPr>
          <w:spacing w:val="-6"/>
        </w:rPr>
        <w:t> </w:t>
      </w:r>
      <w:r>
        <w:rPr/>
        <w:t>pedestrian</w:t>
      </w:r>
      <w:r>
        <w:rPr>
          <w:spacing w:val="-5"/>
        </w:rPr>
        <w:t> </w:t>
      </w:r>
      <w:r>
        <w:rPr/>
        <w:t>facilities</w:t>
      </w:r>
      <w:r>
        <w:rPr>
          <w:spacing w:val="-3"/>
        </w:rPr>
        <w:t> </w:t>
      </w:r>
      <w:r>
        <w:rPr/>
        <w:t>within</w:t>
      </w:r>
      <w:r>
        <w:rPr>
          <w:spacing w:val="-9"/>
        </w:rPr>
        <w:t> </w:t>
      </w:r>
      <w:r>
        <w:rPr/>
        <w:t>the</w:t>
      </w:r>
      <w:r>
        <w:rPr>
          <w:spacing w:val="-4"/>
        </w:rPr>
        <w:t> </w:t>
      </w:r>
      <w:r>
        <w:rPr/>
        <w:t>City</w:t>
      </w:r>
      <w:r>
        <w:rPr>
          <w:spacing w:val="-5"/>
        </w:rPr>
        <w:t> </w:t>
      </w:r>
      <w:r>
        <w:rPr/>
        <w:t>from</w:t>
      </w:r>
      <w:r>
        <w:rPr>
          <w:spacing w:val="-6"/>
        </w:rPr>
        <w:t> </w:t>
      </w:r>
      <w:r>
        <w:rPr/>
        <w:t>a</w:t>
      </w:r>
      <w:r>
        <w:rPr>
          <w:spacing w:val="-5"/>
        </w:rPr>
        <w:t> </w:t>
      </w:r>
      <w:r>
        <w:rPr/>
        <w:t>Level</w:t>
      </w:r>
      <w:r>
        <w:rPr>
          <w:spacing w:val="-7"/>
        </w:rPr>
        <w:t> </w:t>
      </w:r>
      <w:r>
        <w:rPr/>
        <w:t>of Service perspective. However, the City regularly develops stand-alone bicycle and pedestrian projects</w:t>
      </w:r>
      <w:r>
        <w:rPr>
          <w:spacing w:val="-4"/>
        </w:rPr>
        <w:t> </w:t>
      </w:r>
      <w:r>
        <w:rPr/>
        <w:t>and</w:t>
      </w:r>
      <w:r>
        <w:rPr>
          <w:spacing w:val="-5"/>
        </w:rPr>
        <w:t> </w:t>
      </w:r>
      <w:r>
        <w:rPr/>
        <w:t>also</w:t>
      </w:r>
      <w:r>
        <w:rPr>
          <w:spacing w:val="-3"/>
        </w:rPr>
        <w:t> </w:t>
      </w:r>
      <w:r>
        <w:rPr/>
        <w:t>incorporates</w:t>
      </w:r>
      <w:r>
        <w:rPr>
          <w:spacing w:val="-2"/>
        </w:rPr>
        <w:t> </w:t>
      </w:r>
      <w:r>
        <w:rPr/>
        <w:t>bicycle</w:t>
      </w:r>
      <w:r>
        <w:rPr>
          <w:spacing w:val="-5"/>
        </w:rPr>
        <w:t> </w:t>
      </w:r>
      <w:r>
        <w:rPr/>
        <w:t>and</w:t>
      </w:r>
      <w:r>
        <w:rPr>
          <w:spacing w:val="-3"/>
        </w:rPr>
        <w:t> </w:t>
      </w:r>
      <w:r>
        <w:rPr/>
        <w:t>pedestrian</w:t>
      </w:r>
      <w:r>
        <w:rPr>
          <w:spacing w:val="-4"/>
        </w:rPr>
        <w:t> </w:t>
      </w:r>
      <w:r>
        <w:rPr/>
        <w:t>facilities</w:t>
      </w:r>
      <w:r>
        <w:rPr>
          <w:spacing w:val="-4"/>
        </w:rPr>
        <w:t> </w:t>
      </w:r>
      <w:r>
        <w:rPr/>
        <w:t>into</w:t>
      </w:r>
      <w:r>
        <w:rPr>
          <w:spacing w:val="-3"/>
        </w:rPr>
        <w:t> </w:t>
      </w:r>
      <w:r>
        <w:rPr/>
        <w:t>roadway</w:t>
      </w:r>
      <w:r>
        <w:rPr>
          <w:spacing w:val="-3"/>
        </w:rPr>
        <w:t> </w:t>
      </w:r>
      <w:r>
        <w:rPr/>
        <w:t>projects</w:t>
      </w:r>
      <w:r>
        <w:rPr>
          <w:spacing w:val="-4"/>
        </w:rPr>
        <w:t> </w:t>
      </w:r>
      <w:r>
        <w:rPr/>
        <w:t>to</w:t>
      </w:r>
      <w:r>
        <w:rPr>
          <w:spacing w:val="-5"/>
        </w:rPr>
        <w:t> </w:t>
      </w:r>
      <w:r>
        <w:rPr/>
        <w:t>enhance</w:t>
      </w:r>
      <w:r>
        <w:rPr>
          <w:spacing w:val="-3"/>
        </w:rPr>
        <w:t> </w:t>
      </w:r>
      <w:r>
        <w:rPr/>
        <w:t>the transportation system and improve the quality of life of its citizens and</w:t>
      </w:r>
      <w:r>
        <w:rPr>
          <w:spacing w:val="-17"/>
        </w:rPr>
        <w:t> </w:t>
      </w:r>
      <w:r>
        <w:rPr/>
        <w:t>visitors.</w:t>
      </w:r>
    </w:p>
    <w:p>
      <w:pPr>
        <w:spacing w:before="202"/>
        <w:ind w:left="140" w:right="0" w:firstLine="0"/>
        <w:jc w:val="both"/>
        <w:rPr>
          <w:b/>
          <w:sz w:val="22"/>
        </w:rPr>
      </w:pPr>
      <w:bookmarkStart w:name="Improvement Projects" w:id="158"/>
      <w:bookmarkEnd w:id="158"/>
      <w:r>
        <w:rPr/>
      </w:r>
      <w:r>
        <w:rPr>
          <w:b/>
          <w:color w:val="C0504D"/>
          <w:sz w:val="22"/>
        </w:rPr>
        <w:t>Improvement Projects</w:t>
      </w:r>
    </w:p>
    <w:p>
      <w:pPr>
        <w:pStyle w:val="BodyText"/>
        <w:spacing w:before="119"/>
        <w:ind w:left="140" w:right="334"/>
        <w:jc w:val="both"/>
      </w:pPr>
      <w:r>
        <w:rPr/>
        <w:t>The Comprehensive Plan will require improvement projects for both planning periods to address level of service deficiencies. Additional improvements will be needed as part of the Plan’s proactive strategy to encourage economic development. Projects also may be needed to address safety or maintenance needs. Table T-4 shows the preliminary recommended improvements to address LOS</w:t>
      </w:r>
    </w:p>
    <w:p>
      <w:pPr>
        <w:spacing w:after="0"/>
        <w:jc w:val="both"/>
        <w:sectPr>
          <w:pgSz w:w="12240" w:h="15840"/>
          <w:pgMar w:header="0" w:footer="1132" w:top="1360" w:bottom="1320" w:left="1300" w:right="1100"/>
        </w:sectPr>
      </w:pPr>
    </w:p>
    <w:p>
      <w:pPr>
        <w:pStyle w:val="BodyText"/>
        <w:spacing w:before="80"/>
        <w:ind w:left="140" w:right="335"/>
        <w:jc w:val="both"/>
      </w:pPr>
      <w:r>
        <w:rPr/>
        <w:t>deficiencies. It also includes projects anticipated to be constructed not just to address LOS deficiencies, but to provide the future functionally classified network shown earlier in Figure T-11. Improvements identified in both tables T-3 and T-4 are shown in Figure</w:t>
      </w:r>
      <w:r>
        <w:rPr>
          <w:spacing w:val="-20"/>
        </w:rPr>
        <w:t> </w:t>
      </w:r>
      <w:r>
        <w:rPr/>
        <w:t>T-12.</w:t>
      </w:r>
    </w:p>
    <w:p>
      <w:pPr>
        <w:pStyle w:val="BodyText"/>
        <w:spacing w:before="119"/>
        <w:ind w:left="140" w:right="333"/>
        <w:jc w:val="both"/>
      </w:pPr>
      <w:r>
        <w:rPr/>
        <w:t>Some projects will be City’s responsibility; others will be the responsibility of the Washington State Department</w:t>
      </w:r>
      <w:r>
        <w:rPr>
          <w:spacing w:val="-7"/>
        </w:rPr>
        <w:t> </w:t>
      </w:r>
      <w:r>
        <w:rPr/>
        <w:t>of</w:t>
      </w:r>
      <w:r>
        <w:rPr>
          <w:spacing w:val="-5"/>
        </w:rPr>
        <w:t> </w:t>
      </w:r>
      <w:r>
        <w:rPr/>
        <w:t>Transportation</w:t>
      </w:r>
      <w:r>
        <w:rPr>
          <w:spacing w:val="-7"/>
        </w:rPr>
        <w:t> </w:t>
      </w:r>
      <w:r>
        <w:rPr/>
        <w:t>(WSDOT),</w:t>
      </w:r>
      <w:r>
        <w:rPr>
          <w:spacing w:val="-6"/>
        </w:rPr>
        <w:t> </w:t>
      </w:r>
      <w:r>
        <w:rPr/>
        <w:t>and</w:t>
      </w:r>
      <w:r>
        <w:rPr>
          <w:spacing w:val="-6"/>
        </w:rPr>
        <w:t> </w:t>
      </w:r>
      <w:r>
        <w:rPr/>
        <w:t>in</w:t>
      </w:r>
      <w:r>
        <w:rPr>
          <w:spacing w:val="-7"/>
        </w:rPr>
        <w:t> </w:t>
      </w:r>
      <w:r>
        <w:rPr/>
        <w:t>many</w:t>
      </w:r>
      <w:r>
        <w:rPr>
          <w:spacing w:val="-8"/>
        </w:rPr>
        <w:t> </w:t>
      </w:r>
      <w:r>
        <w:rPr/>
        <w:t>cases</w:t>
      </w:r>
      <w:r>
        <w:rPr>
          <w:spacing w:val="-5"/>
        </w:rPr>
        <w:t> </w:t>
      </w:r>
      <w:r>
        <w:rPr/>
        <w:t>developers</w:t>
      </w:r>
      <w:r>
        <w:rPr>
          <w:spacing w:val="-5"/>
        </w:rPr>
        <w:t> </w:t>
      </w:r>
      <w:r>
        <w:rPr/>
        <w:t>will</w:t>
      </w:r>
      <w:r>
        <w:rPr>
          <w:spacing w:val="-6"/>
        </w:rPr>
        <w:t> </w:t>
      </w:r>
      <w:r>
        <w:rPr/>
        <w:t>be</w:t>
      </w:r>
      <w:r>
        <w:rPr>
          <w:spacing w:val="-5"/>
        </w:rPr>
        <w:t> </w:t>
      </w:r>
      <w:r>
        <w:rPr/>
        <w:t>required</w:t>
      </w:r>
      <w:r>
        <w:rPr>
          <w:spacing w:val="-6"/>
        </w:rPr>
        <w:t> </w:t>
      </w:r>
      <w:r>
        <w:rPr/>
        <w:t>to</w:t>
      </w:r>
      <w:r>
        <w:rPr>
          <w:spacing w:val="-5"/>
        </w:rPr>
        <w:t> </w:t>
      </w:r>
      <w:r>
        <w:rPr/>
        <w:t>construct improvements associated with proposed subdivisions or other</w:t>
      </w:r>
      <w:r>
        <w:rPr>
          <w:spacing w:val="-7"/>
        </w:rPr>
        <w:t> </w:t>
      </w:r>
      <w:r>
        <w:rPr/>
        <w:t>developments.</w:t>
      </w:r>
    </w:p>
    <w:p>
      <w:pPr>
        <w:spacing w:before="121"/>
        <w:ind w:left="140" w:right="0" w:firstLine="0"/>
        <w:jc w:val="both"/>
        <w:rPr>
          <w:rFonts w:ascii="Arial"/>
          <w:b/>
          <w:sz w:val="20"/>
        </w:rPr>
      </w:pPr>
      <w:r>
        <w:rPr>
          <w:rFonts w:ascii="Arial"/>
          <w:b/>
          <w:sz w:val="20"/>
        </w:rPr>
        <w:t>Table T-4: Long Range Transportation Improvements</w:t>
      </w:r>
    </w:p>
    <w:p>
      <w:pPr>
        <w:pStyle w:val="BodyText"/>
        <w:spacing w:before="5" w:after="1"/>
        <w:rPr>
          <w:rFonts w:ascii="Arial"/>
          <w:b/>
          <w:sz w:val="10"/>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00"/>
        <w:gridCol w:w="5131"/>
        <w:gridCol w:w="1529"/>
      </w:tblGrid>
      <w:tr>
        <w:trPr>
          <w:trHeight w:val="805" w:hRule="atLeast"/>
        </w:trPr>
        <w:tc>
          <w:tcPr>
            <w:tcW w:w="2700" w:type="dxa"/>
            <w:shd w:val="clear" w:color="auto" w:fill="B8CCE3"/>
          </w:tcPr>
          <w:p>
            <w:pPr>
              <w:pStyle w:val="TableParagraph"/>
              <w:spacing w:before="10"/>
              <w:ind w:left="0"/>
              <w:rPr>
                <w:rFonts w:ascii="Arial"/>
                <w:b/>
                <w:sz w:val="27"/>
              </w:rPr>
            </w:pPr>
          </w:p>
          <w:p>
            <w:pPr>
              <w:pStyle w:val="TableParagraph"/>
              <w:spacing w:before="0"/>
              <w:rPr>
                <w:b/>
                <w:sz w:val="22"/>
              </w:rPr>
            </w:pPr>
            <w:r>
              <w:rPr>
                <w:b/>
                <w:sz w:val="22"/>
              </w:rPr>
              <w:t>Project Title</w:t>
            </w:r>
          </w:p>
        </w:tc>
        <w:tc>
          <w:tcPr>
            <w:tcW w:w="5131" w:type="dxa"/>
            <w:shd w:val="clear" w:color="auto" w:fill="B8CCE3"/>
          </w:tcPr>
          <w:p>
            <w:pPr>
              <w:pStyle w:val="TableParagraph"/>
              <w:spacing w:before="10"/>
              <w:ind w:left="0"/>
              <w:rPr>
                <w:rFonts w:ascii="Arial"/>
                <w:b/>
                <w:sz w:val="27"/>
              </w:rPr>
            </w:pPr>
          </w:p>
          <w:p>
            <w:pPr>
              <w:pStyle w:val="TableParagraph"/>
              <w:spacing w:before="0"/>
              <w:rPr>
                <w:b/>
                <w:sz w:val="22"/>
              </w:rPr>
            </w:pPr>
            <w:r>
              <w:rPr>
                <w:b/>
                <w:sz w:val="22"/>
              </w:rPr>
              <w:t>Project Description</w:t>
            </w:r>
          </w:p>
        </w:tc>
        <w:tc>
          <w:tcPr>
            <w:tcW w:w="1529" w:type="dxa"/>
            <w:shd w:val="clear" w:color="auto" w:fill="B8CCE3"/>
          </w:tcPr>
          <w:p>
            <w:pPr>
              <w:pStyle w:val="TableParagraph"/>
              <w:spacing w:before="119"/>
              <w:ind w:left="155"/>
              <w:rPr>
                <w:b/>
                <w:sz w:val="14"/>
              </w:rPr>
            </w:pPr>
            <w:r>
              <w:rPr>
                <w:b/>
                <w:sz w:val="22"/>
              </w:rPr>
              <w:t>Total Cost </w:t>
            </w:r>
            <w:r>
              <w:rPr>
                <w:b/>
                <w:position w:val="5"/>
                <w:sz w:val="14"/>
              </w:rPr>
              <w:t>1</w:t>
            </w:r>
          </w:p>
          <w:p>
            <w:pPr>
              <w:pStyle w:val="TableParagraph"/>
              <w:spacing w:before="146"/>
              <w:rPr>
                <w:b/>
                <w:sz w:val="22"/>
              </w:rPr>
            </w:pPr>
            <w:r>
              <w:rPr>
                <w:b/>
                <w:sz w:val="22"/>
              </w:rPr>
              <w:t>($)</w:t>
            </w:r>
          </w:p>
        </w:tc>
      </w:tr>
      <w:tr>
        <w:trPr>
          <w:trHeight w:val="1024" w:hRule="atLeast"/>
        </w:trPr>
        <w:tc>
          <w:tcPr>
            <w:tcW w:w="2700" w:type="dxa"/>
          </w:tcPr>
          <w:p>
            <w:pPr>
              <w:pStyle w:val="TableParagraph"/>
              <w:spacing w:before="9"/>
              <w:ind w:left="0"/>
              <w:rPr>
                <w:rFonts w:ascii="Arial"/>
                <w:b/>
                <w:sz w:val="24"/>
              </w:rPr>
            </w:pPr>
          </w:p>
          <w:p>
            <w:pPr>
              <w:pStyle w:val="TableParagraph"/>
              <w:spacing w:before="0"/>
              <w:ind w:right="1047"/>
              <w:rPr>
                <w:sz w:val="22"/>
              </w:rPr>
            </w:pPr>
            <w:r>
              <w:rPr>
                <w:sz w:val="22"/>
              </w:rPr>
              <w:t>Kingsgate South Extension</w:t>
            </w:r>
          </w:p>
        </w:tc>
        <w:tc>
          <w:tcPr>
            <w:tcW w:w="5131" w:type="dxa"/>
          </w:tcPr>
          <w:p>
            <w:pPr>
              <w:pStyle w:val="TableParagraph"/>
              <w:spacing w:before="155"/>
              <w:ind w:right="274"/>
              <w:rPr>
                <w:sz w:val="22"/>
              </w:rPr>
            </w:pPr>
            <w:r>
              <w:rPr>
                <w:sz w:val="22"/>
              </w:rPr>
              <w:t>New arterial route from the existing west end of Queensgate to SR224 (Van Giesen)(Portions of the route will likely be on Jones Road right of way)</w:t>
            </w:r>
          </w:p>
        </w:tc>
        <w:tc>
          <w:tcPr>
            <w:tcW w:w="1529" w:type="dxa"/>
          </w:tcPr>
          <w:p>
            <w:pPr>
              <w:pStyle w:val="TableParagraph"/>
              <w:spacing w:before="0"/>
              <w:ind w:left="0"/>
              <w:rPr>
                <w:rFonts w:ascii="Arial"/>
                <w:b/>
                <w:sz w:val="26"/>
              </w:rPr>
            </w:pPr>
          </w:p>
          <w:p>
            <w:pPr>
              <w:pStyle w:val="TableParagraph"/>
              <w:spacing w:before="0"/>
              <w:ind w:left="0"/>
              <w:rPr>
                <w:rFonts w:ascii="Arial"/>
                <w:b/>
                <w:sz w:val="26"/>
              </w:rPr>
            </w:pPr>
          </w:p>
          <w:p>
            <w:pPr>
              <w:pStyle w:val="TableParagraph"/>
              <w:spacing w:line="237" w:lineRule="exact" w:before="169"/>
              <w:rPr>
                <w:sz w:val="22"/>
              </w:rPr>
            </w:pPr>
            <w:r>
              <w:rPr>
                <w:sz w:val="22"/>
              </w:rPr>
              <w:t>60,000,000</w:t>
            </w:r>
          </w:p>
        </w:tc>
      </w:tr>
      <w:tr>
        <w:trPr>
          <w:trHeight w:val="981" w:hRule="atLeast"/>
        </w:trPr>
        <w:tc>
          <w:tcPr>
            <w:tcW w:w="2700" w:type="dxa"/>
          </w:tcPr>
          <w:p>
            <w:pPr>
              <w:pStyle w:val="TableParagraph"/>
              <w:spacing w:before="10"/>
              <w:ind w:left="0"/>
              <w:rPr>
                <w:rFonts w:ascii="Arial"/>
                <w:b/>
                <w:sz w:val="22"/>
              </w:rPr>
            </w:pPr>
          </w:p>
          <w:p>
            <w:pPr>
              <w:pStyle w:val="TableParagraph"/>
              <w:spacing w:before="0"/>
              <w:ind w:right="1037"/>
              <w:rPr>
                <w:sz w:val="22"/>
              </w:rPr>
            </w:pPr>
            <w:r>
              <w:rPr>
                <w:sz w:val="22"/>
              </w:rPr>
              <w:t>Kingsgate North Extension</w:t>
            </w:r>
          </w:p>
        </w:tc>
        <w:tc>
          <w:tcPr>
            <w:tcW w:w="5131" w:type="dxa"/>
          </w:tcPr>
          <w:p>
            <w:pPr>
              <w:pStyle w:val="TableParagraph"/>
              <w:spacing w:before="134"/>
              <w:ind w:right="143"/>
              <w:rPr>
                <w:sz w:val="22"/>
              </w:rPr>
            </w:pPr>
            <w:r>
              <w:rPr>
                <w:sz w:val="22"/>
              </w:rPr>
              <w:t>New arterial route from south end of Kingsate @ SR 240 to SR 224 (Van Giesen). Portions of the route will likely be on the Jones Road right of way</w:t>
            </w:r>
          </w:p>
        </w:tc>
        <w:tc>
          <w:tcPr>
            <w:tcW w:w="1529" w:type="dxa"/>
          </w:tcPr>
          <w:p>
            <w:pPr>
              <w:pStyle w:val="TableParagraph"/>
              <w:spacing w:before="0"/>
              <w:ind w:left="0"/>
              <w:rPr>
                <w:rFonts w:ascii="Arial"/>
                <w:b/>
                <w:sz w:val="26"/>
              </w:rPr>
            </w:pPr>
          </w:p>
          <w:p>
            <w:pPr>
              <w:pStyle w:val="TableParagraph"/>
              <w:spacing w:before="11"/>
              <w:ind w:left="0"/>
              <w:rPr>
                <w:rFonts w:ascii="Arial"/>
                <w:b/>
                <w:sz w:val="36"/>
              </w:rPr>
            </w:pPr>
          </w:p>
          <w:p>
            <w:pPr>
              <w:pStyle w:val="TableParagraph"/>
              <w:spacing w:line="237" w:lineRule="exact" w:before="0"/>
              <w:rPr>
                <w:sz w:val="22"/>
              </w:rPr>
            </w:pPr>
            <w:r>
              <w:rPr>
                <w:sz w:val="22"/>
              </w:rPr>
              <w:t>4,280,000</w:t>
            </w:r>
          </w:p>
        </w:tc>
      </w:tr>
      <w:tr>
        <w:trPr>
          <w:trHeight w:val="834" w:hRule="atLeast"/>
        </w:trPr>
        <w:tc>
          <w:tcPr>
            <w:tcW w:w="2700" w:type="dxa"/>
          </w:tcPr>
          <w:p>
            <w:pPr>
              <w:pStyle w:val="TableParagraph"/>
              <w:spacing w:before="189"/>
              <w:ind w:right="940"/>
              <w:rPr>
                <w:sz w:val="22"/>
              </w:rPr>
            </w:pPr>
            <w:r>
              <w:rPr>
                <w:sz w:val="22"/>
              </w:rPr>
              <w:t>Queensgate West Extension</w:t>
            </w:r>
          </w:p>
        </w:tc>
        <w:tc>
          <w:tcPr>
            <w:tcW w:w="5131" w:type="dxa"/>
          </w:tcPr>
          <w:p>
            <w:pPr>
              <w:pStyle w:val="TableParagraph"/>
              <w:rPr>
                <w:sz w:val="22"/>
              </w:rPr>
            </w:pPr>
            <w:r>
              <w:rPr>
                <w:sz w:val="22"/>
              </w:rPr>
              <w:t>New arterial route from the existing west end of</w:t>
            </w:r>
          </w:p>
          <w:p>
            <w:pPr>
              <w:pStyle w:val="TableParagraph"/>
              <w:spacing w:line="256" w:lineRule="exact" w:before="6"/>
              <w:ind w:right="1017"/>
              <w:rPr>
                <w:sz w:val="22"/>
              </w:rPr>
            </w:pPr>
            <w:r>
              <w:rPr>
                <w:sz w:val="22"/>
              </w:rPr>
              <w:t>Queensgate to west of the Kingsgate South extension</w:t>
            </w:r>
          </w:p>
        </w:tc>
        <w:tc>
          <w:tcPr>
            <w:tcW w:w="1529" w:type="dxa"/>
          </w:tcPr>
          <w:p>
            <w:pPr>
              <w:pStyle w:val="TableParagraph"/>
              <w:spacing w:before="0"/>
              <w:ind w:left="0"/>
              <w:rPr>
                <w:rFonts w:ascii="Arial"/>
                <w:b/>
                <w:sz w:val="26"/>
              </w:rPr>
            </w:pPr>
          </w:p>
          <w:p>
            <w:pPr>
              <w:pStyle w:val="TableParagraph"/>
              <w:spacing w:before="0"/>
              <w:ind w:left="0"/>
              <w:rPr>
                <w:rFonts w:ascii="Arial"/>
                <w:b/>
                <w:sz w:val="24"/>
              </w:rPr>
            </w:pPr>
          </w:p>
          <w:p>
            <w:pPr>
              <w:pStyle w:val="TableParagraph"/>
              <w:spacing w:line="239" w:lineRule="exact" w:before="0"/>
              <w:rPr>
                <w:sz w:val="22"/>
              </w:rPr>
            </w:pPr>
            <w:r>
              <w:rPr>
                <w:sz w:val="22"/>
              </w:rPr>
              <w:t>3,000,000</w:t>
            </w:r>
          </w:p>
        </w:tc>
      </w:tr>
      <w:tr>
        <w:trPr>
          <w:trHeight w:val="613" w:hRule="atLeast"/>
        </w:trPr>
        <w:tc>
          <w:tcPr>
            <w:tcW w:w="2700" w:type="dxa"/>
          </w:tcPr>
          <w:p>
            <w:pPr>
              <w:pStyle w:val="TableParagraph"/>
              <w:spacing w:before="208"/>
              <w:rPr>
                <w:sz w:val="22"/>
              </w:rPr>
            </w:pPr>
            <w:r>
              <w:rPr>
                <w:sz w:val="22"/>
              </w:rPr>
              <w:t>City View Extension</w:t>
            </w:r>
          </w:p>
        </w:tc>
        <w:tc>
          <w:tcPr>
            <w:tcW w:w="5131" w:type="dxa"/>
          </w:tcPr>
          <w:p>
            <w:pPr>
              <w:pStyle w:val="TableParagraph"/>
              <w:spacing w:before="78"/>
              <w:ind w:right="739"/>
              <w:rPr>
                <w:sz w:val="22"/>
              </w:rPr>
            </w:pPr>
            <w:r>
              <w:rPr>
                <w:sz w:val="22"/>
              </w:rPr>
              <w:t>New route extension from Duportail Street to Kingsgate.</w:t>
            </w:r>
          </w:p>
        </w:tc>
        <w:tc>
          <w:tcPr>
            <w:tcW w:w="1529" w:type="dxa"/>
          </w:tcPr>
          <w:p>
            <w:pPr>
              <w:pStyle w:val="TableParagraph"/>
              <w:spacing w:before="9"/>
              <w:ind w:left="0"/>
              <w:rPr>
                <w:rFonts w:ascii="Arial"/>
                <w:b/>
                <w:sz w:val="30"/>
              </w:rPr>
            </w:pPr>
          </w:p>
          <w:p>
            <w:pPr>
              <w:pStyle w:val="TableParagraph"/>
              <w:spacing w:line="239" w:lineRule="exact" w:before="0"/>
              <w:rPr>
                <w:sz w:val="22"/>
              </w:rPr>
            </w:pPr>
            <w:r>
              <w:rPr>
                <w:sz w:val="22"/>
              </w:rPr>
              <w:t>2,000,000</w:t>
            </w:r>
          </w:p>
        </w:tc>
      </w:tr>
      <w:tr>
        <w:trPr>
          <w:trHeight w:val="613" w:hRule="atLeast"/>
        </w:trPr>
        <w:tc>
          <w:tcPr>
            <w:tcW w:w="2700" w:type="dxa"/>
          </w:tcPr>
          <w:p>
            <w:pPr>
              <w:pStyle w:val="TableParagraph"/>
              <w:spacing w:line="260" w:lineRule="atLeast" w:before="76"/>
              <w:ind w:right="842"/>
              <w:rPr>
                <w:sz w:val="22"/>
              </w:rPr>
            </w:pPr>
            <w:r>
              <w:rPr>
                <w:sz w:val="22"/>
              </w:rPr>
              <w:t>I-182 / Eastbound Onramp</w:t>
            </w:r>
          </w:p>
        </w:tc>
        <w:tc>
          <w:tcPr>
            <w:tcW w:w="5131" w:type="dxa"/>
          </w:tcPr>
          <w:p>
            <w:pPr>
              <w:pStyle w:val="TableParagraph"/>
              <w:spacing w:line="260" w:lineRule="atLeast" w:before="76"/>
              <w:ind w:right="650"/>
              <w:rPr>
                <w:sz w:val="22"/>
              </w:rPr>
            </w:pPr>
            <w:r>
              <w:rPr>
                <w:sz w:val="22"/>
              </w:rPr>
              <w:t>New eastbound onramp at Queensgate / I-182 Interchange</w:t>
            </w:r>
          </w:p>
        </w:tc>
        <w:tc>
          <w:tcPr>
            <w:tcW w:w="1529" w:type="dxa"/>
          </w:tcPr>
          <w:p>
            <w:pPr>
              <w:pStyle w:val="TableParagraph"/>
              <w:spacing w:before="0"/>
              <w:ind w:left="0"/>
              <w:rPr>
                <w:rFonts w:ascii="Arial"/>
                <w:b/>
                <w:sz w:val="31"/>
              </w:rPr>
            </w:pPr>
          </w:p>
          <w:p>
            <w:pPr>
              <w:pStyle w:val="TableParagraph"/>
              <w:spacing w:line="237" w:lineRule="exact" w:before="0"/>
              <w:rPr>
                <w:sz w:val="22"/>
              </w:rPr>
            </w:pPr>
            <w:r>
              <w:rPr>
                <w:sz w:val="22"/>
              </w:rPr>
              <w:t>15,000,000</w:t>
            </w:r>
          </w:p>
        </w:tc>
      </w:tr>
      <w:tr>
        <w:trPr>
          <w:trHeight w:val="834" w:hRule="atLeast"/>
        </w:trPr>
        <w:tc>
          <w:tcPr>
            <w:tcW w:w="2700" w:type="dxa"/>
          </w:tcPr>
          <w:p>
            <w:pPr>
              <w:pStyle w:val="TableParagraph"/>
              <w:spacing w:line="256" w:lineRule="exact" w:before="66"/>
              <w:ind w:right="457"/>
              <w:rPr>
                <w:sz w:val="22"/>
              </w:rPr>
            </w:pPr>
            <w:r>
              <w:rPr>
                <w:sz w:val="22"/>
              </w:rPr>
              <w:t>I-182 / SR240 / Aaron Drive Interchange Improvements</w:t>
            </w:r>
          </w:p>
        </w:tc>
        <w:tc>
          <w:tcPr>
            <w:tcW w:w="5131" w:type="dxa"/>
          </w:tcPr>
          <w:p>
            <w:pPr>
              <w:pStyle w:val="TableParagraph"/>
              <w:spacing w:before="189"/>
              <w:ind w:right="348"/>
              <w:rPr>
                <w:sz w:val="22"/>
              </w:rPr>
            </w:pPr>
            <w:r>
              <w:rPr>
                <w:sz w:val="22"/>
              </w:rPr>
              <w:t>Interchange improvements to grade-separate key movements</w:t>
            </w:r>
          </w:p>
        </w:tc>
        <w:tc>
          <w:tcPr>
            <w:tcW w:w="1529" w:type="dxa"/>
          </w:tcPr>
          <w:p>
            <w:pPr>
              <w:pStyle w:val="TableParagraph"/>
              <w:spacing w:before="0"/>
              <w:ind w:left="0"/>
              <w:rPr>
                <w:rFonts w:ascii="Arial"/>
                <w:b/>
                <w:sz w:val="26"/>
              </w:rPr>
            </w:pPr>
          </w:p>
          <w:p>
            <w:pPr>
              <w:pStyle w:val="TableParagraph"/>
              <w:spacing w:before="0"/>
              <w:ind w:left="0"/>
              <w:rPr>
                <w:rFonts w:ascii="Arial"/>
                <w:b/>
                <w:sz w:val="24"/>
              </w:rPr>
            </w:pPr>
          </w:p>
          <w:p>
            <w:pPr>
              <w:pStyle w:val="TableParagraph"/>
              <w:spacing w:line="239" w:lineRule="exact" w:before="0"/>
              <w:rPr>
                <w:sz w:val="22"/>
              </w:rPr>
            </w:pPr>
            <w:r>
              <w:rPr>
                <w:sz w:val="22"/>
              </w:rPr>
              <w:t>40,000,000</w:t>
            </w:r>
          </w:p>
        </w:tc>
      </w:tr>
      <w:tr>
        <w:trPr>
          <w:trHeight w:val="575" w:hRule="atLeast"/>
        </w:trPr>
        <w:tc>
          <w:tcPr>
            <w:tcW w:w="2700" w:type="dxa"/>
          </w:tcPr>
          <w:p>
            <w:pPr>
              <w:pStyle w:val="TableParagraph"/>
              <w:spacing w:line="260" w:lineRule="atLeast" w:before="57"/>
              <w:ind w:right="890"/>
              <w:rPr>
                <w:sz w:val="22"/>
              </w:rPr>
            </w:pPr>
            <w:r>
              <w:rPr>
                <w:sz w:val="22"/>
              </w:rPr>
              <w:t>SR240 Pedestrian Overpass</w:t>
            </w:r>
          </w:p>
        </w:tc>
        <w:tc>
          <w:tcPr>
            <w:tcW w:w="5131" w:type="dxa"/>
          </w:tcPr>
          <w:p>
            <w:pPr>
              <w:pStyle w:val="TableParagraph"/>
              <w:spacing w:line="260" w:lineRule="atLeast" w:before="57"/>
              <w:ind w:right="181"/>
              <w:rPr>
                <w:sz w:val="22"/>
              </w:rPr>
            </w:pPr>
            <w:r>
              <w:rPr>
                <w:sz w:val="22"/>
              </w:rPr>
              <w:t>Pedestrian bridge parallel to Columbia Center Blvd. over SR240</w:t>
            </w:r>
          </w:p>
        </w:tc>
        <w:tc>
          <w:tcPr>
            <w:tcW w:w="1529" w:type="dxa"/>
          </w:tcPr>
          <w:p>
            <w:pPr>
              <w:pStyle w:val="TableParagraph"/>
              <w:spacing w:before="8"/>
              <w:ind w:left="0"/>
              <w:rPr>
                <w:rFonts w:ascii="Arial"/>
                <w:b/>
                <w:sz w:val="27"/>
              </w:rPr>
            </w:pPr>
          </w:p>
          <w:p>
            <w:pPr>
              <w:pStyle w:val="TableParagraph"/>
              <w:spacing w:line="237" w:lineRule="exact" w:before="0"/>
              <w:rPr>
                <w:sz w:val="22"/>
              </w:rPr>
            </w:pPr>
            <w:r>
              <w:rPr>
                <w:sz w:val="22"/>
              </w:rPr>
              <w:t>4,000,000</w:t>
            </w:r>
          </w:p>
        </w:tc>
      </w:tr>
      <w:tr>
        <w:trPr>
          <w:trHeight w:val="574" w:hRule="atLeast"/>
        </w:trPr>
        <w:tc>
          <w:tcPr>
            <w:tcW w:w="2700" w:type="dxa"/>
          </w:tcPr>
          <w:p>
            <w:pPr>
              <w:pStyle w:val="TableParagraph"/>
              <w:spacing w:line="260" w:lineRule="atLeast" w:before="56"/>
              <w:ind w:right="589"/>
              <w:rPr>
                <w:sz w:val="22"/>
              </w:rPr>
            </w:pPr>
            <w:r>
              <w:rPr>
                <w:sz w:val="22"/>
              </w:rPr>
              <w:t>SR240 / Twin Bridge Road Improvements</w:t>
            </w:r>
          </w:p>
        </w:tc>
        <w:tc>
          <w:tcPr>
            <w:tcW w:w="5131" w:type="dxa"/>
          </w:tcPr>
          <w:p>
            <w:pPr>
              <w:pStyle w:val="TableParagraph"/>
              <w:spacing w:line="260" w:lineRule="atLeast" w:before="56"/>
              <w:ind w:right="480"/>
              <w:rPr>
                <w:sz w:val="22"/>
              </w:rPr>
            </w:pPr>
            <w:r>
              <w:rPr>
                <w:sz w:val="22"/>
              </w:rPr>
              <w:t>Twin Bridge extension to Horn Rapids Road and signal at SR240</w:t>
            </w:r>
          </w:p>
        </w:tc>
        <w:tc>
          <w:tcPr>
            <w:tcW w:w="1529" w:type="dxa"/>
          </w:tcPr>
          <w:p>
            <w:pPr>
              <w:pStyle w:val="TableParagraph"/>
              <w:spacing w:before="6"/>
              <w:ind w:left="0"/>
              <w:rPr>
                <w:rFonts w:ascii="Arial"/>
                <w:b/>
                <w:sz w:val="27"/>
              </w:rPr>
            </w:pPr>
          </w:p>
          <w:p>
            <w:pPr>
              <w:pStyle w:val="TableParagraph"/>
              <w:spacing w:line="237" w:lineRule="exact" w:before="1"/>
              <w:rPr>
                <w:sz w:val="22"/>
              </w:rPr>
            </w:pPr>
            <w:r>
              <w:rPr>
                <w:sz w:val="22"/>
              </w:rPr>
              <w:t>1,425,000</w:t>
            </w:r>
          </w:p>
        </w:tc>
      </w:tr>
      <w:tr>
        <w:trPr>
          <w:trHeight w:val="573" w:hRule="atLeast"/>
        </w:trPr>
        <w:tc>
          <w:tcPr>
            <w:tcW w:w="2700" w:type="dxa"/>
          </w:tcPr>
          <w:p>
            <w:pPr>
              <w:pStyle w:val="TableParagraph"/>
              <w:spacing w:before="187"/>
              <w:rPr>
                <w:sz w:val="22"/>
              </w:rPr>
            </w:pPr>
            <w:r>
              <w:rPr>
                <w:sz w:val="22"/>
              </w:rPr>
              <w:t>SR240 Widening</w:t>
            </w:r>
          </w:p>
        </w:tc>
        <w:tc>
          <w:tcPr>
            <w:tcW w:w="5131" w:type="dxa"/>
          </w:tcPr>
          <w:p>
            <w:pPr>
              <w:pStyle w:val="TableParagraph"/>
              <w:spacing w:line="260" w:lineRule="atLeast" w:before="55"/>
              <w:ind w:right="699"/>
              <w:rPr>
                <w:sz w:val="22"/>
              </w:rPr>
            </w:pPr>
            <w:r>
              <w:rPr>
                <w:sz w:val="22"/>
              </w:rPr>
              <w:t>Add travel lanes between Beardsley Road and Stevens Drive</w:t>
            </w:r>
          </w:p>
        </w:tc>
        <w:tc>
          <w:tcPr>
            <w:tcW w:w="1529" w:type="dxa"/>
          </w:tcPr>
          <w:p>
            <w:pPr>
              <w:pStyle w:val="TableParagraph"/>
              <w:spacing w:before="6"/>
              <w:ind w:left="0"/>
              <w:rPr>
                <w:rFonts w:ascii="Arial"/>
                <w:b/>
                <w:sz w:val="27"/>
              </w:rPr>
            </w:pPr>
          </w:p>
          <w:p>
            <w:pPr>
              <w:pStyle w:val="TableParagraph"/>
              <w:spacing w:line="237" w:lineRule="exact" w:before="0"/>
              <w:rPr>
                <w:sz w:val="22"/>
              </w:rPr>
            </w:pPr>
            <w:r>
              <w:rPr>
                <w:sz w:val="22"/>
              </w:rPr>
              <w:t>5,000,000</w:t>
            </w:r>
          </w:p>
        </w:tc>
      </w:tr>
      <w:tr>
        <w:trPr>
          <w:trHeight w:val="574" w:hRule="atLeast"/>
        </w:trPr>
        <w:tc>
          <w:tcPr>
            <w:tcW w:w="2700" w:type="dxa"/>
          </w:tcPr>
          <w:p>
            <w:pPr>
              <w:pStyle w:val="TableParagraph"/>
              <w:spacing w:line="260" w:lineRule="atLeast" w:before="56"/>
              <w:ind w:right="762"/>
              <w:rPr>
                <w:sz w:val="22"/>
              </w:rPr>
            </w:pPr>
            <w:r>
              <w:rPr>
                <w:sz w:val="22"/>
              </w:rPr>
              <w:t>SR240 Intersection Improvements</w:t>
            </w:r>
          </w:p>
        </w:tc>
        <w:tc>
          <w:tcPr>
            <w:tcW w:w="5131" w:type="dxa"/>
          </w:tcPr>
          <w:p>
            <w:pPr>
              <w:pStyle w:val="TableParagraph"/>
              <w:spacing w:line="260" w:lineRule="atLeast" w:before="56"/>
              <w:ind w:right="706"/>
              <w:rPr>
                <w:sz w:val="22"/>
              </w:rPr>
            </w:pPr>
            <w:r>
              <w:rPr>
                <w:sz w:val="22"/>
              </w:rPr>
              <w:t>Improve intersections of SR-240 and Logston, Kingsgate, Twin Bridges, and Beardsley.</w:t>
            </w:r>
          </w:p>
        </w:tc>
        <w:tc>
          <w:tcPr>
            <w:tcW w:w="1529" w:type="dxa"/>
          </w:tcPr>
          <w:p>
            <w:pPr>
              <w:pStyle w:val="TableParagraph"/>
              <w:spacing w:before="7"/>
              <w:ind w:left="0"/>
              <w:rPr>
                <w:rFonts w:ascii="Arial"/>
                <w:b/>
                <w:sz w:val="27"/>
              </w:rPr>
            </w:pPr>
          </w:p>
          <w:p>
            <w:pPr>
              <w:pStyle w:val="TableParagraph"/>
              <w:spacing w:line="237" w:lineRule="exact" w:before="0"/>
              <w:rPr>
                <w:sz w:val="22"/>
              </w:rPr>
            </w:pPr>
            <w:r>
              <w:rPr>
                <w:sz w:val="22"/>
              </w:rPr>
              <w:t>8,000,000</w:t>
            </w:r>
          </w:p>
        </w:tc>
      </w:tr>
      <w:tr>
        <w:trPr>
          <w:trHeight w:val="573" w:hRule="atLeast"/>
        </w:trPr>
        <w:tc>
          <w:tcPr>
            <w:tcW w:w="2700" w:type="dxa"/>
          </w:tcPr>
          <w:p>
            <w:pPr>
              <w:pStyle w:val="TableParagraph"/>
              <w:spacing w:line="256" w:lineRule="exact" w:before="64"/>
              <w:ind w:right="1085"/>
              <w:rPr>
                <w:sz w:val="22"/>
              </w:rPr>
            </w:pPr>
            <w:r>
              <w:rPr>
                <w:sz w:val="22"/>
              </w:rPr>
              <w:t>Gage Boulevard Improvements</w:t>
            </w:r>
          </w:p>
        </w:tc>
        <w:tc>
          <w:tcPr>
            <w:tcW w:w="5131" w:type="dxa"/>
          </w:tcPr>
          <w:p>
            <w:pPr>
              <w:pStyle w:val="TableParagraph"/>
              <w:spacing w:before="187"/>
              <w:rPr>
                <w:sz w:val="22"/>
              </w:rPr>
            </w:pPr>
            <w:r>
              <w:rPr>
                <w:sz w:val="22"/>
              </w:rPr>
              <w:t>Extension from Morency to Queensgate</w:t>
            </w:r>
          </w:p>
        </w:tc>
        <w:tc>
          <w:tcPr>
            <w:tcW w:w="1529" w:type="dxa"/>
          </w:tcPr>
          <w:p>
            <w:pPr>
              <w:pStyle w:val="TableParagraph"/>
              <w:spacing w:before="6"/>
              <w:ind w:left="0"/>
              <w:rPr>
                <w:rFonts w:ascii="Arial"/>
                <w:b/>
                <w:sz w:val="27"/>
              </w:rPr>
            </w:pPr>
          </w:p>
          <w:p>
            <w:pPr>
              <w:pStyle w:val="TableParagraph"/>
              <w:spacing w:line="237" w:lineRule="exact" w:before="0"/>
              <w:rPr>
                <w:sz w:val="22"/>
              </w:rPr>
            </w:pPr>
            <w:r>
              <w:rPr>
                <w:sz w:val="22"/>
              </w:rPr>
              <w:t>1,250,000</w:t>
            </w:r>
          </w:p>
        </w:tc>
      </w:tr>
      <w:tr>
        <w:trPr>
          <w:trHeight w:val="576" w:hRule="atLeast"/>
        </w:trPr>
        <w:tc>
          <w:tcPr>
            <w:tcW w:w="2700" w:type="dxa"/>
          </w:tcPr>
          <w:p>
            <w:pPr>
              <w:pStyle w:val="TableParagraph"/>
              <w:spacing w:before="187"/>
              <w:rPr>
                <w:sz w:val="22"/>
              </w:rPr>
            </w:pPr>
            <w:r>
              <w:rPr>
                <w:sz w:val="22"/>
              </w:rPr>
              <w:t>Trowbridge Boulevard</w:t>
            </w:r>
          </w:p>
        </w:tc>
        <w:tc>
          <w:tcPr>
            <w:tcW w:w="5131" w:type="dxa"/>
          </w:tcPr>
          <w:p>
            <w:pPr>
              <w:pStyle w:val="TableParagraph"/>
              <w:spacing w:line="256" w:lineRule="exact" w:before="64"/>
              <w:ind w:right="1145"/>
              <w:rPr>
                <w:sz w:val="22"/>
              </w:rPr>
            </w:pPr>
            <w:r>
              <w:rPr>
                <w:sz w:val="22"/>
              </w:rPr>
              <w:t>New route extension from Dallas Road to Queensgate</w:t>
            </w:r>
          </w:p>
        </w:tc>
        <w:tc>
          <w:tcPr>
            <w:tcW w:w="1529" w:type="dxa"/>
          </w:tcPr>
          <w:p>
            <w:pPr>
              <w:pStyle w:val="TableParagraph"/>
              <w:spacing w:before="6"/>
              <w:ind w:left="0"/>
              <w:rPr>
                <w:rFonts w:ascii="Arial"/>
                <w:b/>
                <w:sz w:val="27"/>
              </w:rPr>
            </w:pPr>
          </w:p>
          <w:p>
            <w:pPr>
              <w:pStyle w:val="TableParagraph"/>
              <w:spacing w:line="239" w:lineRule="exact" w:before="0"/>
              <w:rPr>
                <w:sz w:val="22"/>
              </w:rPr>
            </w:pPr>
            <w:r>
              <w:rPr>
                <w:sz w:val="22"/>
              </w:rPr>
              <w:t>2,625,000</w:t>
            </w:r>
          </w:p>
        </w:tc>
      </w:tr>
      <w:tr>
        <w:trPr>
          <w:trHeight w:val="575" w:hRule="atLeast"/>
        </w:trPr>
        <w:tc>
          <w:tcPr>
            <w:tcW w:w="2700" w:type="dxa"/>
          </w:tcPr>
          <w:p>
            <w:pPr>
              <w:pStyle w:val="TableParagraph"/>
              <w:spacing w:line="256" w:lineRule="exact" w:before="64"/>
              <w:ind w:right="1178"/>
              <w:rPr>
                <w:sz w:val="22"/>
              </w:rPr>
            </w:pPr>
            <w:r>
              <w:rPr>
                <w:sz w:val="22"/>
              </w:rPr>
              <w:t>Dallas Road Improvements</w:t>
            </w:r>
          </w:p>
        </w:tc>
        <w:tc>
          <w:tcPr>
            <w:tcW w:w="5131" w:type="dxa"/>
          </w:tcPr>
          <w:p>
            <w:pPr>
              <w:pStyle w:val="TableParagraph"/>
              <w:spacing w:line="256" w:lineRule="exact" w:before="64"/>
              <w:ind w:right="693"/>
              <w:rPr>
                <w:sz w:val="22"/>
              </w:rPr>
            </w:pPr>
            <w:r>
              <w:rPr>
                <w:sz w:val="22"/>
              </w:rPr>
              <w:t>Urban street improvements between I-82 and Keene Road</w:t>
            </w:r>
          </w:p>
        </w:tc>
        <w:tc>
          <w:tcPr>
            <w:tcW w:w="1529" w:type="dxa"/>
          </w:tcPr>
          <w:p>
            <w:pPr>
              <w:pStyle w:val="TableParagraph"/>
              <w:spacing w:before="5"/>
              <w:ind w:left="0"/>
              <w:rPr>
                <w:rFonts w:ascii="Arial"/>
                <w:b/>
                <w:sz w:val="27"/>
              </w:rPr>
            </w:pPr>
          </w:p>
          <w:p>
            <w:pPr>
              <w:pStyle w:val="TableParagraph"/>
              <w:spacing w:line="239" w:lineRule="exact" w:before="1"/>
              <w:rPr>
                <w:sz w:val="22"/>
              </w:rPr>
            </w:pPr>
            <w:r>
              <w:rPr>
                <w:sz w:val="22"/>
              </w:rPr>
              <w:t>2,904,300</w:t>
            </w:r>
          </w:p>
        </w:tc>
      </w:tr>
      <w:tr>
        <w:trPr>
          <w:trHeight w:val="575" w:hRule="atLeast"/>
        </w:trPr>
        <w:tc>
          <w:tcPr>
            <w:tcW w:w="2700" w:type="dxa"/>
          </w:tcPr>
          <w:p>
            <w:pPr>
              <w:pStyle w:val="TableParagraph"/>
              <w:spacing w:before="188"/>
              <w:rPr>
                <w:sz w:val="22"/>
              </w:rPr>
            </w:pPr>
            <w:r>
              <w:rPr>
                <w:sz w:val="22"/>
              </w:rPr>
              <w:t>Shockley Road</w:t>
            </w:r>
          </w:p>
        </w:tc>
        <w:tc>
          <w:tcPr>
            <w:tcW w:w="5131" w:type="dxa"/>
          </w:tcPr>
          <w:p>
            <w:pPr>
              <w:pStyle w:val="TableParagraph"/>
              <w:spacing w:line="256" w:lineRule="exact" w:before="63"/>
              <w:ind w:right="194"/>
              <w:rPr>
                <w:sz w:val="22"/>
              </w:rPr>
            </w:pPr>
            <w:r>
              <w:rPr>
                <w:sz w:val="22"/>
              </w:rPr>
              <w:t>New route extension from Keene Road to Columbia Park Trail</w:t>
            </w:r>
          </w:p>
        </w:tc>
        <w:tc>
          <w:tcPr>
            <w:tcW w:w="1529" w:type="dxa"/>
          </w:tcPr>
          <w:p>
            <w:pPr>
              <w:pStyle w:val="TableParagraph"/>
              <w:spacing w:before="5"/>
              <w:ind w:left="0"/>
              <w:rPr>
                <w:rFonts w:ascii="Arial"/>
                <w:b/>
                <w:sz w:val="27"/>
              </w:rPr>
            </w:pPr>
          </w:p>
          <w:p>
            <w:pPr>
              <w:pStyle w:val="TableParagraph"/>
              <w:spacing w:line="239" w:lineRule="exact" w:before="0"/>
              <w:rPr>
                <w:sz w:val="22"/>
              </w:rPr>
            </w:pPr>
            <w:r>
              <w:rPr>
                <w:sz w:val="22"/>
              </w:rPr>
              <w:t>360,000</w:t>
            </w:r>
          </w:p>
        </w:tc>
      </w:tr>
    </w:tbl>
    <w:p>
      <w:pPr>
        <w:spacing w:after="0" w:line="239" w:lineRule="exact"/>
        <w:rPr>
          <w:sz w:val="22"/>
        </w:rPr>
        <w:sectPr>
          <w:pgSz w:w="12240" w:h="15840"/>
          <w:pgMar w:header="0" w:footer="1132" w:top="1360" w:bottom="1320" w:left="1300" w:right="1100"/>
        </w:sect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00"/>
        <w:gridCol w:w="5131"/>
        <w:gridCol w:w="1529"/>
      </w:tblGrid>
      <w:tr>
        <w:trPr>
          <w:trHeight w:val="808" w:hRule="atLeast"/>
        </w:trPr>
        <w:tc>
          <w:tcPr>
            <w:tcW w:w="2700" w:type="dxa"/>
            <w:shd w:val="clear" w:color="auto" w:fill="B8CCE3"/>
          </w:tcPr>
          <w:p>
            <w:pPr>
              <w:pStyle w:val="TableParagraph"/>
              <w:spacing w:before="10"/>
              <w:ind w:left="0"/>
              <w:rPr>
                <w:rFonts w:ascii="Arial"/>
                <w:b/>
                <w:sz w:val="27"/>
              </w:rPr>
            </w:pPr>
          </w:p>
          <w:p>
            <w:pPr>
              <w:pStyle w:val="TableParagraph"/>
              <w:spacing w:before="0"/>
              <w:rPr>
                <w:b/>
                <w:sz w:val="22"/>
              </w:rPr>
            </w:pPr>
            <w:r>
              <w:rPr>
                <w:b/>
                <w:sz w:val="22"/>
              </w:rPr>
              <w:t>Project Title</w:t>
            </w:r>
          </w:p>
        </w:tc>
        <w:tc>
          <w:tcPr>
            <w:tcW w:w="5131" w:type="dxa"/>
            <w:shd w:val="clear" w:color="auto" w:fill="B8CCE3"/>
          </w:tcPr>
          <w:p>
            <w:pPr>
              <w:pStyle w:val="TableParagraph"/>
              <w:spacing w:before="10"/>
              <w:ind w:left="0"/>
              <w:rPr>
                <w:rFonts w:ascii="Arial"/>
                <w:b/>
                <w:sz w:val="27"/>
              </w:rPr>
            </w:pPr>
          </w:p>
          <w:p>
            <w:pPr>
              <w:pStyle w:val="TableParagraph"/>
              <w:spacing w:before="0"/>
              <w:rPr>
                <w:b/>
                <w:sz w:val="22"/>
              </w:rPr>
            </w:pPr>
            <w:r>
              <w:rPr>
                <w:b/>
                <w:sz w:val="22"/>
              </w:rPr>
              <w:t>Project Description</w:t>
            </w:r>
          </w:p>
        </w:tc>
        <w:tc>
          <w:tcPr>
            <w:tcW w:w="1529" w:type="dxa"/>
            <w:shd w:val="clear" w:color="auto" w:fill="B8CCE3"/>
          </w:tcPr>
          <w:p>
            <w:pPr>
              <w:pStyle w:val="TableParagraph"/>
              <w:spacing w:before="119"/>
              <w:ind w:left="155"/>
              <w:rPr>
                <w:b/>
                <w:sz w:val="14"/>
              </w:rPr>
            </w:pPr>
            <w:r>
              <w:rPr>
                <w:b/>
                <w:sz w:val="22"/>
              </w:rPr>
              <w:t>Total Cost </w:t>
            </w:r>
            <w:r>
              <w:rPr>
                <w:b/>
                <w:position w:val="5"/>
                <w:sz w:val="14"/>
              </w:rPr>
              <w:t>1</w:t>
            </w:r>
          </w:p>
          <w:p>
            <w:pPr>
              <w:pStyle w:val="TableParagraph"/>
              <w:spacing w:before="146"/>
              <w:rPr>
                <w:b/>
                <w:sz w:val="22"/>
              </w:rPr>
            </w:pPr>
            <w:r>
              <w:rPr>
                <w:b/>
                <w:sz w:val="22"/>
              </w:rPr>
              <w:t>($)</w:t>
            </w:r>
          </w:p>
        </w:tc>
      </w:tr>
      <w:tr>
        <w:trPr>
          <w:trHeight w:val="854" w:hRule="atLeast"/>
        </w:trPr>
        <w:tc>
          <w:tcPr>
            <w:tcW w:w="2700" w:type="dxa"/>
          </w:tcPr>
          <w:p>
            <w:pPr>
              <w:pStyle w:val="TableParagraph"/>
              <w:spacing w:before="198"/>
              <w:ind w:right="1178"/>
              <w:rPr>
                <w:sz w:val="22"/>
              </w:rPr>
            </w:pPr>
            <w:r>
              <w:rPr>
                <w:sz w:val="22"/>
              </w:rPr>
              <w:t>Reata Road Improvements</w:t>
            </w:r>
          </w:p>
        </w:tc>
        <w:tc>
          <w:tcPr>
            <w:tcW w:w="5131" w:type="dxa"/>
          </w:tcPr>
          <w:p>
            <w:pPr>
              <w:pStyle w:val="TableParagraph"/>
              <w:spacing w:before="198"/>
              <w:ind w:left="108" w:right="156" w:hanging="1"/>
              <w:rPr>
                <w:sz w:val="22"/>
              </w:rPr>
            </w:pPr>
            <w:r>
              <w:rPr>
                <w:sz w:val="22"/>
              </w:rPr>
              <w:t>Urban street improvements between KID Canal and Leslie Road with signal at Leslie</w:t>
            </w:r>
          </w:p>
        </w:tc>
        <w:tc>
          <w:tcPr>
            <w:tcW w:w="1529" w:type="dxa"/>
          </w:tcPr>
          <w:p>
            <w:pPr>
              <w:pStyle w:val="TableParagraph"/>
              <w:spacing w:before="0"/>
              <w:ind w:left="0"/>
              <w:rPr>
                <w:rFonts w:ascii="Arial"/>
                <w:b/>
                <w:sz w:val="26"/>
              </w:rPr>
            </w:pPr>
          </w:p>
          <w:p>
            <w:pPr>
              <w:pStyle w:val="TableParagraph"/>
              <w:spacing w:before="10"/>
              <w:ind w:left="0"/>
              <w:rPr>
                <w:rFonts w:ascii="Arial"/>
                <w:b/>
                <w:sz w:val="25"/>
              </w:rPr>
            </w:pPr>
          </w:p>
          <w:p>
            <w:pPr>
              <w:pStyle w:val="TableParagraph"/>
              <w:spacing w:line="237" w:lineRule="exact" w:before="0"/>
              <w:rPr>
                <w:sz w:val="22"/>
              </w:rPr>
            </w:pPr>
            <w:r>
              <w:rPr>
                <w:sz w:val="22"/>
              </w:rPr>
              <w:t>3,045,735</w:t>
            </w:r>
          </w:p>
        </w:tc>
      </w:tr>
      <w:tr>
        <w:trPr>
          <w:trHeight w:val="1091" w:hRule="atLeast"/>
        </w:trPr>
        <w:tc>
          <w:tcPr>
            <w:tcW w:w="2700" w:type="dxa"/>
          </w:tcPr>
          <w:p>
            <w:pPr>
              <w:pStyle w:val="TableParagraph"/>
              <w:ind w:right="235"/>
              <w:rPr>
                <w:sz w:val="22"/>
              </w:rPr>
            </w:pPr>
            <w:r>
              <w:rPr>
                <w:sz w:val="22"/>
              </w:rPr>
              <w:t>Van Giesen, Swift Blvd. Duportail Street / SR240</w:t>
            </w:r>
          </w:p>
          <w:p>
            <w:pPr>
              <w:pStyle w:val="TableParagraph"/>
              <w:spacing w:line="260" w:lineRule="exact" w:before="1"/>
              <w:ind w:right="1178"/>
              <w:rPr>
                <w:sz w:val="22"/>
              </w:rPr>
            </w:pPr>
            <w:r>
              <w:rPr>
                <w:sz w:val="22"/>
              </w:rPr>
              <w:t>Intersection Improvements</w:t>
            </w:r>
          </w:p>
        </w:tc>
        <w:tc>
          <w:tcPr>
            <w:tcW w:w="5131" w:type="dxa"/>
          </w:tcPr>
          <w:p>
            <w:pPr>
              <w:pStyle w:val="TableParagraph"/>
              <w:spacing w:before="9"/>
              <w:ind w:left="0"/>
              <w:rPr>
                <w:rFonts w:ascii="Arial"/>
                <w:b/>
                <w:sz w:val="38"/>
              </w:rPr>
            </w:pPr>
          </w:p>
          <w:p>
            <w:pPr>
              <w:pStyle w:val="TableParagraph"/>
              <w:spacing w:before="0"/>
              <w:rPr>
                <w:sz w:val="22"/>
              </w:rPr>
            </w:pPr>
            <w:r>
              <w:rPr>
                <w:sz w:val="22"/>
              </w:rPr>
              <w:t>Add lanes</w:t>
            </w:r>
          </w:p>
        </w:tc>
        <w:tc>
          <w:tcPr>
            <w:tcW w:w="1529" w:type="dxa"/>
          </w:tcPr>
          <w:p>
            <w:pPr>
              <w:pStyle w:val="TableParagraph"/>
              <w:spacing w:before="0"/>
              <w:ind w:left="0"/>
              <w:rPr>
                <w:rFonts w:ascii="Arial"/>
                <w:b/>
                <w:sz w:val="26"/>
              </w:rPr>
            </w:pPr>
          </w:p>
          <w:p>
            <w:pPr>
              <w:pStyle w:val="TableParagraph"/>
              <w:spacing w:before="0"/>
              <w:ind w:left="0"/>
              <w:rPr>
                <w:rFonts w:ascii="Arial"/>
                <w:b/>
                <w:sz w:val="26"/>
              </w:rPr>
            </w:pPr>
          </w:p>
          <w:p>
            <w:pPr>
              <w:pStyle w:val="TableParagraph"/>
              <w:spacing w:before="6"/>
              <w:ind w:left="0"/>
              <w:rPr>
                <w:rFonts w:ascii="Arial"/>
                <w:b/>
                <w:sz w:val="20"/>
              </w:rPr>
            </w:pPr>
          </w:p>
          <w:p>
            <w:pPr>
              <w:pStyle w:val="TableParagraph"/>
              <w:spacing w:line="237" w:lineRule="exact" w:before="1"/>
              <w:rPr>
                <w:sz w:val="22"/>
              </w:rPr>
            </w:pPr>
            <w:r>
              <w:rPr>
                <w:sz w:val="22"/>
              </w:rPr>
              <w:t>1,700,000</w:t>
            </w:r>
          </w:p>
        </w:tc>
      </w:tr>
      <w:tr>
        <w:trPr>
          <w:trHeight w:val="571" w:hRule="atLeast"/>
        </w:trPr>
        <w:tc>
          <w:tcPr>
            <w:tcW w:w="2700" w:type="dxa"/>
          </w:tcPr>
          <w:p>
            <w:pPr>
              <w:pStyle w:val="TableParagraph"/>
              <w:spacing w:line="260" w:lineRule="atLeast" w:before="53"/>
              <w:ind w:right="926"/>
              <w:rPr>
                <w:sz w:val="22"/>
              </w:rPr>
            </w:pPr>
            <w:r>
              <w:rPr>
                <w:sz w:val="22"/>
              </w:rPr>
              <w:t>Columbia Park Trail/Leslie Road</w:t>
            </w:r>
          </w:p>
        </w:tc>
        <w:tc>
          <w:tcPr>
            <w:tcW w:w="5131" w:type="dxa"/>
          </w:tcPr>
          <w:p>
            <w:pPr>
              <w:pStyle w:val="TableParagraph"/>
              <w:spacing w:before="185"/>
              <w:rPr>
                <w:sz w:val="22"/>
              </w:rPr>
            </w:pPr>
            <w:r>
              <w:rPr>
                <w:sz w:val="22"/>
              </w:rPr>
              <w:t>Add traffic signal</w:t>
            </w:r>
          </w:p>
        </w:tc>
        <w:tc>
          <w:tcPr>
            <w:tcW w:w="1529" w:type="dxa"/>
          </w:tcPr>
          <w:p>
            <w:pPr>
              <w:pStyle w:val="TableParagraph"/>
              <w:spacing w:before="4"/>
              <w:ind w:left="0"/>
              <w:rPr>
                <w:rFonts w:ascii="Arial"/>
                <w:b/>
                <w:sz w:val="27"/>
              </w:rPr>
            </w:pPr>
          </w:p>
          <w:p>
            <w:pPr>
              <w:pStyle w:val="TableParagraph"/>
              <w:spacing w:line="237" w:lineRule="exact" w:before="0"/>
              <w:rPr>
                <w:sz w:val="22"/>
              </w:rPr>
            </w:pPr>
            <w:r>
              <w:rPr>
                <w:sz w:val="22"/>
              </w:rPr>
              <w:t>300,000</w:t>
            </w:r>
          </w:p>
        </w:tc>
      </w:tr>
      <w:tr>
        <w:trPr>
          <w:trHeight w:val="832" w:hRule="atLeast"/>
        </w:trPr>
        <w:tc>
          <w:tcPr>
            <w:tcW w:w="2700" w:type="dxa"/>
          </w:tcPr>
          <w:p>
            <w:pPr>
              <w:pStyle w:val="TableParagraph"/>
              <w:spacing w:before="187"/>
              <w:ind w:right="385"/>
              <w:rPr>
                <w:sz w:val="22"/>
              </w:rPr>
            </w:pPr>
            <w:r>
              <w:rPr>
                <w:sz w:val="22"/>
              </w:rPr>
              <w:t>Badger South Sub-Area Plan</w:t>
            </w:r>
          </w:p>
        </w:tc>
        <w:tc>
          <w:tcPr>
            <w:tcW w:w="5131" w:type="dxa"/>
          </w:tcPr>
          <w:p>
            <w:pPr>
              <w:pStyle w:val="TableParagraph"/>
              <w:spacing w:before="6"/>
              <w:ind w:left="0"/>
              <w:rPr>
                <w:rFonts w:ascii="Arial"/>
                <w:b/>
                <w:sz w:val="27"/>
              </w:rPr>
            </w:pPr>
          </w:p>
          <w:p>
            <w:pPr>
              <w:pStyle w:val="TableParagraph"/>
              <w:spacing w:before="0"/>
              <w:rPr>
                <w:sz w:val="22"/>
              </w:rPr>
            </w:pPr>
            <w:r>
              <w:rPr>
                <w:sz w:val="22"/>
              </w:rPr>
              <w:t>Collector roadway network</w:t>
            </w:r>
          </w:p>
        </w:tc>
        <w:tc>
          <w:tcPr>
            <w:tcW w:w="1529" w:type="dxa"/>
          </w:tcPr>
          <w:p>
            <w:pPr>
              <w:pStyle w:val="TableParagraph"/>
              <w:spacing w:before="58"/>
              <w:rPr>
                <w:sz w:val="22"/>
              </w:rPr>
            </w:pPr>
            <w:r>
              <w:rPr>
                <w:sz w:val="22"/>
              </w:rPr>
              <w:t>TBD,</w:t>
            </w:r>
          </w:p>
          <w:p>
            <w:pPr>
              <w:pStyle w:val="TableParagraph"/>
              <w:spacing w:line="256" w:lineRule="exact" w:before="5"/>
              <w:ind w:right="423"/>
              <w:rPr>
                <w:sz w:val="22"/>
              </w:rPr>
            </w:pPr>
            <w:r>
              <w:rPr>
                <w:sz w:val="22"/>
              </w:rPr>
              <w:t>Developer Funded</w:t>
            </w:r>
          </w:p>
        </w:tc>
      </w:tr>
      <w:tr>
        <w:trPr>
          <w:trHeight w:val="832" w:hRule="atLeast"/>
        </w:trPr>
        <w:tc>
          <w:tcPr>
            <w:tcW w:w="2700" w:type="dxa"/>
          </w:tcPr>
          <w:p>
            <w:pPr>
              <w:pStyle w:val="TableParagraph"/>
              <w:spacing w:before="189"/>
              <w:ind w:right="414"/>
              <w:rPr>
                <w:sz w:val="22"/>
              </w:rPr>
            </w:pPr>
            <w:r>
              <w:rPr>
                <w:sz w:val="22"/>
              </w:rPr>
              <w:t>Horn Rapids Industrial Area</w:t>
            </w:r>
          </w:p>
        </w:tc>
        <w:tc>
          <w:tcPr>
            <w:tcW w:w="5131" w:type="dxa"/>
          </w:tcPr>
          <w:p>
            <w:pPr>
              <w:pStyle w:val="TableParagraph"/>
              <w:spacing w:before="5"/>
              <w:ind w:left="0"/>
              <w:rPr>
                <w:rFonts w:ascii="Arial"/>
                <w:b/>
                <w:sz w:val="27"/>
              </w:rPr>
            </w:pPr>
          </w:p>
          <w:p>
            <w:pPr>
              <w:pStyle w:val="TableParagraph"/>
              <w:spacing w:before="1"/>
              <w:rPr>
                <w:sz w:val="22"/>
              </w:rPr>
            </w:pPr>
            <w:r>
              <w:rPr>
                <w:sz w:val="22"/>
              </w:rPr>
              <w:t>Collector roadway network</w:t>
            </w:r>
          </w:p>
        </w:tc>
        <w:tc>
          <w:tcPr>
            <w:tcW w:w="1529" w:type="dxa"/>
          </w:tcPr>
          <w:p>
            <w:pPr>
              <w:pStyle w:val="TableParagraph"/>
              <w:spacing w:line="257" w:lineRule="exact"/>
              <w:rPr>
                <w:sz w:val="22"/>
              </w:rPr>
            </w:pPr>
            <w:r>
              <w:rPr>
                <w:sz w:val="22"/>
              </w:rPr>
              <w:t>TBD,</w:t>
            </w:r>
          </w:p>
          <w:p>
            <w:pPr>
              <w:pStyle w:val="TableParagraph"/>
              <w:spacing w:line="260" w:lineRule="exact" w:before="1"/>
              <w:ind w:right="423"/>
              <w:rPr>
                <w:sz w:val="22"/>
              </w:rPr>
            </w:pPr>
            <w:r>
              <w:rPr>
                <w:sz w:val="22"/>
              </w:rPr>
              <w:t>Developer Funded</w:t>
            </w:r>
          </w:p>
        </w:tc>
      </w:tr>
    </w:tbl>
    <w:p>
      <w:pPr>
        <w:spacing w:before="59"/>
        <w:ind w:left="140" w:right="336" w:hanging="1"/>
        <w:jc w:val="both"/>
        <w:rPr>
          <w:i/>
          <w:sz w:val="20"/>
        </w:rPr>
      </w:pPr>
      <w:r>
        <w:rPr>
          <w:i/>
          <w:position w:val="5"/>
          <w:sz w:val="13"/>
        </w:rPr>
        <w:t>1</w:t>
      </w:r>
      <w:r>
        <w:rPr>
          <w:i/>
          <w:sz w:val="20"/>
        </w:rPr>
        <w:t>Funding</w:t>
      </w:r>
      <w:r>
        <w:rPr>
          <w:i/>
          <w:spacing w:val="-5"/>
          <w:sz w:val="20"/>
        </w:rPr>
        <w:t> </w:t>
      </w:r>
      <w:r>
        <w:rPr>
          <w:i/>
          <w:sz w:val="20"/>
        </w:rPr>
        <w:t>for</w:t>
      </w:r>
      <w:r>
        <w:rPr>
          <w:i/>
          <w:spacing w:val="-5"/>
          <w:sz w:val="20"/>
        </w:rPr>
        <w:t> </w:t>
      </w:r>
      <w:r>
        <w:rPr>
          <w:i/>
          <w:sz w:val="20"/>
        </w:rPr>
        <w:t>these</w:t>
      </w:r>
      <w:r>
        <w:rPr>
          <w:i/>
          <w:spacing w:val="-4"/>
          <w:sz w:val="20"/>
        </w:rPr>
        <w:t> </w:t>
      </w:r>
      <w:r>
        <w:rPr>
          <w:i/>
          <w:sz w:val="20"/>
        </w:rPr>
        <w:t>projects</w:t>
      </w:r>
      <w:r>
        <w:rPr>
          <w:i/>
          <w:spacing w:val="-3"/>
          <w:sz w:val="20"/>
        </w:rPr>
        <w:t> </w:t>
      </w:r>
      <w:r>
        <w:rPr>
          <w:i/>
          <w:sz w:val="20"/>
        </w:rPr>
        <w:t>will</w:t>
      </w:r>
      <w:r>
        <w:rPr>
          <w:i/>
          <w:spacing w:val="-6"/>
          <w:sz w:val="20"/>
        </w:rPr>
        <w:t> </w:t>
      </w:r>
      <w:r>
        <w:rPr>
          <w:i/>
          <w:sz w:val="20"/>
        </w:rPr>
        <w:t>come</w:t>
      </w:r>
      <w:r>
        <w:rPr>
          <w:i/>
          <w:spacing w:val="-4"/>
          <w:sz w:val="20"/>
        </w:rPr>
        <w:t> </w:t>
      </w:r>
      <w:r>
        <w:rPr>
          <w:i/>
          <w:sz w:val="20"/>
        </w:rPr>
        <w:t>from</w:t>
      </w:r>
      <w:r>
        <w:rPr>
          <w:i/>
          <w:spacing w:val="-6"/>
          <w:sz w:val="20"/>
        </w:rPr>
        <w:t> </w:t>
      </w:r>
      <w:r>
        <w:rPr>
          <w:i/>
          <w:sz w:val="20"/>
        </w:rPr>
        <w:t>a</w:t>
      </w:r>
      <w:r>
        <w:rPr>
          <w:i/>
          <w:spacing w:val="-2"/>
          <w:sz w:val="20"/>
        </w:rPr>
        <w:t> </w:t>
      </w:r>
      <w:r>
        <w:rPr>
          <w:i/>
          <w:sz w:val="20"/>
        </w:rPr>
        <w:t>variety</w:t>
      </w:r>
      <w:r>
        <w:rPr>
          <w:i/>
          <w:spacing w:val="-7"/>
          <w:sz w:val="20"/>
        </w:rPr>
        <w:t> </w:t>
      </w:r>
      <w:r>
        <w:rPr>
          <w:i/>
          <w:sz w:val="20"/>
        </w:rPr>
        <w:t>of</w:t>
      </w:r>
      <w:r>
        <w:rPr>
          <w:i/>
          <w:spacing w:val="-6"/>
          <w:sz w:val="20"/>
        </w:rPr>
        <w:t> </w:t>
      </w:r>
      <w:r>
        <w:rPr>
          <w:i/>
          <w:sz w:val="20"/>
        </w:rPr>
        <w:t>sources,</w:t>
      </w:r>
      <w:r>
        <w:rPr>
          <w:i/>
          <w:spacing w:val="-5"/>
          <w:sz w:val="20"/>
        </w:rPr>
        <w:t> </w:t>
      </w:r>
      <w:r>
        <w:rPr>
          <w:i/>
          <w:sz w:val="20"/>
        </w:rPr>
        <w:t>including</w:t>
      </w:r>
      <w:r>
        <w:rPr>
          <w:i/>
          <w:spacing w:val="-4"/>
          <w:sz w:val="20"/>
        </w:rPr>
        <w:t> </w:t>
      </w:r>
      <w:r>
        <w:rPr>
          <w:i/>
          <w:sz w:val="20"/>
        </w:rPr>
        <w:t>impact</w:t>
      </w:r>
      <w:r>
        <w:rPr>
          <w:i/>
          <w:spacing w:val="-6"/>
          <w:sz w:val="20"/>
        </w:rPr>
        <w:t> </w:t>
      </w:r>
      <w:r>
        <w:rPr>
          <w:i/>
          <w:sz w:val="20"/>
        </w:rPr>
        <w:t>fees,</w:t>
      </w:r>
      <w:r>
        <w:rPr>
          <w:i/>
          <w:spacing w:val="-5"/>
          <w:sz w:val="20"/>
        </w:rPr>
        <w:t> </w:t>
      </w:r>
      <w:r>
        <w:rPr>
          <w:i/>
          <w:sz w:val="20"/>
        </w:rPr>
        <w:t>developer</w:t>
      </w:r>
      <w:r>
        <w:rPr>
          <w:i/>
          <w:spacing w:val="-5"/>
          <w:sz w:val="20"/>
        </w:rPr>
        <w:t> </w:t>
      </w:r>
      <w:r>
        <w:rPr>
          <w:i/>
          <w:sz w:val="20"/>
        </w:rPr>
        <w:t>construction,</w:t>
      </w:r>
      <w:r>
        <w:rPr>
          <w:i/>
          <w:spacing w:val="-6"/>
          <w:sz w:val="20"/>
        </w:rPr>
        <w:t> </w:t>
      </w:r>
      <w:r>
        <w:rPr>
          <w:i/>
          <w:sz w:val="20"/>
        </w:rPr>
        <w:t>City </w:t>
      </w:r>
      <w:r>
        <w:rPr>
          <w:i/>
          <w:sz w:val="20"/>
        </w:rPr>
        <w:t>General Funds, Transportation Improvement Board grants, Highway Safety Program grants, State funding, Federal Surface Transportation Program funding as well as other Federal</w:t>
      </w:r>
      <w:r>
        <w:rPr>
          <w:i/>
          <w:spacing w:val="-12"/>
          <w:sz w:val="20"/>
        </w:rPr>
        <w:t> </w:t>
      </w:r>
      <w:r>
        <w:rPr>
          <w:i/>
          <w:sz w:val="20"/>
        </w:rPr>
        <w:t>Grants.</w:t>
      </w:r>
    </w:p>
    <w:p>
      <w:pPr>
        <w:pStyle w:val="BodyText"/>
        <w:spacing w:before="2"/>
        <w:rPr>
          <w:i/>
          <w:sz w:val="17"/>
        </w:rPr>
      </w:pPr>
    </w:p>
    <w:p>
      <w:pPr>
        <w:spacing w:before="1"/>
        <w:ind w:left="140" w:right="0" w:firstLine="0"/>
        <w:jc w:val="both"/>
        <w:rPr>
          <w:b/>
          <w:sz w:val="22"/>
        </w:rPr>
      </w:pPr>
      <w:bookmarkStart w:name="Transportation Demand Management" w:id="159"/>
      <w:bookmarkEnd w:id="159"/>
      <w:r>
        <w:rPr/>
      </w:r>
      <w:r>
        <w:rPr>
          <w:b/>
          <w:color w:val="C0504D"/>
          <w:sz w:val="22"/>
        </w:rPr>
        <w:t>Transportation Demand Management</w:t>
      </w:r>
    </w:p>
    <w:p>
      <w:pPr>
        <w:pStyle w:val="BodyText"/>
        <w:spacing w:before="119"/>
        <w:ind w:left="139" w:right="333"/>
        <w:jc w:val="both"/>
      </w:pPr>
      <w:r>
        <w:rPr/>
        <w:t>Consistent with TE Goal 1, Policy 4, the City of Richland also actively participates in the preparation of the Regional Transportation Plan and the planning process with the Benton Franklin Council of Governments. This process regularly includes efforts regarding all modes of travel including transit, bicycle and pedestrian facilities, rail, and air. The Regional Transportation Plan includes a chapter on</w:t>
      </w:r>
      <w:r>
        <w:rPr>
          <w:spacing w:val="-11"/>
        </w:rPr>
        <w:t> </w:t>
      </w:r>
      <w:r>
        <w:rPr/>
        <w:t>Transportation</w:t>
      </w:r>
      <w:r>
        <w:rPr>
          <w:spacing w:val="-11"/>
        </w:rPr>
        <w:t> </w:t>
      </w:r>
      <w:r>
        <w:rPr/>
        <w:t>Choices</w:t>
      </w:r>
      <w:r>
        <w:rPr>
          <w:spacing w:val="-9"/>
        </w:rPr>
        <w:t> </w:t>
      </w:r>
      <w:r>
        <w:rPr/>
        <w:t>that</w:t>
      </w:r>
      <w:r>
        <w:rPr>
          <w:spacing w:val="-9"/>
        </w:rPr>
        <w:t> </w:t>
      </w:r>
      <w:r>
        <w:rPr/>
        <w:t>discusses</w:t>
      </w:r>
      <w:r>
        <w:rPr>
          <w:spacing w:val="-9"/>
        </w:rPr>
        <w:t> </w:t>
      </w:r>
      <w:r>
        <w:rPr/>
        <w:t>the</w:t>
      </w:r>
      <w:r>
        <w:rPr>
          <w:spacing w:val="-10"/>
        </w:rPr>
        <w:t> </w:t>
      </w:r>
      <w:r>
        <w:rPr/>
        <w:t>results</w:t>
      </w:r>
      <w:r>
        <w:rPr>
          <w:spacing w:val="-9"/>
        </w:rPr>
        <w:t> </w:t>
      </w:r>
      <w:r>
        <w:rPr/>
        <w:t>and</w:t>
      </w:r>
      <w:r>
        <w:rPr>
          <w:spacing w:val="-9"/>
        </w:rPr>
        <w:t> </w:t>
      </w:r>
      <w:r>
        <w:rPr/>
        <w:t>benefits</w:t>
      </w:r>
      <w:r>
        <w:rPr>
          <w:spacing w:val="-9"/>
        </w:rPr>
        <w:t> </w:t>
      </w:r>
      <w:r>
        <w:rPr/>
        <w:t>of</w:t>
      </w:r>
      <w:r>
        <w:rPr>
          <w:spacing w:val="-10"/>
        </w:rPr>
        <w:t> </w:t>
      </w:r>
      <w:r>
        <w:rPr/>
        <w:t>these</w:t>
      </w:r>
      <w:r>
        <w:rPr>
          <w:spacing w:val="-10"/>
        </w:rPr>
        <w:t> </w:t>
      </w:r>
      <w:r>
        <w:rPr/>
        <w:t>alternative</w:t>
      </w:r>
      <w:r>
        <w:rPr>
          <w:spacing w:val="-9"/>
        </w:rPr>
        <w:t> </w:t>
      </w:r>
      <w:r>
        <w:rPr/>
        <w:t>modes</w:t>
      </w:r>
      <w:r>
        <w:rPr>
          <w:spacing w:val="-9"/>
        </w:rPr>
        <w:t> </w:t>
      </w:r>
      <w:r>
        <w:rPr/>
        <w:t>of</w:t>
      </w:r>
      <w:r>
        <w:rPr>
          <w:spacing w:val="-10"/>
        </w:rPr>
        <w:t> </w:t>
      </w:r>
      <w:r>
        <w:rPr/>
        <w:t>travel that can reduce congestion, postpone the need for roadway improvements and improve air</w:t>
      </w:r>
      <w:r>
        <w:rPr>
          <w:spacing w:val="-32"/>
        </w:rPr>
        <w:t> </w:t>
      </w:r>
      <w:r>
        <w:rPr/>
        <w:t>quality.</w:t>
      </w:r>
    </w:p>
    <w:p>
      <w:pPr>
        <w:pStyle w:val="BodyText"/>
        <w:spacing w:before="120"/>
        <w:ind w:left="140" w:right="337"/>
        <w:jc w:val="both"/>
      </w:pPr>
      <w:r>
        <w:rPr/>
        <w:t>Other common strategies to reduce the automobile travel and the need for roadway improvements include the following:</w:t>
      </w:r>
    </w:p>
    <w:p>
      <w:pPr>
        <w:pStyle w:val="ListParagraph"/>
        <w:numPr>
          <w:ilvl w:val="2"/>
          <w:numId w:val="5"/>
        </w:numPr>
        <w:tabs>
          <w:tab w:pos="860" w:val="left" w:leader="none"/>
          <w:tab w:pos="861" w:val="left" w:leader="none"/>
        </w:tabs>
        <w:spacing w:line="240" w:lineRule="auto" w:before="60" w:after="0"/>
        <w:ind w:left="860" w:right="337" w:hanging="361"/>
        <w:jc w:val="left"/>
        <w:rPr>
          <w:sz w:val="22"/>
        </w:rPr>
      </w:pPr>
      <w:r>
        <w:rPr>
          <w:sz w:val="22"/>
        </w:rPr>
        <w:t>Assignment of a transportation coordinator to help employees find alternative commuting options;</w:t>
      </w:r>
    </w:p>
    <w:p>
      <w:pPr>
        <w:pStyle w:val="ListParagraph"/>
        <w:numPr>
          <w:ilvl w:val="2"/>
          <w:numId w:val="5"/>
        </w:numPr>
        <w:tabs>
          <w:tab w:pos="860" w:val="left" w:leader="none"/>
          <w:tab w:pos="861" w:val="left" w:leader="none"/>
        </w:tabs>
        <w:spacing w:line="240" w:lineRule="auto" w:before="61" w:after="0"/>
        <w:ind w:left="860" w:right="0" w:hanging="361"/>
        <w:jc w:val="left"/>
        <w:rPr>
          <w:sz w:val="22"/>
        </w:rPr>
      </w:pPr>
      <w:r>
        <w:rPr>
          <w:sz w:val="22"/>
        </w:rPr>
        <w:t>Cash-out parking programs that pay employees to give up their parking</w:t>
      </w:r>
      <w:r>
        <w:rPr>
          <w:spacing w:val="-16"/>
          <w:sz w:val="22"/>
        </w:rPr>
        <w:t> </w:t>
      </w:r>
      <w:r>
        <w:rPr>
          <w:sz w:val="22"/>
        </w:rPr>
        <w:t>spaces;</w:t>
      </w:r>
    </w:p>
    <w:p>
      <w:pPr>
        <w:pStyle w:val="ListParagraph"/>
        <w:numPr>
          <w:ilvl w:val="2"/>
          <w:numId w:val="5"/>
        </w:numPr>
        <w:tabs>
          <w:tab w:pos="860" w:val="left" w:leader="none"/>
          <w:tab w:pos="861" w:val="left" w:leader="none"/>
        </w:tabs>
        <w:spacing w:line="240" w:lineRule="auto" w:before="59" w:after="0"/>
        <w:ind w:left="860" w:right="0" w:hanging="361"/>
        <w:jc w:val="left"/>
        <w:rPr>
          <w:sz w:val="22"/>
        </w:rPr>
      </w:pPr>
      <w:r>
        <w:rPr>
          <w:sz w:val="22"/>
        </w:rPr>
        <w:t>Employer-sponsored shuttles or</w:t>
      </w:r>
      <w:r>
        <w:rPr>
          <w:spacing w:val="-5"/>
          <w:sz w:val="22"/>
        </w:rPr>
        <w:t> </w:t>
      </w:r>
      <w:r>
        <w:rPr>
          <w:sz w:val="22"/>
        </w:rPr>
        <w:t>vanpools;</w:t>
      </w:r>
    </w:p>
    <w:p>
      <w:pPr>
        <w:pStyle w:val="ListParagraph"/>
        <w:numPr>
          <w:ilvl w:val="2"/>
          <w:numId w:val="5"/>
        </w:numPr>
        <w:tabs>
          <w:tab w:pos="860" w:val="left" w:leader="none"/>
          <w:tab w:pos="861" w:val="left" w:leader="none"/>
        </w:tabs>
        <w:spacing w:line="240" w:lineRule="auto" w:before="61" w:after="0"/>
        <w:ind w:left="860" w:right="0" w:hanging="361"/>
        <w:jc w:val="left"/>
        <w:rPr>
          <w:sz w:val="22"/>
        </w:rPr>
      </w:pPr>
      <w:r>
        <w:rPr>
          <w:sz w:val="22"/>
        </w:rPr>
        <w:t>Carpool or vanpool incentives or</w:t>
      </w:r>
      <w:r>
        <w:rPr>
          <w:spacing w:val="-9"/>
          <w:sz w:val="22"/>
        </w:rPr>
        <w:t> </w:t>
      </w:r>
      <w:r>
        <w:rPr>
          <w:sz w:val="22"/>
        </w:rPr>
        <w:t>subsidies;</w:t>
      </w:r>
    </w:p>
    <w:p>
      <w:pPr>
        <w:pStyle w:val="ListParagraph"/>
        <w:numPr>
          <w:ilvl w:val="2"/>
          <w:numId w:val="5"/>
        </w:numPr>
        <w:tabs>
          <w:tab w:pos="860" w:val="left" w:leader="none"/>
          <w:tab w:pos="861" w:val="left" w:leader="none"/>
        </w:tabs>
        <w:spacing w:line="240" w:lineRule="auto" w:before="59" w:after="0"/>
        <w:ind w:left="860" w:right="0" w:hanging="361"/>
        <w:jc w:val="left"/>
        <w:rPr>
          <w:sz w:val="22"/>
        </w:rPr>
      </w:pPr>
      <w:r>
        <w:rPr>
          <w:sz w:val="22"/>
        </w:rPr>
        <w:t>Ride-matching</w:t>
      </w:r>
      <w:r>
        <w:rPr>
          <w:spacing w:val="-1"/>
          <w:sz w:val="22"/>
        </w:rPr>
        <w:t> </w:t>
      </w:r>
      <w:r>
        <w:rPr>
          <w:sz w:val="22"/>
        </w:rPr>
        <w:t>services;</w:t>
      </w:r>
    </w:p>
    <w:p>
      <w:pPr>
        <w:pStyle w:val="ListParagraph"/>
        <w:numPr>
          <w:ilvl w:val="2"/>
          <w:numId w:val="5"/>
        </w:numPr>
        <w:tabs>
          <w:tab w:pos="860" w:val="left" w:leader="none"/>
          <w:tab w:pos="861" w:val="left" w:leader="none"/>
        </w:tabs>
        <w:spacing w:line="240" w:lineRule="auto" w:before="61" w:after="0"/>
        <w:ind w:left="860" w:right="0" w:hanging="361"/>
        <w:jc w:val="left"/>
        <w:rPr>
          <w:sz w:val="22"/>
        </w:rPr>
      </w:pPr>
      <w:r>
        <w:rPr>
          <w:sz w:val="22"/>
        </w:rPr>
        <w:t>Preferential carpool and vanpool</w:t>
      </w:r>
      <w:r>
        <w:rPr>
          <w:spacing w:val="-5"/>
          <w:sz w:val="22"/>
        </w:rPr>
        <w:t> </w:t>
      </w:r>
      <w:r>
        <w:rPr>
          <w:sz w:val="22"/>
        </w:rPr>
        <w:t>parking;</w:t>
      </w:r>
    </w:p>
    <w:p>
      <w:pPr>
        <w:pStyle w:val="ListParagraph"/>
        <w:numPr>
          <w:ilvl w:val="2"/>
          <w:numId w:val="5"/>
        </w:numPr>
        <w:tabs>
          <w:tab w:pos="860" w:val="left" w:leader="none"/>
          <w:tab w:pos="861" w:val="left" w:leader="none"/>
        </w:tabs>
        <w:spacing w:line="240" w:lineRule="auto" w:before="59" w:after="0"/>
        <w:ind w:left="860" w:right="0" w:hanging="361"/>
        <w:jc w:val="left"/>
        <w:rPr>
          <w:sz w:val="22"/>
        </w:rPr>
      </w:pPr>
      <w:r>
        <w:rPr>
          <w:sz w:val="22"/>
        </w:rPr>
        <w:t>Commute alternatives</w:t>
      </w:r>
      <w:r>
        <w:rPr>
          <w:spacing w:val="-2"/>
          <w:sz w:val="22"/>
        </w:rPr>
        <w:t> </w:t>
      </w:r>
      <w:r>
        <w:rPr>
          <w:sz w:val="22"/>
        </w:rPr>
        <w:t>information;</w:t>
      </w:r>
    </w:p>
    <w:p>
      <w:pPr>
        <w:pStyle w:val="ListParagraph"/>
        <w:numPr>
          <w:ilvl w:val="2"/>
          <w:numId w:val="5"/>
        </w:numPr>
        <w:tabs>
          <w:tab w:pos="860" w:val="left" w:leader="none"/>
          <w:tab w:pos="861" w:val="left" w:leader="none"/>
        </w:tabs>
        <w:spacing w:line="240" w:lineRule="auto" w:before="61" w:after="0"/>
        <w:ind w:left="860" w:right="0" w:hanging="361"/>
        <w:jc w:val="left"/>
        <w:rPr>
          <w:sz w:val="22"/>
        </w:rPr>
      </w:pPr>
      <w:r>
        <w:rPr>
          <w:sz w:val="22"/>
        </w:rPr>
        <w:t>Provision of showers and locker facilities for bicycle and pedestrian</w:t>
      </w:r>
      <w:r>
        <w:rPr>
          <w:spacing w:val="-17"/>
          <w:sz w:val="22"/>
        </w:rPr>
        <w:t> </w:t>
      </w:r>
      <w:r>
        <w:rPr>
          <w:sz w:val="22"/>
        </w:rPr>
        <w:t>commuters;</w:t>
      </w:r>
    </w:p>
    <w:p>
      <w:pPr>
        <w:pStyle w:val="ListParagraph"/>
        <w:numPr>
          <w:ilvl w:val="2"/>
          <w:numId w:val="5"/>
        </w:numPr>
        <w:tabs>
          <w:tab w:pos="861" w:val="left" w:leader="none"/>
          <w:tab w:pos="862" w:val="left" w:leader="none"/>
        </w:tabs>
        <w:spacing w:line="240" w:lineRule="auto" w:before="59" w:after="0"/>
        <w:ind w:left="861" w:right="336" w:hanging="361"/>
        <w:jc w:val="left"/>
        <w:rPr>
          <w:sz w:val="22"/>
        </w:rPr>
      </w:pPr>
      <w:r>
        <w:rPr>
          <w:sz w:val="22"/>
        </w:rPr>
        <w:t>Employer-provided travel allowances that employees can use to pay for parking or to commute by a travel</w:t>
      </w:r>
      <w:r>
        <w:rPr>
          <w:spacing w:val="-6"/>
          <w:sz w:val="22"/>
        </w:rPr>
        <w:t> </w:t>
      </w:r>
      <w:r>
        <w:rPr>
          <w:sz w:val="22"/>
        </w:rPr>
        <w:t>alternative;</w:t>
      </w:r>
    </w:p>
    <w:p>
      <w:pPr>
        <w:pStyle w:val="ListParagraph"/>
        <w:numPr>
          <w:ilvl w:val="2"/>
          <w:numId w:val="5"/>
        </w:numPr>
        <w:tabs>
          <w:tab w:pos="861" w:val="left" w:leader="none"/>
          <w:tab w:pos="862" w:val="left" w:leader="none"/>
        </w:tabs>
        <w:spacing w:line="240" w:lineRule="auto" w:before="61" w:after="0"/>
        <w:ind w:left="861" w:right="0" w:hanging="361"/>
        <w:jc w:val="left"/>
        <w:rPr>
          <w:sz w:val="22"/>
        </w:rPr>
      </w:pPr>
      <w:r>
        <w:rPr>
          <w:sz w:val="22"/>
        </w:rPr>
        <w:t>Flexible work</w:t>
      </w:r>
      <w:r>
        <w:rPr>
          <w:spacing w:val="-3"/>
          <w:sz w:val="22"/>
        </w:rPr>
        <w:t> </w:t>
      </w:r>
      <w:r>
        <w:rPr>
          <w:sz w:val="22"/>
        </w:rPr>
        <w:t>hours;</w:t>
      </w:r>
    </w:p>
    <w:p>
      <w:pPr>
        <w:pStyle w:val="ListParagraph"/>
        <w:numPr>
          <w:ilvl w:val="2"/>
          <w:numId w:val="5"/>
        </w:numPr>
        <w:tabs>
          <w:tab w:pos="861" w:val="left" w:leader="none"/>
          <w:tab w:pos="862" w:val="left" w:leader="none"/>
        </w:tabs>
        <w:spacing w:line="240" w:lineRule="auto" w:before="61" w:after="0"/>
        <w:ind w:left="861" w:right="0" w:hanging="361"/>
        <w:jc w:val="left"/>
        <w:rPr>
          <w:sz w:val="22"/>
        </w:rPr>
      </w:pPr>
      <w:r>
        <w:rPr>
          <w:sz w:val="22"/>
        </w:rPr>
        <w:t>Compressed work-week schedules;</w:t>
      </w:r>
      <w:r>
        <w:rPr>
          <w:spacing w:val="-5"/>
          <w:sz w:val="22"/>
        </w:rPr>
        <w:t> </w:t>
      </w:r>
      <w:r>
        <w:rPr>
          <w:sz w:val="22"/>
        </w:rPr>
        <w:t>and</w:t>
      </w:r>
    </w:p>
    <w:p>
      <w:pPr>
        <w:spacing w:after="0" w:line="240" w:lineRule="auto"/>
        <w:jc w:val="left"/>
        <w:rPr>
          <w:sz w:val="22"/>
        </w:rPr>
        <w:sectPr>
          <w:pgSz w:w="12240" w:h="15840"/>
          <w:pgMar w:header="0" w:footer="1132" w:top="1440" w:bottom="1320" w:left="1300" w:right="1100"/>
        </w:sectPr>
      </w:pPr>
    </w:p>
    <w:p>
      <w:pPr>
        <w:pStyle w:val="ListParagraph"/>
        <w:numPr>
          <w:ilvl w:val="2"/>
          <w:numId w:val="5"/>
        </w:numPr>
        <w:tabs>
          <w:tab w:pos="860" w:val="left" w:leader="none"/>
          <w:tab w:pos="861" w:val="left" w:leader="none"/>
        </w:tabs>
        <w:spacing w:line="240" w:lineRule="auto" w:before="80" w:after="0"/>
        <w:ind w:left="860" w:right="334" w:hanging="361"/>
        <w:jc w:val="left"/>
        <w:rPr>
          <w:sz w:val="22"/>
        </w:rPr>
      </w:pPr>
      <w:r>
        <w:rPr>
          <w:sz w:val="22"/>
        </w:rPr>
        <w:t>Telecommuting programs allowing employees to work from home for certain tasks or positions.</w:t>
      </w:r>
    </w:p>
    <w:p>
      <w:pPr>
        <w:pStyle w:val="ListParagraph"/>
        <w:numPr>
          <w:ilvl w:val="2"/>
          <w:numId w:val="5"/>
        </w:numPr>
        <w:tabs>
          <w:tab w:pos="860" w:val="left" w:leader="none"/>
          <w:tab w:pos="861" w:val="left" w:leader="none"/>
        </w:tabs>
        <w:spacing w:line="240" w:lineRule="auto" w:before="60" w:after="0"/>
        <w:ind w:left="860" w:right="336" w:hanging="361"/>
        <w:jc w:val="left"/>
        <w:rPr>
          <w:sz w:val="22"/>
        </w:rPr>
      </w:pPr>
      <w:r>
        <w:rPr>
          <w:sz w:val="22"/>
        </w:rPr>
        <w:t>Form a transportation demand management committee made up of major employers and government</w:t>
      </w:r>
      <w:r>
        <w:rPr>
          <w:spacing w:val="-2"/>
          <w:sz w:val="22"/>
        </w:rPr>
        <w:t> </w:t>
      </w:r>
      <w:r>
        <w:rPr>
          <w:sz w:val="22"/>
        </w:rPr>
        <w:t>representatives.</w:t>
      </w:r>
    </w:p>
    <w:p>
      <w:pPr>
        <w:pStyle w:val="ListParagraph"/>
        <w:numPr>
          <w:ilvl w:val="2"/>
          <w:numId w:val="5"/>
        </w:numPr>
        <w:tabs>
          <w:tab w:pos="860" w:val="left" w:leader="none"/>
          <w:tab w:pos="861" w:val="left" w:leader="none"/>
        </w:tabs>
        <w:spacing w:line="240" w:lineRule="auto" w:before="60" w:after="0"/>
        <w:ind w:left="860" w:right="0" w:hanging="361"/>
        <w:jc w:val="left"/>
        <w:rPr>
          <w:sz w:val="22"/>
        </w:rPr>
      </w:pPr>
      <w:r>
        <w:rPr>
          <w:sz w:val="22"/>
        </w:rPr>
        <w:t>Develop park-and-ride facilities near freeway</w:t>
      </w:r>
      <w:r>
        <w:rPr>
          <w:spacing w:val="-6"/>
          <w:sz w:val="22"/>
        </w:rPr>
        <w:t> </w:t>
      </w:r>
      <w:r>
        <w:rPr>
          <w:sz w:val="22"/>
        </w:rPr>
        <w:t>interchanges.</w:t>
      </w:r>
    </w:p>
    <w:p>
      <w:pPr>
        <w:pStyle w:val="ListParagraph"/>
        <w:numPr>
          <w:ilvl w:val="2"/>
          <w:numId w:val="5"/>
        </w:numPr>
        <w:tabs>
          <w:tab w:pos="860" w:val="left" w:leader="none"/>
          <w:tab w:pos="861" w:val="left" w:leader="none"/>
        </w:tabs>
        <w:spacing w:line="240" w:lineRule="auto" w:before="59" w:after="0"/>
        <w:ind w:left="860" w:right="0" w:hanging="361"/>
        <w:jc w:val="left"/>
        <w:rPr>
          <w:sz w:val="22"/>
        </w:rPr>
      </w:pPr>
      <w:bookmarkStart w:name="Financing and RECOMMENDATIONS" w:id="160"/>
      <w:bookmarkEnd w:id="160"/>
      <w:r>
        <w:rPr/>
      </w:r>
      <w:bookmarkStart w:name="Financing and RECOMMENDATIONS" w:id="161"/>
      <w:bookmarkEnd w:id="161"/>
      <w:r>
        <w:rPr>
          <w:sz w:val="22"/>
        </w:rPr>
        <w:t>De</w:t>
      </w:r>
      <w:r>
        <w:rPr>
          <w:sz w:val="22"/>
        </w:rPr>
        <w:t>velop pedestrian and bicycle facilities between key</w:t>
      </w:r>
      <w:r>
        <w:rPr>
          <w:spacing w:val="-11"/>
          <w:sz w:val="22"/>
        </w:rPr>
        <w:t> </w:t>
      </w:r>
      <w:r>
        <w:rPr>
          <w:sz w:val="22"/>
        </w:rPr>
        <w:t>destinations.</w:t>
      </w:r>
    </w:p>
    <w:p>
      <w:pPr>
        <w:spacing w:before="200"/>
        <w:ind w:left="140" w:right="0" w:firstLine="0"/>
        <w:jc w:val="both"/>
        <w:rPr>
          <w:b/>
          <w:sz w:val="24"/>
        </w:rPr>
      </w:pPr>
      <w:r>
        <w:rPr>
          <w:b/>
          <w:sz w:val="24"/>
        </w:rPr>
        <w:t>FINANCING AND RECOMMENDATIONS</w:t>
      </w:r>
    </w:p>
    <w:p>
      <w:pPr>
        <w:pStyle w:val="BodyText"/>
        <w:spacing w:before="120"/>
        <w:ind w:left="140" w:right="334" w:hanging="1"/>
        <w:jc w:val="both"/>
      </w:pPr>
      <w:r>
        <w:rPr/>
        <w:t>The</w:t>
      </w:r>
      <w:r>
        <w:rPr>
          <w:spacing w:val="-9"/>
        </w:rPr>
        <w:t> </w:t>
      </w:r>
      <w:r>
        <w:rPr/>
        <w:t>City</w:t>
      </w:r>
      <w:r>
        <w:rPr>
          <w:spacing w:val="-9"/>
        </w:rPr>
        <w:t> </w:t>
      </w:r>
      <w:r>
        <w:rPr/>
        <w:t>receives</w:t>
      </w:r>
      <w:r>
        <w:rPr>
          <w:spacing w:val="-8"/>
        </w:rPr>
        <w:t> </w:t>
      </w:r>
      <w:r>
        <w:rPr/>
        <w:t>funding</w:t>
      </w:r>
      <w:r>
        <w:rPr>
          <w:spacing w:val="-9"/>
        </w:rPr>
        <w:t> </w:t>
      </w:r>
      <w:r>
        <w:rPr/>
        <w:t>for</w:t>
      </w:r>
      <w:r>
        <w:rPr>
          <w:spacing w:val="-9"/>
        </w:rPr>
        <w:t> </w:t>
      </w:r>
      <w:r>
        <w:rPr/>
        <w:t>transportation</w:t>
      </w:r>
      <w:r>
        <w:rPr>
          <w:spacing w:val="-9"/>
        </w:rPr>
        <w:t> </w:t>
      </w:r>
      <w:r>
        <w:rPr/>
        <w:t>projects</w:t>
      </w:r>
      <w:r>
        <w:rPr>
          <w:spacing w:val="-7"/>
        </w:rPr>
        <w:t> </w:t>
      </w:r>
      <w:r>
        <w:rPr/>
        <w:t>from</w:t>
      </w:r>
      <w:r>
        <w:rPr>
          <w:spacing w:val="-8"/>
        </w:rPr>
        <w:t> </w:t>
      </w:r>
      <w:r>
        <w:rPr/>
        <w:t>a</w:t>
      </w:r>
      <w:r>
        <w:rPr>
          <w:spacing w:val="-8"/>
        </w:rPr>
        <w:t> </w:t>
      </w:r>
      <w:r>
        <w:rPr/>
        <w:t>variety</w:t>
      </w:r>
      <w:r>
        <w:rPr>
          <w:spacing w:val="-10"/>
        </w:rPr>
        <w:t> </w:t>
      </w:r>
      <w:r>
        <w:rPr/>
        <w:t>of</w:t>
      </w:r>
      <w:r>
        <w:rPr>
          <w:spacing w:val="-8"/>
        </w:rPr>
        <w:t> </w:t>
      </w:r>
      <w:r>
        <w:rPr/>
        <w:t>sources,</w:t>
      </w:r>
      <w:r>
        <w:rPr>
          <w:spacing w:val="-8"/>
        </w:rPr>
        <w:t> </w:t>
      </w:r>
      <w:r>
        <w:rPr/>
        <w:t>including</w:t>
      </w:r>
      <w:r>
        <w:rPr>
          <w:spacing w:val="-8"/>
        </w:rPr>
        <w:t> </w:t>
      </w:r>
      <w:r>
        <w:rPr/>
        <w:t>impact</w:t>
      </w:r>
      <w:r>
        <w:rPr>
          <w:spacing w:val="-8"/>
        </w:rPr>
        <w:t> </w:t>
      </w:r>
      <w:r>
        <w:rPr/>
        <w:t>fees, developer construction, City General Funds, Arterial Street Funds, Transportation Improvement Board grants, Highway Safety Program grants, State funding, Federal Surface Transportation Program funding as well as other Federal</w:t>
      </w:r>
      <w:r>
        <w:rPr>
          <w:spacing w:val="-5"/>
        </w:rPr>
        <w:t> </w:t>
      </w:r>
      <w:r>
        <w:rPr/>
        <w:t>Grants.</w:t>
      </w:r>
    </w:p>
    <w:p>
      <w:pPr>
        <w:pStyle w:val="BodyText"/>
        <w:spacing w:before="120"/>
        <w:ind w:left="140" w:right="334"/>
        <w:jc w:val="both"/>
      </w:pPr>
      <w:r>
        <w:rPr/>
        <w:t>The City collects impact fees established in the Richland Municipal Code (12.03) and began in 2004. It is called the Richland Street Collector Financing Plan and assists to develop the arterial street network</w:t>
      </w:r>
      <w:r>
        <w:rPr>
          <w:spacing w:val="-7"/>
        </w:rPr>
        <w:t> </w:t>
      </w:r>
      <w:r>
        <w:rPr/>
        <w:t>in</w:t>
      </w:r>
      <w:r>
        <w:rPr>
          <w:spacing w:val="-8"/>
        </w:rPr>
        <w:t> </w:t>
      </w:r>
      <w:r>
        <w:rPr/>
        <w:t>Richland</w:t>
      </w:r>
      <w:r>
        <w:rPr>
          <w:spacing w:val="-7"/>
        </w:rPr>
        <w:t> </w:t>
      </w:r>
      <w:r>
        <w:rPr/>
        <w:t>and</w:t>
      </w:r>
      <w:r>
        <w:rPr>
          <w:spacing w:val="-7"/>
        </w:rPr>
        <w:t> </w:t>
      </w:r>
      <w:r>
        <w:rPr/>
        <w:t>to</w:t>
      </w:r>
      <w:r>
        <w:rPr>
          <w:spacing w:val="-6"/>
        </w:rPr>
        <w:t> </w:t>
      </w:r>
      <w:r>
        <w:rPr/>
        <w:t>make</w:t>
      </w:r>
      <w:r>
        <w:rPr>
          <w:spacing w:val="-6"/>
        </w:rPr>
        <w:t> </w:t>
      </w:r>
      <w:r>
        <w:rPr/>
        <w:t>other</w:t>
      </w:r>
      <w:r>
        <w:rPr>
          <w:spacing w:val="-7"/>
        </w:rPr>
        <w:t> </w:t>
      </w:r>
      <w:r>
        <w:rPr/>
        <w:t>improvements</w:t>
      </w:r>
      <w:r>
        <w:rPr>
          <w:spacing w:val="-5"/>
        </w:rPr>
        <w:t> </w:t>
      </w:r>
      <w:r>
        <w:rPr/>
        <w:t>such</w:t>
      </w:r>
      <w:r>
        <w:rPr>
          <w:spacing w:val="-7"/>
        </w:rPr>
        <w:t> </w:t>
      </w:r>
      <w:r>
        <w:rPr/>
        <w:t>as</w:t>
      </w:r>
      <w:r>
        <w:rPr>
          <w:spacing w:val="-5"/>
        </w:rPr>
        <w:t> </w:t>
      </w:r>
      <w:r>
        <w:rPr/>
        <w:t>traffic</w:t>
      </w:r>
      <w:r>
        <w:rPr>
          <w:spacing w:val="-6"/>
        </w:rPr>
        <w:t> </w:t>
      </w:r>
      <w:r>
        <w:rPr/>
        <w:t>signals</w:t>
      </w:r>
      <w:r>
        <w:rPr>
          <w:spacing w:val="-5"/>
        </w:rPr>
        <w:t> </w:t>
      </w:r>
      <w:r>
        <w:rPr/>
        <w:t>as</w:t>
      </w:r>
      <w:r>
        <w:rPr>
          <w:spacing w:val="-6"/>
        </w:rPr>
        <w:t> </w:t>
      </w:r>
      <w:r>
        <w:rPr/>
        <w:t>traffic</w:t>
      </w:r>
      <w:r>
        <w:rPr>
          <w:spacing w:val="-6"/>
        </w:rPr>
        <w:t> </w:t>
      </w:r>
      <w:r>
        <w:rPr/>
        <w:t>volumes</w:t>
      </w:r>
      <w:r>
        <w:rPr>
          <w:spacing w:val="-5"/>
        </w:rPr>
        <w:t> </w:t>
      </w:r>
      <w:r>
        <w:rPr/>
        <w:t>grow. The impact fee area generally involves four zones, South Richland’s fee zones covers the area south of the Yakima River in two zones with the exception of the Badger Mountain South Sub-Area which is covered in a third zone. A fourth zone was added in 2022 and covers the area north of Van Giesen/SR-224 and west of Stevens Drive in north Richland. The impact fee was updated in 2008, 2012, 2018, 2022, and another update expected in 2023. Projects that identified in the Richland Municipal Code (12.03) are also shown on Figure</w:t>
      </w:r>
      <w:r>
        <w:rPr>
          <w:spacing w:val="-15"/>
        </w:rPr>
        <w:t> </w:t>
      </w:r>
      <w:r>
        <w:rPr/>
        <w:t>T-12.</w:t>
      </w:r>
    </w:p>
    <w:p>
      <w:pPr>
        <w:pStyle w:val="BodyText"/>
        <w:spacing w:before="120"/>
        <w:ind w:left="140" w:right="334"/>
        <w:jc w:val="both"/>
      </w:pPr>
      <w:r>
        <w:rPr/>
        <w:t>Richland CIP and Transportation Improvement Plan (TIP) are updated every year. The TIP prioritized projects that are listed in Table T-3 above .</w:t>
      </w:r>
    </w:p>
    <w:p>
      <w:pPr>
        <w:spacing w:after="0"/>
        <w:jc w:val="both"/>
        <w:sectPr>
          <w:pgSz w:w="12240" w:h="15840"/>
          <w:pgMar w:header="0" w:footer="1132" w:top="1360" w:bottom="1320" w:left="1300" w:right="1100"/>
        </w:sectPr>
      </w:pPr>
    </w:p>
    <w:p>
      <w:pPr>
        <w:pStyle w:val="BodyText"/>
        <w:rPr>
          <w:sz w:val="20"/>
        </w:rPr>
      </w:pPr>
    </w:p>
    <w:p>
      <w:pPr>
        <w:pStyle w:val="BodyText"/>
        <w:rPr>
          <w:sz w:val="20"/>
        </w:rPr>
      </w:pPr>
    </w:p>
    <w:p>
      <w:pPr>
        <w:pStyle w:val="BodyText"/>
        <w:rPr>
          <w:sz w:val="20"/>
        </w:rPr>
      </w:pPr>
    </w:p>
    <w:p>
      <w:pPr>
        <w:pStyle w:val="BodyText"/>
        <w:spacing w:before="2"/>
        <w:rPr>
          <w:sz w:val="19"/>
        </w:rPr>
      </w:pPr>
    </w:p>
    <w:p>
      <w:pPr>
        <w:pStyle w:val="Heading1"/>
        <w:ind w:right="3850"/>
      </w:pPr>
      <w:r>
        <w:rPr>
          <w:color w:val="004CA7"/>
        </w:rPr>
        <w:t>City of Richland</w:t>
      </w:r>
    </w:p>
    <w:p>
      <w:pPr>
        <w:pStyle w:val="Heading3"/>
        <w:spacing w:before="56"/>
        <w:ind w:right="3862" w:firstLine="0"/>
        <w:jc w:val="center"/>
      </w:pPr>
      <w:r>
        <w:rPr/>
        <w:t>T-1 - Street Functional Classification System</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4"/>
        <w:rPr>
          <w:rFonts w:ascii="Century Gothic"/>
          <w:b/>
          <w:sz w:val="16"/>
        </w:rPr>
      </w:pPr>
    </w:p>
    <w:p>
      <w:pPr>
        <w:spacing w:after="0"/>
        <w:rPr>
          <w:rFonts w:ascii="Century Gothic"/>
          <w:sz w:val="16"/>
        </w:rPr>
        <w:sectPr>
          <w:footerReference w:type="default" r:id="rId46"/>
          <w:pgSz w:w="15840" w:h="24480"/>
          <w:pgMar w:footer="0" w:header="0" w:top="0" w:bottom="280" w:left="0" w:right="0"/>
        </w:sectPr>
      </w:pPr>
    </w:p>
    <w:p>
      <w:pPr>
        <w:pStyle w:val="BodyText"/>
        <w:spacing w:before="11"/>
        <w:rPr>
          <w:rFonts w:ascii="Century Gothic"/>
          <w:b/>
          <w:sz w:val="32"/>
        </w:rPr>
      </w:pPr>
    </w:p>
    <w:p>
      <w:pPr>
        <w:spacing w:before="0"/>
        <w:ind w:left="0" w:right="0" w:firstLine="0"/>
        <w:jc w:val="right"/>
        <w:rPr>
          <w:rFonts w:ascii="Arial"/>
          <w:b/>
          <w:sz w:val="12"/>
        </w:rPr>
      </w:pPr>
      <w:r>
        <w:rPr>
          <w:rFonts w:ascii="Arial Black"/>
          <w:color w:val="FFFFFF"/>
          <w:spacing w:val="-269"/>
          <w:w w:val="100"/>
          <w:position w:val="-3"/>
          <w:sz w:val="32"/>
        </w:rPr>
        <w:t>U</w:t>
      </w:r>
      <w:r>
        <w:rPr>
          <w:rFonts w:ascii="Arial Black"/>
          <w:spacing w:val="-242"/>
          <w:w w:val="108"/>
          <w:position w:val="-3"/>
          <w:sz w:val="32"/>
        </w:rPr>
        <w:t>V</w:t>
      </w:r>
      <w:r>
        <w:rPr>
          <w:rFonts w:ascii="Arial"/>
          <w:b/>
          <w:spacing w:val="1"/>
          <w:w w:val="103"/>
          <w:sz w:val="12"/>
        </w:rPr>
        <w:t>24</w:t>
      </w:r>
      <w:r>
        <w:rPr>
          <w:rFonts w:ascii="Arial"/>
          <w:b/>
          <w:w w:val="103"/>
          <w:sz w:val="12"/>
        </w:rPr>
        <w:t>0</w:t>
      </w:r>
    </w:p>
    <w:p>
      <w:pPr>
        <w:spacing w:before="108"/>
        <w:ind w:left="3531" w:right="0" w:firstLine="0"/>
        <w:jc w:val="left"/>
        <w:rPr>
          <w:rFonts w:ascii="Century Gothic"/>
          <w:b/>
          <w:sz w:val="12"/>
        </w:rPr>
      </w:pPr>
      <w:r>
        <w:rPr/>
        <w:br w:type="column"/>
      </w:r>
      <w:r>
        <w:rPr>
          <w:rFonts w:ascii="Century Gothic"/>
          <w:b/>
          <w:color w:val="4D4D4D"/>
          <w:w w:val="105"/>
          <w:sz w:val="12"/>
        </w:rPr>
        <w:t>Horn Rapids Rd</w:t>
      </w:r>
    </w:p>
    <w:p>
      <w:pPr>
        <w:pStyle w:val="BodyText"/>
        <w:rPr>
          <w:rFonts w:ascii="Century Gothic"/>
          <w:b/>
          <w:sz w:val="16"/>
        </w:rPr>
      </w:pPr>
    </w:p>
    <w:p>
      <w:pPr>
        <w:pStyle w:val="BodyText"/>
        <w:rPr>
          <w:rFonts w:ascii="Century Gothic"/>
          <w:b/>
          <w:sz w:val="16"/>
        </w:rPr>
      </w:pPr>
    </w:p>
    <w:p>
      <w:pPr>
        <w:pStyle w:val="BodyText"/>
        <w:spacing w:before="10"/>
        <w:rPr>
          <w:rFonts w:ascii="Century Gothic"/>
          <w:b/>
          <w:sz w:val="11"/>
        </w:rPr>
      </w:pPr>
    </w:p>
    <w:p>
      <w:pPr>
        <w:spacing w:before="1"/>
        <w:ind w:left="3808" w:right="6497" w:firstLine="0"/>
        <w:jc w:val="center"/>
        <w:rPr>
          <w:rFonts w:ascii="Century Gothic"/>
          <w:b/>
          <w:sz w:val="12"/>
        </w:rPr>
      </w:pPr>
      <w:r>
        <w:rPr/>
        <w:pict>
          <v:shape style="position:absolute;margin-left:259.019226pt;margin-top:-6.23858pt;width:10.15pt;height:48.45pt;mso-position-horizontal-relative:page;mso-position-vertical-relative:paragraph;z-index:251722752" type="#_x0000_t202" filled="false" stroked="false">
            <v:textbox inset="0,0,0,0" style="layout-flow:vertical;mso-layout-flow-alt:bottom-to-top">
              <w:txbxContent>
                <w:p>
                  <w:pPr>
                    <w:spacing w:before="23"/>
                    <w:ind w:left="20" w:right="0" w:firstLine="0"/>
                    <w:jc w:val="left"/>
                    <w:rPr>
                      <w:rFonts w:ascii="Century Gothic"/>
                      <w:b/>
                      <w:sz w:val="12"/>
                    </w:rPr>
                  </w:pPr>
                  <w:r>
                    <w:rPr>
                      <w:rFonts w:ascii="Century Gothic"/>
                      <w:b/>
                      <w:color w:val="4D4D4D"/>
                      <w:w w:val="105"/>
                      <w:position w:val="1"/>
                      <w:sz w:val="12"/>
                    </w:rPr>
                    <w:t>Twin Br</w:t>
                  </w:r>
                  <w:r>
                    <w:rPr>
                      <w:rFonts w:ascii="Century Gothic"/>
                      <w:b/>
                      <w:color w:val="4D4D4D"/>
                      <w:w w:val="105"/>
                      <w:sz w:val="12"/>
                    </w:rPr>
                    <w:t>idges Rd</w:t>
                  </w:r>
                </w:p>
              </w:txbxContent>
            </v:textbox>
            <w10:wrap type="none"/>
          </v:shape>
        </w:pict>
      </w:r>
      <w:r>
        <w:rPr/>
        <w:pict>
          <v:shape style="position:absolute;margin-left:365.173767pt;margin-top:-9.952178pt;width:11.15pt;height:47.55pt;mso-position-horizontal-relative:page;mso-position-vertical-relative:paragraph;z-index:251725824" type="#_x0000_t202" filled="false" stroked="false">
            <v:textbox inset="0,0,0,0" style="layout-flow:vertical;mso-layout-flow-alt:bottom-to-top">
              <w:txbxContent>
                <w:p>
                  <w:pPr>
                    <w:spacing w:before="24"/>
                    <w:ind w:left="20" w:right="0" w:firstLine="0"/>
                    <w:jc w:val="left"/>
                    <w:rPr>
                      <w:rFonts w:ascii="Century Gothic"/>
                      <w:b/>
                      <w:sz w:val="12"/>
                    </w:rPr>
                  </w:pPr>
                  <w:r>
                    <w:rPr>
                      <w:rFonts w:ascii="Century Gothic"/>
                      <w:b/>
                      <w:color w:val="4D4D4D"/>
                      <w:w w:val="105"/>
                      <w:sz w:val="12"/>
                    </w:rPr>
                    <w:t>Kin</w:t>
                  </w:r>
                  <w:r>
                    <w:rPr>
                      <w:rFonts w:ascii="Century Gothic"/>
                      <w:b/>
                      <w:color w:val="4D4D4D"/>
                      <w:w w:val="105"/>
                      <w:position w:val="1"/>
                      <w:sz w:val="12"/>
                    </w:rPr>
                    <w:t>gsga</w:t>
                  </w:r>
                  <w:r>
                    <w:rPr>
                      <w:rFonts w:ascii="Century Gothic"/>
                      <w:b/>
                      <w:color w:val="4D4D4D"/>
                      <w:w w:val="105"/>
                      <w:position w:val="2"/>
                      <w:sz w:val="12"/>
                    </w:rPr>
                    <w:t>te Wa</w:t>
                  </w:r>
                  <w:r>
                    <w:rPr>
                      <w:rFonts w:ascii="Century Gothic"/>
                      <w:b/>
                      <w:color w:val="4D4D4D"/>
                      <w:w w:val="105"/>
                      <w:position w:val="3"/>
                      <w:sz w:val="12"/>
                    </w:rPr>
                    <w:t>y</w:t>
                  </w:r>
                </w:p>
              </w:txbxContent>
            </v:textbox>
            <w10:wrap type="none"/>
          </v:shape>
        </w:pict>
      </w:r>
      <w:r>
        <w:rPr>
          <w:rFonts w:ascii="Century Gothic"/>
          <w:b/>
          <w:color w:val="4D4D4D"/>
          <w:w w:val="105"/>
          <w:sz w:val="12"/>
        </w:rPr>
        <w:t>Battelle Bl</w:t>
      </w:r>
      <w:r>
        <w:rPr>
          <w:rFonts w:ascii="Century Gothic"/>
          <w:b/>
          <w:color w:val="4D4D4D"/>
          <w:w w:val="105"/>
          <w:position w:val="1"/>
          <w:sz w:val="12"/>
        </w:rPr>
        <w:t>vd</w:t>
      </w:r>
    </w:p>
    <w:p>
      <w:pPr>
        <w:spacing w:after="0"/>
        <w:jc w:val="center"/>
        <w:rPr>
          <w:rFonts w:ascii="Century Gothic"/>
          <w:sz w:val="12"/>
        </w:rPr>
        <w:sectPr>
          <w:type w:val="continuous"/>
          <w:pgSz w:w="15840" w:h="24480"/>
          <w:pgMar w:top="1480" w:bottom="1320" w:left="0" w:right="0"/>
          <w:cols w:num="2" w:equalWidth="0">
            <w:col w:w="4709" w:space="40"/>
            <w:col w:w="11091"/>
          </w:cols>
        </w:sectPr>
      </w:pPr>
    </w:p>
    <w:p>
      <w:pPr>
        <w:pStyle w:val="BodyText"/>
        <w:rPr>
          <w:rFonts w:ascii="Century Gothic"/>
          <w:b/>
          <w:sz w:val="20"/>
        </w:rPr>
      </w:pPr>
    </w:p>
    <w:p>
      <w:pPr>
        <w:pStyle w:val="BodyText"/>
        <w:rPr>
          <w:rFonts w:ascii="Century Gothic"/>
          <w:b/>
          <w:sz w:val="20"/>
        </w:rPr>
      </w:pPr>
    </w:p>
    <w:p>
      <w:pPr>
        <w:pStyle w:val="BodyText"/>
        <w:spacing w:before="1"/>
        <w:rPr>
          <w:rFonts w:ascii="Century Gothic"/>
          <w:b/>
          <w:sz w:val="27"/>
        </w:rPr>
      </w:pPr>
    </w:p>
    <w:p>
      <w:pPr>
        <w:spacing w:before="105"/>
        <w:ind w:left="8231" w:right="3862" w:firstLine="0"/>
        <w:jc w:val="center"/>
        <w:rPr>
          <w:rFonts w:ascii="Century Gothic"/>
          <w:b/>
          <w:sz w:val="12"/>
        </w:rPr>
      </w:pPr>
      <w:r>
        <w:rPr/>
        <w:pict>
          <v:shape style="position:absolute;margin-left:463.078235pt;margin-top:42.625006pt;width:31.35pt;height:6.25pt;mso-position-horizontal-relative:page;mso-position-vertical-relative:paragraph;z-index:251735040;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80.570898pt;margin-top:68.848764pt;width:75.95pt;height:6.25pt;mso-position-horizontal-relative:page;mso-position-vertical-relative:paragraph;z-index:251737088;rotation:272" type="#_x0000_t136" fillcolor="#4d4d4d" stroked="f">
            <o:extrusion v:ext="view" autorotationcenter="t"/>
            <v:textpath style="font-family:&quot;Century Gothic&quot;;font-size:6pt;v-text-kern:t;mso-text-shadow:auto;font-weight:bold" string="George Washington Way"/>
            <w10:wrap type="none"/>
          </v:shape>
        </w:pict>
      </w:r>
      <w:r>
        <w:rPr/>
        <w:pict>
          <v:shape style="position:absolute;margin-left:428.981213pt;margin-top:76.353522pt;width:38.4pt;height:6.25pt;mso-position-horizontal-relative:page;mso-position-vertical-relative:paragraph;z-index:251738112;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411.290369pt;margin-top:64.397898pt;width:38.050pt;height:6.25pt;mso-position-horizontal-relative:page;mso-position-vertical-relative:paragraph;z-index:251740160;rotation:306" type="#_x0000_t136" fillcolor="#4d4d4d" stroked="f">
            <o:extrusion v:ext="view" autorotationcenter="t"/>
            <v:textpath style="font-family:&quot;Century Gothic&quot;;font-size:6pt;v-text-kern:t;mso-text-shadow:auto;font-weight:bold" string="Logston Blvd"/>
            <w10:wrap type="none"/>
          </v:shape>
        </w:pict>
      </w:r>
      <w:r>
        <w:rPr>
          <w:rFonts w:ascii="Century Gothic"/>
          <w:b/>
          <w:color w:val="4D4D4D"/>
          <w:w w:val="105"/>
          <w:sz w:val="12"/>
        </w:rPr>
        <w:t>Univer</w:t>
      </w:r>
      <w:r>
        <w:rPr>
          <w:rFonts w:ascii="Century Gothic"/>
          <w:b/>
          <w:color w:val="4D4D4D"/>
          <w:w w:val="105"/>
          <w:position w:val="1"/>
          <w:sz w:val="12"/>
        </w:rPr>
        <w:t>sity 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7"/>
        <w:rPr>
          <w:rFonts w:ascii="Century Gothic"/>
          <w:b/>
        </w:rPr>
      </w:pPr>
    </w:p>
    <w:p>
      <w:pPr>
        <w:spacing w:after="0"/>
        <w:rPr>
          <w:rFonts w:ascii="Century Gothic"/>
        </w:rPr>
        <w:sectPr>
          <w:type w:val="continuous"/>
          <w:pgSz w:w="15840" w:h="24480"/>
          <w:pgMar w:top="1480" w:bottom="1320" w:left="0" w:right="0"/>
        </w:sectPr>
      </w:pPr>
    </w:p>
    <w:p>
      <w:pPr>
        <w:spacing w:before="90"/>
        <w:ind w:left="2934" w:right="0" w:firstLine="0"/>
        <w:jc w:val="left"/>
        <w:rPr>
          <w:rFonts w:ascii="Arial"/>
          <w:sz w:val="24"/>
        </w:rPr>
      </w:pPr>
      <w:r>
        <w:rPr/>
        <w:pict>
          <v:shape style="position:absolute;margin-left:426.213623pt;margin-top:-63.383018pt;width:30pt;height:6.25pt;mso-position-horizontal-relative:page;mso-position-vertical-relative:paragraph;z-index:251739136;rotation:282" type="#_x0000_t136" fillcolor="#4d4d4d" stroked="f">
            <o:extrusion v:ext="view" autorotationcenter="t"/>
            <v:textpath style="font-family:&quot;Century Gothic&quot;;font-size:6pt;v-text-kern:t;mso-text-shadow:auto;font-weight:bold" string="Hagen Rd"/>
            <w10:wrap type="none"/>
          </v:shape>
        </w:pict>
      </w:r>
      <w:r>
        <w:rPr/>
        <w:pict>
          <v:shape style="position:absolute;margin-left:438.485529pt;margin-top:-35.649881pt;width:38.3pt;height:6.25pt;mso-position-horizontal-relative:page;mso-position-vertical-relative:paragraph;z-index:251741184;rotation:312" type="#_x0000_t136" fillcolor="#4d4d4d" stroked="f">
            <o:extrusion v:ext="view" autorotationcenter="t"/>
            <v:textpath style="font-family:&quot;Century Gothic&quot;;font-size:6pt;v-text-kern:t;mso-text-shadow:auto;font-weight:bold" string="By-pass Hwy"/>
            <w10:wrap type="none"/>
          </v:shape>
        </w:pict>
      </w:r>
      <w:r>
        <w:rPr>
          <w:rFonts w:ascii="Arial"/>
          <w:emboss/>
          <w:color w:val="757576"/>
          <w:sz w:val="24"/>
        </w:rPr>
        <w:t>W</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s</w:t>
      </w:r>
      <w:r>
        <w:rPr>
          <w:rFonts w:ascii="Arial"/>
          <w:shadow w:val="0"/>
          <w:color w:val="757576"/>
          <w:sz w:val="24"/>
        </w:rPr>
        <w:t> </w:t>
      </w:r>
      <w:r>
        <w:rPr>
          <w:rFonts w:ascii="Arial"/>
          <w:emboss/>
          <w:color w:val="757576"/>
          <w:sz w:val="24"/>
        </w:rPr>
        <w:t>t</w:t>
      </w:r>
      <w:r>
        <w:rPr>
          <w:rFonts w:ascii="Arial"/>
          <w:shadow w:val="0"/>
          <w:color w:val="757576"/>
          <w:sz w:val="24"/>
        </w:rPr>
        <w:t> </w:t>
      </w:r>
      <w:r>
        <w:rPr>
          <w:rFonts w:ascii="Arial"/>
          <w:emboss/>
          <w:color w:val="757576"/>
          <w:sz w:val="24"/>
        </w:rPr>
        <w:t>R</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h</w:t>
      </w:r>
      <w:r>
        <w:rPr>
          <w:rFonts w:ascii="Arial"/>
          <w:shadow w:val="0"/>
          <w:color w:val="757576"/>
          <w:sz w:val="24"/>
        </w:rPr>
        <w:t> </w:t>
      </w:r>
      <w:r>
        <w:rPr>
          <w:rFonts w:ascii="Arial"/>
          <w:emboss/>
          <w:color w:val="757576"/>
          <w:sz w:val="24"/>
        </w:rPr>
        <w:t>l</w:t>
      </w:r>
      <w:r>
        <w:rPr>
          <w:rFonts w:ascii="Arial"/>
          <w:shadow w:val="0"/>
          <w:color w:val="757576"/>
          <w:sz w:val="24"/>
        </w:rPr>
        <w:t> </w:t>
      </w:r>
      <w:r>
        <w:rPr>
          <w:rFonts w:ascii="Arial"/>
          <w:emboss/>
          <w:color w:val="757576"/>
          <w:sz w:val="24"/>
        </w:rPr>
        <w:t>a</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d</w:t>
      </w:r>
    </w:p>
    <w:p>
      <w:pPr>
        <w:pStyle w:val="BodyText"/>
        <w:rPr>
          <w:rFonts w:ascii="Arial"/>
          <w:sz w:val="16"/>
        </w:rPr>
      </w:pPr>
      <w:r>
        <w:rPr/>
        <w:br w:type="column"/>
      </w:r>
      <w:r>
        <w:rPr>
          <w:rFonts w:ascii="Arial"/>
          <w:sz w:val="16"/>
        </w:rPr>
      </w:r>
    </w:p>
    <w:p>
      <w:pPr>
        <w:pStyle w:val="BodyText"/>
        <w:spacing w:before="6"/>
        <w:rPr>
          <w:rFonts w:ascii="Arial"/>
          <w:sz w:val="16"/>
        </w:rPr>
      </w:pPr>
    </w:p>
    <w:p>
      <w:pPr>
        <w:spacing w:before="0"/>
        <w:ind w:left="2885" w:right="0" w:firstLine="0"/>
        <w:jc w:val="left"/>
        <w:rPr>
          <w:rFonts w:ascii="Century Gothic"/>
          <w:b/>
          <w:sz w:val="12"/>
        </w:rPr>
      </w:pPr>
      <w:r>
        <w:rPr/>
        <w:pict>
          <v:shape style="position:absolute;margin-left:491.528436pt;margin-top:1.408455pt;width:35.550pt;height:6.25pt;mso-position-horizontal-relative:page;mso-position-vertical-relative:paragraph;z-index:251720704;rotation:69" type="#_x0000_t136" fillcolor="#4d4d4d" stroked="f">
            <o:extrusion v:ext="view" autorotationcenter="t"/>
            <v:textpath style="font-family:&quot;Century Gothic&quot;;font-size:6pt;v-text-kern:t;mso-text-shadow:auto;font-weight:bold" string="Jadwin Ave"/>
            <w10:wrap type="none"/>
          </v:shape>
        </w:pict>
      </w:r>
      <w:r>
        <w:rPr/>
        <w:pict>
          <v:shape style="position:absolute;margin-left:349.357483pt;margin-top:-35.608162pt;width:9.75pt;height:29.15pt;mso-position-horizontal-relative:page;mso-position-vertical-relative:paragraph;z-index:251724800" type="#_x0000_t202" filled="false" stroked="false">
            <v:textbox inset="0,0,0,0" style="layout-flow:vertical;mso-layout-flow-alt:bottom-to-top">
              <w:txbxContent>
                <w:p>
                  <w:pPr>
                    <w:spacing w:before="26"/>
                    <w:ind w:left="20" w:right="0" w:firstLine="0"/>
                    <w:jc w:val="left"/>
                    <w:rPr>
                      <w:rFonts w:ascii="Century Gothic"/>
                      <w:b/>
                      <w:sz w:val="12"/>
                    </w:rPr>
                  </w:pPr>
                  <w:r>
                    <w:rPr>
                      <w:rFonts w:ascii="Century Gothic"/>
                      <w:b/>
                      <w:color w:val="4D4D4D"/>
                      <w:w w:val="105"/>
                      <w:sz w:val="12"/>
                    </w:rPr>
                    <w:t>Jones Rd</w:t>
                  </w:r>
                </w:p>
              </w:txbxContent>
            </v:textbox>
            <w10:wrap type="none"/>
          </v:shape>
        </w:pict>
      </w:r>
      <w:r>
        <w:rPr/>
        <w:pict>
          <v:shape style="position:absolute;margin-left:475.089783pt;margin-top:-13.420427pt;width:10.050pt;height:33.35pt;mso-position-horizontal-relative:page;mso-position-vertical-relative:paragraph;z-index:251729920" type="#_x0000_t202" filled="false" stroked="false">
            <v:textbox inset="0,0,0,0" style="layout-flow:vertical;mso-layout-flow-alt:bottom-to-top">
              <w:txbxContent>
                <w:p>
                  <w:pPr>
                    <w:spacing w:before="22"/>
                    <w:ind w:left="20" w:right="0" w:firstLine="0"/>
                    <w:jc w:val="left"/>
                    <w:rPr>
                      <w:rFonts w:ascii="Century Gothic"/>
                      <w:b/>
                      <w:sz w:val="12"/>
                    </w:rPr>
                  </w:pPr>
                  <w:r>
                    <w:rPr>
                      <w:rFonts w:ascii="Century Gothic"/>
                      <w:b/>
                      <w:color w:val="4D4D4D"/>
                      <w:w w:val="105"/>
                      <w:sz w:val="12"/>
                    </w:rPr>
                    <w:t>Stevens </w:t>
                  </w:r>
                  <w:r>
                    <w:rPr>
                      <w:rFonts w:ascii="Century Gothic"/>
                      <w:b/>
                      <w:color w:val="4D4D4D"/>
                      <w:w w:val="105"/>
                      <w:position w:val="1"/>
                      <w:sz w:val="12"/>
                    </w:rPr>
                    <w:t>Dr</w:t>
                  </w:r>
                </w:p>
              </w:txbxContent>
            </v:textbox>
            <w10:wrap type="none"/>
          </v:shape>
        </w:pict>
      </w:r>
      <w:r>
        <w:rPr>
          <w:rFonts w:ascii="Century Gothic"/>
          <w:b/>
          <w:color w:val="4D4D4D"/>
          <w:w w:val="105"/>
          <w:sz w:val="12"/>
        </w:rPr>
        <w:t>Van Giesen St</w:t>
      </w:r>
    </w:p>
    <w:p>
      <w:pPr>
        <w:spacing w:after="0"/>
        <w:jc w:val="left"/>
        <w:rPr>
          <w:rFonts w:ascii="Century Gothic"/>
          <w:sz w:val="12"/>
        </w:rPr>
        <w:sectPr>
          <w:type w:val="continuous"/>
          <w:pgSz w:w="15840" w:h="24480"/>
          <w:pgMar w:top="1480" w:bottom="1320" w:left="0" w:right="0"/>
          <w:cols w:num="2" w:equalWidth="0">
            <w:col w:w="5184" w:space="40"/>
            <w:col w:w="10616"/>
          </w:cols>
        </w:sectPr>
      </w:pPr>
    </w:p>
    <w:p>
      <w:pPr>
        <w:pStyle w:val="BodyText"/>
        <w:rPr>
          <w:rFonts w:ascii="Century Gothic"/>
          <w:b/>
          <w:sz w:val="20"/>
        </w:rPr>
      </w:pPr>
    </w:p>
    <w:p>
      <w:pPr>
        <w:pStyle w:val="BodyText"/>
        <w:spacing w:before="12"/>
        <w:rPr>
          <w:rFonts w:ascii="Century Gothic"/>
          <w:b/>
          <w:sz w:val="15"/>
        </w:rPr>
      </w:pPr>
    </w:p>
    <w:p>
      <w:pPr>
        <w:spacing w:before="104"/>
        <w:ind w:left="3842" w:right="605" w:firstLine="0"/>
        <w:jc w:val="center"/>
        <w:rPr>
          <w:rFonts w:ascii="Century Gothic"/>
          <w:b/>
          <w:sz w:val="12"/>
        </w:rPr>
      </w:pPr>
      <w:r>
        <w:rPr/>
        <w:pict>
          <v:shape style="position:absolute;margin-left:430.924622pt;margin-top:-1.351005pt;width:10.1pt;height:35.1pt;mso-position-horizontal-relative:page;mso-position-vertical-relative:paragraph;z-index:251727872" type="#_x0000_t202" filled="false" stroked="false">
            <v:textbox inset="0,0,0,0" style="layout-flow:vertical;mso-layout-flow-alt:bottom-to-top">
              <w:txbxContent>
                <w:p>
                  <w:pPr>
                    <w:spacing w:before="23"/>
                    <w:ind w:left="20" w:right="0" w:firstLine="0"/>
                    <w:jc w:val="left"/>
                    <w:rPr>
                      <w:rFonts w:ascii="Century Gothic"/>
                      <w:b/>
                      <w:sz w:val="12"/>
                    </w:rPr>
                  </w:pPr>
                  <w:r>
                    <w:rPr>
                      <w:rFonts w:ascii="Century Gothic"/>
                      <w:b/>
                      <w:color w:val="4D4D4D"/>
                      <w:w w:val="105"/>
                      <w:sz w:val="12"/>
                    </w:rPr>
                    <w:t>Wright </w:t>
                  </w:r>
                  <w:r>
                    <w:rPr>
                      <w:rFonts w:ascii="Century Gothic"/>
                      <w:b/>
                      <w:color w:val="4D4D4D"/>
                      <w:w w:val="105"/>
                      <w:position w:val="1"/>
                      <w:sz w:val="12"/>
                    </w:rPr>
                    <w:t>Ave</w:t>
                  </w:r>
                </w:p>
              </w:txbxContent>
            </v:textbox>
            <w10:wrap type="none"/>
          </v:shape>
        </w:pict>
      </w:r>
      <w:r>
        <w:rPr>
          <w:rFonts w:ascii="Century Gothic"/>
          <w:b/>
          <w:color w:val="4D4D4D"/>
          <w:w w:val="105"/>
          <w:sz w:val="12"/>
        </w:rPr>
        <w:t>William</w:t>
      </w:r>
      <w:r>
        <w:rPr>
          <w:rFonts w:ascii="Century Gothic"/>
          <w:b/>
          <w:color w:val="4D4D4D"/>
          <w:w w:val="105"/>
          <w:position w:val="1"/>
          <w:sz w:val="12"/>
        </w:rPr>
        <w:t>s Blvd</w:t>
      </w:r>
    </w:p>
    <w:p>
      <w:pPr>
        <w:pStyle w:val="BodyText"/>
        <w:rPr>
          <w:rFonts w:ascii="Century Gothic"/>
          <w:b/>
          <w:sz w:val="20"/>
        </w:rPr>
      </w:pPr>
    </w:p>
    <w:p>
      <w:pPr>
        <w:pStyle w:val="BodyText"/>
        <w:spacing w:before="5"/>
        <w:rPr>
          <w:rFonts w:ascii="Century Gothic"/>
          <w:b/>
          <w:sz w:val="21"/>
        </w:rPr>
      </w:pPr>
    </w:p>
    <w:p>
      <w:pPr>
        <w:spacing w:before="0"/>
        <w:ind w:left="3842" w:right="2620" w:firstLine="0"/>
        <w:jc w:val="center"/>
        <w:rPr>
          <w:rFonts w:ascii="Century Gothic"/>
          <w:b/>
          <w:sz w:val="12"/>
        </w:rPr>
      </w:pPr>
      <w:r>
        <w:rPr/>
        <w:pict>
          <v:shape style="position:absolute;margin-left:401.146545pt;margin-top:-16.039232pt;width:10.1pt;height:40.35pt;mso-position-horizontal-relative:page;mso-position-vertical-relative:paragraph;z-index:251726848" type="#_x0000_t202" filled="false" stroked="false">
            <v:textbox inset="0,0,0,0" style="layout-flow:vertical;mso-layout-flow-alt:bottom-to-top">
              <w:txbxContent>
                <w:p>
                  <w:pPr>
                    <w:spacing w:before="24"/>
                    <w:ind w:left="20" w:right="0" w:firstLine="0"/>
                    <w:jc w:val="left"/>
                    <w:rPr>
                      <w:rFonts w:ascii="Century Gothic"/>
                      <w:b/>
                      <w:sz w:val="12"/>
                    </w:rPr>
                  </w:pPr>
                  <w:r>
                    <w:rPr>
                      <w:rFonts w:ascii="Century Gothic"/>
                      <w:b/>
                      <w:color w:val="4D4D4D"/>
                      <w:w w:val="105"/>
                      <w:sz w:val="12"/>
                    </w:rPr>
                    <w:t>By-pas</w:t>
                  </w:r>
                  <w:r>
                    <w:rPr>
                      <w:rFonts w:ascii="Century Gothic"/>
                      <w:b/>
                      <w:color w:val="4D4D4D"/>
                      <w:w w:val="105"/>
                      <w:position w:val="1"/>
                      <w:sz w:val="12"/>
                    </w:rPr>
                    <w:t>s Hwy</w:t>
                  </w:r>
                </w:p>
              </w:txbxContent>
            </v:textbox>
            <w10:wrap type="none"/>
          </v:shape>
        </w:pict>
      </w:r>
      <w:r>
        <w:rPr/>
        <w:pict>
          <v:shape style="position:absolute;margin-left:457.241974pt;margin-top:-11.847988pt;width:10pt;height:30.35pt;mso-position-horizontal-relative:page;mso-position-vertical-relative:paragraph;z-index:251728896" type="#_x0000_t202" filled="false" stroked="false">
            <v:textbox inset="0,0,0,0" style="layout-flow:vertical;mso-layout-flow-alt:bottom-to-top">
              <w:txbxContent>
                <w:p>
                  <w:pPr>
                    <w:spacing w:before="21"/>
                    <w:ind w:left="20" w:right="0" w:firstLine="0"/>
                    <w:jc w:val="left"/>
                    <w:rPr>
                      <w:rFonts w:ascii="Century Gothic"/>
                      <w:b/>
                      <w:sz w:val="12"/>
                    </w:rPr>
                  </w:pPr>
                  <w:r>
                    <w:rPr>
                      <w:rFonts w:ascii="Century Gothic"/>
                      <w:b/>
                      <w:color w:val="4D4D4D"/>
                      <w:w w:val="105"/>
                      <w:sz w:val="12"/>
                    </w:rPr>
                    <w:t>Thayer </w:t>
                  </w:r>
                  <w:r>
                    <w:rPr>
                      <w:rFonts w:ascii="Century Gothic"/>
                      <w:b/>
                      <w:color w:val="4D4D4D"/>
                      <w:w w:val="105"/>
                      <w:position w:val="1"/>
                      <w:sz w:val="12"/>
                    </w:rPr>
                    <w:t>Dr</w:t>
                  </w:r>
                </w:p>
              </w:txbxContent>
            </v:textbox>
            <w10:wrap type="none"/>
          </v:shape>
        </w:pict>
      </w:r>
      <w:r>
        <w:rPr/>
        <w:pict>
          <v:shape style="position:absolute;margin-left:499.223053pt;margin-top:14.022029pt;width:25.7pt;height:6.25pt;mso-position-horizontal-relative:page;mso-position-vertical-relative:paragraph;z-index:251746304;rotation:359" type="#_x0000_t136" fillcolor="#4d4d4d" stroked="f">
            <o:extrusion v:ext="view" autorotationcenter="t"/>
            <v:textpath style="font-family:&quot;Century Gothic&quot;;font-size:6pt;v-text-kern:t;mso-text-shadow:auto;font-weight:bold" string="Knight St"/>
            <w10:wrap type="none"/>
          </v:shape>
        </w:pict>
      </w:r>
      <w:r>
        <w:rPr>
          <w:rFonts w:ascii="Century Gothic"/>
          <w:b/>
          <w:color w:val="4D4D4D"/>
          <w:w w:val="105"/>
          <w:sz w:val="12"/>
        </w:rPr>
        <w:t>Swift B</w:t>
      </w:r>
      <w:r>
        <w:rPr>
          <w:rFonts w:ascii="Century Gothic"/>
          <w:b/>
          <w:color w:val="4D4D4D"/>
          <w:w w:val="105"/>
          <w:position w:val="1"/>
          <w:sz w:val="12"/>
        </w:rPr>
        <w:t>lvd</w:t>
      </w:r>
    </w:p>
    <w:p>
      <w:pPr>
        <w:pStyle w:val="BodyText"/>
        <w:spacing w:before="2"/>
        <w:rPr>
          <w:rFonts w:ascii="Century Gothic"/>
          <w:b/>
          <w:sz w:val="15"/>
        </w:rPr>
      </w:pPr>
    </w:p>
    <w:p>
      <w:pPr>
        <w:spacing w:before="109"/>
        <w:ind w:left="3842" w:right="393" w:firstLine="0"/>
        <w:jc w:val="center"/>
        <w:rPr>
          <w:rFonts w:ascii="Century Gothic"/>
          <w:b/>
          <w:sz w:val="12"/>
        </w:rPr>
      </w:pPr>
      <w:r>
        <w:rPr>
          <w:rFonts w:ascii="Century Gothic"/>
          <w:b/>
          <w:color w:val="4D4D4D"/>
          <w:w w:val="105"/>
          <w:sz w:val="12"/>
        </w:rPr>
        <w:t>Lee Blvd</w:t>
      </w:r>
    </w:p>
    <w:p>
      <w:pPr>
        <w:pStyle w:val="BodyText"/>
        <w:spacing w:before="2"/>
        <w:rPr>
          <w:rFonts w:ascii="Century Gothic"/>
          <w:b/>
          <w:sz w:val="26"/>
        </w:rPr>
      </w:pPr>
    </w:p>
    <w:p>
      <w:pPr>
        <w:spacing w:before="127"/>
        <w:ind w:left="0" w:right="2773" w:firstLine="0"/>
        <w:jc w:val="right"/>
        <w:rPr>
          <w:rFonts w:ascii="Arial" w:hAnsi="Arial"/>
          <w:b/>
          <w:sz w:val="11"/>
        </w:rPr>
      </w:pPr>
      <w:r>
        <w:rPr/>
        <w:pict>
          <v:shape style="position:absolute;margin-left:475.814514pt;margin-top:-8.163216pt;width:10.2pt;height:42pt;mso-position-horizontal-relative:page;mso-position-vertical-relative:paragraph;z-index:251730944" type="#_x0000_t202" filled="false" stroked="false">
            <v:textbox inset="0,0,0,0" style="layout-flow:vertical;mso-layout-flow-alt:bottom-to-top">
              <w:txbxContent>
                <w:p>
                  <w:pPr>
                    <w:spacing w:before="25"/>
                    <w:ind w:left="20" w:right="0" w:firstLine="0"/>
                    <w:jc w:val="left"/>
                    <w:rPr>
                      <w:rFonts w:ascii="Century Gothic"/>
                      <w:b/>
                      <w:sz w:val="12"/>
                    </w:rPr>
                  </w:pPr>
                  <w:r>
                    <w:rPr>
                      <w:rFonts w:ascii="Century Gothic"/>
                      <w:b/>
                      <w:color w:val="4D4D4D"/>
                      <w:w w:val="105"/>
                      <w:sz w:val="12"/>
                    </w:rPr>
                    <w:t>Wellsia</w:t>
                  </w:r>
                  <w:r>
                    <w:rPr>
                      <w:rFonts w:ascii="Century Gothic"/>
                      <w:b/>
                      <w:color w:val="4D4D4D"/>
                      <w:w w:val="105"/>
                      <w:position w:val="1"/>
                      <w:sz w:val="12"/>
                    </w:rPr>
                    <w:t>n Way</w:t>
                  </w:r>
                </w:p>
              </w:txbxContent>
            </v:textbox>
            <w10:wrap type="none"/>
          </v:shape>
        </w:pict>
      </w:r>
      <w:r>
        <w:rPr/>
        <w:pict>
          <v:shape style="position:absolute;margin-left:492.626038pt;margin-top:2.795638pt;width:10.15pt;height:37.7pt;mso-position-horizontal-relative:page;mso-position-vertical-relative:paragraph;z-index:251731968" type="#_x0000_t202" filled="false" stroked="false">
            <v:textbox inset="0,0,0,0" style="layout-flow:vertical;mso-layout-flow-alt:bottom-to-top">
              <w:txbxContent>
                <w:p>
                  <w:pPr>
                    <w:spacing w:before="24"/>
                    <w:ind w:left="20" w:right="0" w:firstLine="0"/>
                    <w:jc w:val="left"/>
                    <w:rPr>
                      <w:rFonts w:ascii="Century Gothic"/>
                      <w:b/>
                      <w:sz w:val="12"/>
                    </w:rPr>
                  </w:pPr>
                  <w:r>
                    <w:rPr>
                      <w:rFonts w:ascii="Century Gothic"/>
                      <w:b/>
                      <w:color w:val="4D4D4D"/>
                      <w:w w:val="105"/>
                      <w:sz w:val="12"/>
                    </w:rPr>
                    <w:t>Goeth</w:t>
                  </w:r>
                  <w:r>
                    <w:rPr>
                      <w:rFonts w:ascii="Century Gothic"/>
                      <w:b/>
                      <w:color w:val="4D4D4D"/>
                      <w:w w:val="105"/>
                      <w:position w:val="1"/>
                      <w:sz w:val="12"/>
                    </w:rPr>
                    <w:t>als Dr</w:t>
                  </w:r>
                </w:p>
              </w:txbxContent>
            </v:textbox>
            <w10:wrap type="none"/>
          </v:shape>
        </w:pict>
      </w:r>
      <w:r>
        <w:rPr/>
        <w:pict>
          <v:shape style="position:absolute;margin-left:406.552338pt;margin-top:12.068358pt;width:34.5pt;height:6.25pt;mso-position-horizontal-relative:page;mso-position-vertical-relative:paragraph;z-index:251742208;rotation:312" type="#_x0000_t136" fillcolor="#4d4d4d" stroked="f">
            <o:extrusion v:ext="view" autorotationcenter="t"/>
            <v:textpath style="font-family:&quot;Century Gothic&quot;;font-size:6pt;v-text-kern:t;mso-text-shadow:auto;font-weight:bold" string="Duportail St"/>
            <w10:wrap type="none"/>
          </v:shape>
        </w:pict>
      </w:r>
      <w:r>
        <w:rPr/>
        <w:pict>
          <v:shape style="position:absolute;margin-left:505.018616pt;margin-top:24.089479pt;width:38.2pt;height:6.25pt;mso-position-horizontal-relative:page;mso-position-vertical-relative:paragraph;z-index:251744256;rotation:354" type="#_x0000_t136" fillcolor="#4d4d4d" stroked="f">
            <o:extrusion v:ext="view" autorotationcenter="t"/>
            <v:textpath style="font-family:&quot;Century Gothic&quot;;font-size:6pt;v-text-kern:t;mso-text-shadow:auto;font-weight:bold" string="Comstock St"/>
            <w10:wrap type="none"/>
          </v:shape>
        </w:pict>
      </w:r>
      <w:r>
        <w:rPr>
          <w:rFonts w:ascii="Arial" w:hAnsi="Arial"/>
          <w:color w:val="FF0000"/>
          <w:spacing w:val="-262"/>
          <w:w w:val="127"/>
          <w:position w:val="-8"/>
          <w:sz w:val="37"/>
        </w:rPr>
        <w:t>§</w:t>
      </w:r>
      <w:r>
        <w:rPr>
          <w:rFonts w:ascii="Arial" w:hAnsi="Arial"/>
          <w:color w:val="0000FF"/>
          <w:spacing w:val="-262"/>
          <w:w w:val="212"/>
          <w:position w:val="-8"/>
          <w:sz w:val="37"/>
        </w:rPr>
        <w:t>¨</w:t>
      </w:r>
      <w:r>
        <w:rPr>
          <w:rFonts w:ascii="Arial" w:hAnsi="Arial"/>
          <w:spacing w:val="-224"/>
          <w:w w:val="272"/>
          <w:position w:val="-8"/>
          <w:sz w:val="37"/>
        </w:rPr>
        <w:t>¦</w:t>
      </w:r>
      <w:r>
        <w:rPr>
          <w:rFonts w:ascii="Arial" w:hAnsi="Arial"/>
          <w:b/>
          <w:color w:val="FFFFFF"/>
          <w:spacing w:val="-1"/>
          <w:w w:val="98"/>
          <w:sz w:val="11"/>
        </w:rPr>
        <w:t>18</w:t>
      </w:r>
      <w:r>
        <w:rPr>
          <w:rFonts w:ascii="Arial" w:hAnsi="Arial"/>
          <w:b/>
          <w:color w:val="FFFFFF"/>
          <w:w w:val="98"/>
          <w:sz w:val="11"/>
        </w:rPr>
        <w:t>2</w:t>
      </w:r>
    </w:p>
    <w:p>
      <w:pPr>
        <w:pStyle w:val="BodyText"/>
        <w:spacing w:before="6"/>
        <w:rPr>
          <w:rFonts w:ascii="Arial"/>
          <w:b/>
          <w:sz w:val="25"/>
        </w:rPr>
      </w:pPr>
    </w:p>
    <w:p>
      <w:pPr>
        <w:spacing w:before="102"/>
        <w:ind w:left="8599" w:right="3862" w:firstLine="0"/>
        <w:jc w:val="center"/>
        <w:rPr>
          <w:rFonts w:ascii="Century Gothic"/>
          <w:b/>
          <w:sz w:val="12"/>
        </w:rPr>
      </w:pPr>
      <w:r>
        <w:rPr/>
        <w:pict>
          <v:shape style="position:absolute;margin-left:341.269012pt;margin-top:20.359003pt;width:36.9pt;height:6.25pt;mso-position-horizontal-relative:page;mso-position-vertical-relative:paragraph;z-index:251713536;rotation:13" type="#_x0000_t136" fillcolor="#4d4d4d" stroked="f">
            <o:extrusion v:ext="view" autorotationcenter="t"/>
            <v:textpath style="font-family:&quot;Century Gothic&quot;;font-size:6pt;v-text-kern:t;mso-text-shadow:auto;font-weight:bold" string="Kennedy Rd"/>
            <w10:wrap type="none"/>
          </v:shape>
        </w:pict>
      </w:r>
      <w:r>
        <w:rPr/>
        <w:pict>
          <v:shape style="position:absolute;margin-left:406.018958pt;margin-top:40.839080pt;width:45.95pt;height:6.25pt;mso-position-horizontal-relative:page;mso-position-vertical-relative:paragraph;z-index:251719680;rotation:64" type="#_x0000_t136" fillcolor="#4d4d4d" stroked="f">
            <o:extrusion v:ext="view" autorotationcenter="t"/>
            <v:textpath style="font-family:&quot;Century Gothic&quot;;font-size:6pt;v-text-kern:t;mso-text-shadow:auto;font-weight:bold" string="Queensgate Dr"/>
            <w10:wrap type="none"/>
          </v:shape>
        </w:pict>
      </w:r>
      <w:r>
        <w:rPr/>
        <w:pict>
          <v:shape style="position:absolute;margin-left:360.541382pt;margin-top:33.984386pt;width:34.5pt;height:6.25pt;mso-position-horizontal-relative:page;mso-position-vertical-relative:paragraph;z-index:251743232;rotation:334" type="#_x0000_t136" fillcolor="#4d4d4d" stroked="f">
            <o:extrusion v:ext="view" autorotationcenter="t"/>
            <v:textpath style="font-family:&quot;Century Gothic&quot;;font-size:6pt;v-text-kern:t;mso-text-shadow:auto;font-weight:bold" string="Duportail St"/>
            <w10:wrap type="none"/>
          </v:shape>
        </w:pict>
      </w:r>
      <w:r>
        <w:rPr>
          <w:rFonts w:ascii="Century Gothic"/>
          <w:b/>
          <w:color w:val="4D4D4D"/>
          <w:w w:val="105"/>
          <w:sz w:val="12"/>
        </w:rPr>
        <w:t>Aaron </w:t>
      </w:r>
      <w:r>
        <w:rPr>
          <w:rFonts w:ascii="Century Gothic"/>
          <w:b/>
          <w:color w:val="4D4D4D"/>
          <w:w w:val="105"/>
          <w:position w:val="1"/>
          <w:sz w:val="12"/>
        </w:rPr>
        <w:t>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
        <w:rPr>
          <w:rFonts w:ascii="Century Gothic"/>
          <w:b/>
          <w:sz w:val="20"/>
        </w:rPr>
      </w:pPr>
    </w:p>
    <w:p>
      <w:pPr>
        <w:spacing w:after="0"/>
        <w:rPr>
          <w:rFonts w:ascii="Century Gothic"/>
          <w:sz w:val="20"/>
        </w:rPr>
        <w:sectPr>
          <w:type w:val="continuous"/>
          <w:pgSz w:w="15840" w:h="24480"/>
          <w:pgMar w:top="1480" w:bottom="1320" w:left="0" w:right="0"/>
        </w:sectPr>
      </w:pPr>
    </w:p>
    <w:p>
      <w:pPr>
        <w:spacing w:line="422" w:lineRule="exact" w:before="271"/>
        <w:ind w:left="0" w:right="0" w:firstLine="0"/>
        <w:jc w:val="right"/>
        <w:rPr>
          <w:rFonts w:ascii="Arial" w:hAnsi="Arial"/>
          <w:b/>
          <w:sz w:val="11"/>
        </w:rPr>
      </w:pPr>
      <w:r>
        <w:rPr>
          <w:rFonts w:ascii="Arial" w:hAnsi="Arial"/>
          <w:color w:val="FF0000"/>
          <w:spacing w:val="-262"/>
          <w:w w:val="127"/>
          <w:position w:val="-8"/>
          <w:sz w:val="37"/>
        </w:rPr>
        <w:t>§</w:t>
      </w:r>
      <w:r>
        <w:rPr>
          <w:rFonts w:ascii="Arial" w:hAnsi="Arial"/>
          <w:color w:val="0000FF"/>
          <w:spacing w:val="-262"/>
          <w:w w:val="212"/>
          <w:position w:val="-8"/>
          <w:sz w:val="37"/>
        </w:rPr>
        <w:t>¨</w:t>
      </w:r>
      <w:r>
        <w:rPr>
          <w:rFonts w:ascii="Arial" w:hAnsi="Arial"/>
          <w:spacing w:val="-224"/>
          <w:w w:val="272"/>
          <w:position w:val="-8"/>
          <w:sz w:val="37"/>
        </w:rPr>
        <w:t>¦</w:t>
      </w:r>
      <w:r>
        <w:rPr>
          <w:rFonts w:ascii="Arial" w:hAnsi="Arial"/>
          <w:b/>
          <w:color w:val="FFFFFF"/>
          <w:spacing w:val="-1"/>
          <w:w w:val="98"/>
          <w:sz w:val="11"/>
        </w:rPr>
        <w:t>18</w:t>
      </w:r>
      <w:r>
        <w:rPr>
          <w:rFonts w:ascii="Arial" w:hAnsi="Arial"/>
          <w:b/>
          <w:color w:val="FFFFFF"/>
          <w:w w:val="98"/>
          <w:sz w:val="11"/>
        </w:rPr>
        <w:t>2</w:t>
      </w:r>
    </w:p>
    <w:p>
      <w:pPr>
        <w:spacing w:before="63"/>
        <w:ind w:left="5542" w:right="3650" w:firstLine="0"/>
        <w:jc w:val="center"/>
        <w:rPr>
          <w:rFonts w:ascii="Arial"/>
          <w:b/>
          <w:sz w:val="12"/>
        </w:rPr>
      </w:pPr>
      <w:r>
        <w:rPr/>
        <w:br w:type="column"/>
      </w:r>
      <w:r>
        <w:rPr>
          <w:rFonts w:ascii="Arial Black"/>
          <w:color w:val="FFFFFF"/>
          <w:spacing w:val="-269"/>
          <w:w w:val="100"/>
          <w:position w:val="-3"/>
          <w:sz w:val="32"/>
        </w:rPr>
        <w:t>U</w:t>
      </w:r>
      <w:r>
        <w:rPr>
          <w:rFonts w:ascii="Arial Black"/>
          <w:spacing w:val="-237"/>
          <w:w w:val="108"/>
          <w:position w:val="-3"/>
          <w:sz w:val="32"/>
        </w:rPr>
        <w:t>V</w:t>
      </w:r>
      <w:r>
        <w:rPr>
          <w:rFonts w:ascii="Arial"/>
          <w:b/>
          <w:spacing w:val="1"/>
          <w:w w:val="103"/>
          <w:sz w:val="12"/>
        </w:rPr>
        <w:t>24</w:t>
      </w:r>
      <w:r>
        <w:rPr>
          <w:rFonts w:ascii="Arial"/>
          <w:b/>
          <w:w w:val="103"/>
          <w:sz w:val="12"/>
        </w:rPr>
        <w:t>0</w:t>
      </w:r>
    </w:p>
    <w:p>
      <w:pPr>
        <w:spacing w:after="0"/>
        <w:jc w:val="center"/>
        <w:rPr>
          <w:rFonts w:ascii="Arial"/>
          <w:sz w:val="12"/>
        </w:rPr>
        <w:sectPr>
          <w:type w:val="continuous"/>
          <w:pgSz w:w="15840" w:h="24480"/>
          <w:pgMar w:top="1480" w:bottom="1320" w:left="0" w:right="0"/>
          <w:cols w:num="2" w:equalWidth="0">
            <w:col w:w="6325" w:space="40"/>
            <w:col w:w="9475"/>
          </w:cols>
        </w:sectPr>
      </w:pPr>
    </w:p>
    <w:p>
      <w:pPr>
        <w:spacing w:before="4"/>
        <w:ind w:left="3842" w:right="2197" w:firstLine="0"/>
        <w:jc w:val="center"/>
        <w:rPr>
          <w:rFonts w:ascii="Century Gothic"/>
          <w:b/>
          <w:sz w:val="12"/>
        </w:rPr>
      </w:pPr>
      <w:r>
        <w:rPr/>
        <w:pict>
          <v:shape style="position:absolute;margin-left:569.023254pt;margin-top:4.681835pt;width:53.05pt;height:6.25pt;mso-position-horizontal-relative:page;mso-position-vertical-relative:paragraph;z-index:251714560;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461.143707pt;margin-top:7.168768pt;width:29.35pt;height:6.25pt;mso-position-horizontal-relative:page;mso-position-vertical-relative:paragraph;z-index:251717632;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453.858795pt;margin-top:15.467128pt;width:21pt;height:6.25pt;mso-position-horizontal-relative:page;mso-position-vertical-relative:paragraph;z-index:251718656;rotation:48" type="#_x0000_t136" fillcolor="#4d4d4d" stroked="f">
            <o:extrusion v:ext="view" autorotationcenter="t"/>
            <v:textpath style="font-family:&quot;Century Gothic&quot;;font-size:6pt;v-text-kern:t;mso-text-shadow:auto;font-weight:bold" string="Fuji Wy"/>
            <w10:wrap type="none"/>
          </v:shape>
        </w:pict>
      </w:r>
      <w:r>
        <w:rPr/>
        <w:pict>
          <v:shape style="position:absolute;margin-left:495.499023pt;margin-top:16.380795pt;width:42.2pt;height:6.25pt;mso-position-horizontal-relative:page;mso-position-vertical-relative:paragraph;z-index:251745280;rotation:358" type="#_x0000_t136" fillcolor="#4d4d4d" stroked="f">
            <o:extrusion v:ext="view" autorotationcenter="t"/>
            <v:textpath style="font-family:&quot;Century Gothic&quot;;font-size:6pt;v-text-kern:t;mso-text-shadow:auto;font-weight:bold" string="Englewood Dr"/>
            <w10:wrap type="none"/>
          </v:shape>
        </w:pict>
      </w:r>
      <w:r>
        <w:rPr>
          <w:rFonts w:ascii="Century Gothic"/>
          <w:b/>
          <w:color w:val="4D4D4D"/>
          <w:w w:val="105"/>
          <w:sz w:val="12"/>
        </w:rPr>
        <w:t>Shockle</w:t>
      </w:r>
      <w:r>
        <w:rPr>
          <w:rFonts w:ascii="Century Gothic"/>
          <w:b/>
          <w:color w:val="4D4D4D"/>
          <w:w w:val="105"/>
          <w:position w:val="1"/>
          <w:sz w:val="12"/>
        </w:rPr>
        <w:t>y Rd</w:t>
      </w:r>
    </w:p>
    <w:p>
      <w:pPr>
        <w:pStyle w:val="BodyText"/>
        <w:spacing w:before="4"/>
        <w:rPr>
          <w:rFonts w:ascii="Century Gothic"/>
          <w:b/>
          <w:sz w:val="25"/>
        </w:rPr>
      </w:pPr>
    </w:p>
    <w:p>
      <w:pPr>
        <w:spacing w:before="107"/>
        <w:ind w:left="3842" w:right="1518" w:firstLine="0"/>
        <w:jc w:val="center"/>
        <w:rPr>
          <w:rFonts w:ascii="Century Gothic"/>
          <w:b/>
          <w:sz w:val="12"/>
        </w:rPr>
      </w:pPr>
      <w:r>
        <w:rPr/>
        <w:pict>
          <v:shape style="position:absolute;margin-left:666.9646pt;margin-top:10.088499pt;width:26.6pt;height:6.25pt;mso-position-horizontal-relative:page;mso-position-vertical-relative:paragraph;z-index:251712512;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644.109375pt;margin-top:32.739059pt;width:30.8pt;height:6.25pt;mso-position-horizontal-relative:page;mso-position-vertical-relative:paragraph;z-index:251715584;rotation:25" type="#_x0000_t136" fillcolor="#4d4d4d" stroked="f">
            <o:extrusion v:ext="view" autorotationcenter="t"/>
            <v:textpath style="font-family:&quot;Century Gothic&quot;;font-size:6pt;v-text-kern:t;mso-text-shadow:auto;font-weight:bold" string="Tapteal Dr"/>
            <w10:wrap type="none"/>
          </v:shape>
        </w:pict>
      </w:r>
      <w:r>
        <w:rPr/>
        <w:pict>
          <v:shape style="position:absolute;margin-left:463.093109pt;margin-top:47.716999pt;width:29.35pt;height:6.25pt;mso-position-horizontal-relative:page;mso-position-vertical-relative:paragraph;z-index:251716608;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621.439636pt;margin-top:13.036329pt;width:10.25pt;height:32.2pt;mso-position-horizontal-relative:page;mso-position-vertical-relative:paragraph;z-index:251734016" type="#_x0000_t202" filled="false" stroked="false">
            <v:textbox inset="0,0,0,0" style="layout-flow:vertical;mso-layout-flow-alt:bottom-to-top">
              <w:txbxContent>
                <w:p>
                  <w:pPr>
                    <w:spacing w:before="26"/>
                    <w:ind w:left="20" w:right="0" w:firstLine="0"/>
                    <w:jc w:val="left"/>
                    <w:rPr>
                      <w:rFonts w:ascii="Century Gothic"/>
                      <w:b/>
                      <w:sz w:val="12"/>
                    </w:rPr>
                  </w:pPr>
                  <w:r>
                    <w:rPr>
                      <w:rFonts w:ascii="Century Gothic"/>
                      <w:b/>
                      <w:color w:val="4D4D4D"/>
                      <w:w w:val="105"/>
                      <w:sz w:val="12"/>
                    </w:rPr>
                    <w:t>Step</w:t>
                  </w:r>
                  <w:r>
                    <w:rPr>
                      <w:rFonts w:ascii="Century Gothic"/>
                      <w:b/>
                      <w:color w:val="4D4D4D"/>
                      <w:w w:val="105"/>
                      <w:position w:val="1"/>
                      <w:sz w:val="12"/>
                    </w:rPr>
                    <w:t>toe St</w:t>
                  </w:r>
                </w:p>
              </w:txbxContent>
            </v:textbox>
            <w10:wrap type="none"/>
          </v:shape>
        </w:pict>
      </w:r>
      <w:r>
        <w:rPr/>
        <w:pict>
          <v:shape style="position:absolute;margin-left:462.704419pt;margin-top:23.56439pt;width:26.15pt;height:6.25pt;mso-position-horizontal-relative:page;mso-position-vertical-relative:paragraph;z-index:251736064;rotation:272" type="#_x0000_t136" fillcolor="#4d4d4d" stroked="f">
            <o:extrusion v:ext="view" autorotationcenter="t"/>
            <v:textpath style="font-family:&quot;Century Gothic&quot;;font-size:6pt;v-text-kern:t;mso-text-shadow:auto;font-weight:bold" string="Gala Wy"/>
            <w10:wrap type="none"/>
          </v:shape>
        </w:pict>
      </w:r>
      <w:r>
        <w:rPr/>
        <w:pict>
          <v:shape style="position:absolute;margin-left:564.674438pt;margin-top:49.335461pt;width:32.0500pt;height:6.25pt;mso-position-horizontal-relative:page;mso-position-vertical-relative:paragraph;z-index:251747328;rotation:359" type="#_x0000_t136" fillcolor="#4d4d4d" stroked="f">
            <o:extrusion v:ext="view" autorotationcenter="t"/>
            <v:textpath style="font-family:&quot;Century Gothic&quot;;font-size:6pt;v-text-kern:t;mso-text-shadow:auto;font-weight:bold" string="Gage Blvd"/>
            <w10:wrap type="none"/>
          </v:shape>
        </w:pict>
      </w:r>
      <w:r>
        <w:rPr>
          <w:rFonts w:ascii="Century Gothic"/>
          <w:b/>
          <w:color w:val="4D4D4D"/>
          <w:w w:val="105"/>
          <w:sz w:val="12"/>
        </w:rPr>
        <w:t>Westcliffe Blvd</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
        <w:rPr>
          <w:rFonts w:ascii="Century Gothic"/>
          <w:b/>
          <w:sz w:val="25"/>
        </w:rPr>
      </w:pPr>
    </w:p>
    <w:p>
      <w:pPr>
        <w:spacing w:after="0"/>
        <w:rPr>
          <w:rFonts w:ascii="Century Gothic"/>
          <w:sz w:val="25"/>
        </w:rPr>
        <w:sectPr>
          <w:type w:val="continuous"/>
          <w:pgSz w:w="15840" w:h="24480"/>
          <w:pgMar w:top="1480" w:bottom="1320" w:left="0" w:right="0"/>
        </w:sectPr>
      </w:pPr>
    </w:p>
    <w:p>
      <w:pPr>
        <w:spacing w:line="424" w:lineRule="auto" w:before="97"/>
        <w:ind w:left="1640" w:right="1086" w:firstLine="0"/>
        <w:jc w:val="left"/>
        <w:rPr>
          <w:rFonts w:ascii="Arial"/>
          <w:sz w:val="16"/>
        </w:rPr>
      </w:pPr>
      <w:r>
        <w:rPr/>
        <w:pict>
          <v:group style="position:absolute;margin-left:35.055271pt;margin-top:35.460236pt;width:721.85pt;height:1153.850pt;mso-position-horizontal-relative:page;mso-position-vertical-relative:page;z-index:-268326912" coordorigin="701,709" coordsize="14437,23077">
            <v:rect style="position:absolute;left:720;top:2880;width:14402;height:20881" filled="true" fillcolor="#e5e2cf" stroked="false">
              <v:fill type="solid"/>
            </v:rect>
            <v:shape style="position:absolute;left:717;top:3148;width:14412;height:20622" type="#_x0000_t75" stroked="false">
              <v:imagedata r:id="rId47" o:title=""/>
            </v:shape>
            <v:shape style="position:absolute;left:11943;top:19235;width:786;height:2994" coordorigin="11943,19235" coordsize="786,2994" path="m12636,19241l12620,19235,12625,19349,12625,19441,12604,19441,12268,19446,12263,19879,12263,19906,12263,20074,12263,20085,12620,20080,12614,21531,12723,21531,12728,21942,12365,22077,12003,22207,11943,22229e" filled="false" stroked="true" strokeweight="2.97767pt" strokecolor="#cccccc">
              <v:path arrowok="t"/>
              <v:stroke dashstyle="solid"/>
            </v:shape>
            <v:shape style="position:absolute;left:1621;top:5963;width:10352;height:17422" type="#_x0000_t75" stroked="false">
              <v:imagedata r:id="rId48" o:title=""/>
            </v:shape>
            <v:shape style="position:absolute;left:2235;top:6312;width:4830;height:1495" coordorigin="2236,6312" coordsize="4830,1495" path="m2236,6312l2588,6415,3335,6648,4033,6865,5057,7179,5446,7298,6172,7525,6448,7606,6827,7731,7065,7807e" filled="false" stroked="true" strokeweight="2.97767pt" strokecolor="#cccccc">
              <v:path arrowok="t"/>
              <v:stroke dashstyle="solid"/>
            </v:shape>
            <v:shape style="position:absolute;left:717;top:2877;width:14418;height:20898" type="#_x0000_t75" stroked="false">
              <v:imagedata r:id="rId49" o:title=""/>
            </v:shape>
            <v:shape style="position:absolute;left:11943;top:19235;width:786;height:2994" coordorigin="11943,19235" coordsize="786,2994" path="m12636,19241l12620,19235,12625,19349,12625,19441,12604,19441,12268,19446,12263,19879,12263,19906,12263,20074,12263,20085,12620,20080,12614,21531,12723,21531,12728,21942,12365,22077,12003,22207,11943,22229e" filled="false" stroked="true" strokeweight="1.89488pt" strokecolor="#000000">
              <v:path arrowok="t"/>
              <v:stroke dashstyle="solid"/>
            </v:shape>
            <v:shape style="position:absolute;left:1632;top:5974;width:10330;height:17400" type="#_x0000_t75" stroked="false">
              <v:imagedata r:id="rId50" o:title=""/>
            </v:shape>
            <v:shape style="position:absolute;left:2235;top:6312;width:7591;height:14185" coordorigin="2236,6312" coordsize="7591,14185" path="m2236,6312l2588,6415,3335,6648,4033,6865,5057,7179,5446,7298,6172,7525,6448,7606,6827,7731,7065,7807m9702,20269l9621,20312m9621,20312l9615,20312,9610,20307m9610,20307l9604,20291m9604,20291l9599,20285,9594,20280,9588,20275,9583,20275,9577,20269,9572,20269,9566,20269,9561,20269m9561,20269l9464,20302,9464,20334,9469,20453,9550,20453,9713,20459,9713,20491,9767,20497,9799,20480,9826,20464e" filled="false" stroked="true" strokeweight="1.89488pt" strokecolor="#000000">
              <v:path arrowok="t"/>
              <v:stroke dashstyle="solid"/>
            </v:shape>
            <v:shape style="position:absolute;left:9682;top:20244;width:163;height:239" type="#_x0000_t75" stroked="false">
              <v:imagedata r:id="rId51" o:title=""/>
            </v:shape>
            <v:shape style="position:absolute;left:706;top:6585;width:14431;height:17200" type="#_x0000_t75" stroked="false">
              <v:imagedata r:id="rId52" o:title=""/>
            </v:shape>
            <v:shape style="position:absolute;left:720;top:16761;width:4510;height:3850" coordorigin="720,16761" coordsize="4510,3850" path="m5230,20610l5181,20502,5078,20231,5024,20074,4526,18683,4391,18407,4266,18228,4093,18044,2891,17183m2891,17183l2886,17178,2880,17173,2875,17173,2869,17167,2864,17162,2859,17162,2853,17156,2848,17151,2842,17145,2837,17145,2831,17140,2826,17135,2821,17135,2815,17129,2810,17124,2804,17124,2799,17118,2794,17118,2788,17113,2783,17108,2777,17108,2772,17102,2767,17097,2761,17097,2756,17091,2750,17091,2745,17086,2739,17080,2734,17080,2729,17075,2723,17075,2718,17070,2712,17064,2707,17064,2702,17059,2696,17059,2691,17053,2685,17053,2680,17048,2674,17043,2669,17043,2664,17037,2658,17037,2653,17032,2647,17032,2642,17026,2637,17026,2631,17021,2626,17021,2620,17016,2615,17010,2610,17010,2604,17005,2599,17005,2593,16999,2588,16999,2582,16994,2577,16994,2572,16988,2566,16988,2561,16983,2555,16983,2550,16983,2545,16978,2539,16978,2534,16972,2528,16972,2523,16967,2517,16967,2512,16961,2507,16961,2501,16956,2496,16956,2490,16951,2485,16951,2480,16951,2474,16945,2469,16945,2463,16940,2458,16940,2453,16934,2447,16934,2442,16934,2436,16929,2431,16929,2425,16923,2420,16923,2415,16923,2409,16918,2404,16918,2398,16913,2393,16913,2388,16913,2382,16907,2377,16907,2371,16902,2366,16902,2360,16902,2355,16896,2350,16896,2344,16896,2339,16891,2333,16891,2328,16891,2323,16886,2317,16886,2312,16886,2306,16880,2301,16880,2296,16880,2290,16875,2285,16875,2279,16875,2274,16869,2268,16869,2263,16869,2258,16864,2252,16864,2247,16864,2241,16859,2236,16859,2231,16859,2225,16853,2220,16853,2214,16853,2209,16853,2203,16848,2198,16848,2193,16848,2187,16842,2182,16842,2176,16842,2171,16842,2166,16837,2160,16837,2155,16837,2149,16831,2144,16831,2139,16831,2133,16831,2128,16826,2122,16826,2117,16826,2111,16826,2106,16821,2101,16821,2095,16821,2090,16821,2084,16821,2079,16815,2074,16815,2068,16815,2063,16815,2057,16810,2052,16810,2046,16810,2041,16810,2036,16810,2030,16804,2025,16804,2019,16804,2014,16804,2009,16804,2003,16799,1998,16799,1992,16799,1987,16799,1982,16799,1976,16794,1971,16794,1965,16794,1960,16794,1954,16794,1949,16794,1944,16788,1938,16788,1933,16788,1927,16788,1922,16788,1917,16788,1911,16788,1906,16783,1900,16783,1895,16783,1889,16783,1884,16783,1879,16783,1873,16783,1868,16777,1862,16777,1857,16777,1852,16777,1846,16777,1841,16777,1835,16777,1830,16777,1824,16772,1819,16772,1814,16772,1808,16772,1803,16772,1797,16772,1792,16772,1787,16772,1781,16772,1776,16772,1770,16766,1765,16766,1760,16766,1754,16766,1749,16766,1743,16766,1738,16766,1732,16766,1727,16766,1722,16766,1716,16766,1711,16766,1705,16766,1700,16766,1695,16766,1689,16761,1684,16761,1678,16761,1673,16761,1667,16761,1662,16761,1657,16761,1651,16761,1646,16761,1640,16761,1635,16761,1630,16761,1624,16761,1619,16761,1613,16761,1608,16761,1603,16761,1597,16761,1592,16761,1586,16761,1581,16761,1575,16761,1570,16761,1565,16761,1559,16761,1554,16761,1548,16761,1543,16761,1538,16761,1532,16761,1527,16761,1521,16761,1516,16761,1510,16761,1505,16761,1500,16761,1494,16761,1489,16761,1483,16761,1478,16761,1473,16761,1467,16766,1462,16766,1456,16766,1451,16766,1446,16766,1440,16766,1435,16766,1429,16766,1424,16766,1418,16766,1413,16766,1408,16766,1402,16766,1397,16766,1391,16766,1386,16772,1381,16772,1375,16772,1370,16772,1364,16772,1359,16772,1353,16772,1348,16772,1343,16772,1337,16772,1332,16777,1326,16777,1321,16777,1316,16777,1310,16777,1305,16777,1299,16777,1294,16777,1289,16783,1283,16783,1278,16783,1272,16783,1267,16783m1267,16783l720,16893e" filled="false" stroked="true" strokeweight="1.89488pt" strokecolor="#005be5">
              <v:path arrowok="t"/>
              <v:stroke dashstyle="solid"/>
            </v:shape>
            <v:shape style="position:absolute;left:1708;top:5995;width:13156;height:17211" type="#_x0000_t75" stroked="false">
              <v:imagedata r:id="rId53" o:title=""/>
            </v:shape>
            <v:shape style="position:absolute;left:720;top:2880;width:14402;height:20881" coordorigin="720,2880" coordsize="14402,20881" path="m720,13318l720,2880,15121,2880,15121,23761,720,23761,720,13318e" filled="false" stroked="true" strokeweight="1.082790pt" strokecolor="#000000">
              <v:path arrowok="t"/>
              <v:stroke dashstyle="solid"/>
            </v:shape>
            <v:shape style="position:absolute;left:871;top:20112;width:3839;height:3563" coordorigin="872,20112" coordsize="3839,3563" path="m4483,23669l1099,23669,1104,23674,4477,23674,4483,23669xm4510,23664l1072,23664,1077,23669,4504,23669,4510,23664xm4531,23658l1050,23658,1056,23664,4526,23664,4531,23658xm4542,23653l1039,23653,1045,23658,4537,23658,4542,23653xm4559,23647l1023,23647,1029,23653,4553,23653,4559,23647xm4569,23642l1012,23642,1018,23647,4564,23647,4569,23642xm4586,23631l996,23631,1007,23642,4575,23642,4586,23631xm4602,23620l980,23620,991,23631,4591,23631,4602,23620xm4613,20172l969,20172,931,20210,931,20215,915,20231,915,20237,904,20248,904,20253,899,20258,899,20264,893,20269,893,20280,888,20285,888,20291,882,20296,882,20312,877,20318,877,20340,872,20345,872,23442,877,23447,877,23469,882,23474,882,23490,888,23496,888,23507,893,23512,893,23517,899,23523,899,23528,904,23534,904,23539,915,23550,915,23555,926,23566,926,23572,975,23620,4607,23620,4656,23572,4656,23566,4667,23555,4667,23550,4678,23539,4678,23534,4683,23528,4683,23523,4688,23517,4688,23512,4694,23507,4694,23496,4699,23490,4699,23474,4705,23469,4705,23447,4710,23442,4710,20345,4705,20340,4705,20318,4699,20312,4699,20296,4694,20291,4694,20285,4688,20280,4688,20269,4683,20264,4683,20258,4678,20253,4678,20248,4667,20237,4667,20231,4651,20215,4651,20210,4613,20172xm4591,20155l991,20155,975,20172,4607,20172,4591,20155xm4575,20145l1007,20145,996,20155,4586,20155,4575,20145xm4564,20139l1018,20139,1012,20145,4569,20145,4564,20139xm4553,20134l1029,20134,1023,20139,4559,20139,4553,20134xm4537,20128l1045,20128,1039,20134,4542,20134,4537,20128xm4526,20123l1056,20123,1050,20128,4531,20128,4526,20123xm4504,20118l1077,20118,1072,20123,4510,20123,4504,20118xm4477,20112l1104,20112,1099,20118,4483,20118,4477,20112xe" filled="true" fillcolor="#ffffff" stroked="false">
              <v:path arrowok="t"/>
              <v:fill type="solid"/>
            </v:shape>
            <v:rect style="position:absolute;left:1071;top:20312;width:482;height:239" filled="false" stroked="true" strokeweight="1.89488pt" strokecolor="#000000">
              <v:stroke dashstyle="solid"/>
            </v:rect>
            <v:rect style="position:absolute;left:1071;top:20637;width:482;height:239" filled="true" fillcolor="#cccccc" stroked="false">
              <v:fill type="solid"/>
            </v:rect>
            <v:shape style="position:absolute;left:1071;top:20637;width:482;height:239" coordorigin="1072,20637" coordsize="482,239" path="m1072,20876l1072,20756m1072,20637l1191,20637m1316,20637l1435,20637m1554,20637l1554,20756m1554,20876l1435,20876m1316,20876l1196,20876m1072,20876l1072,20876e" filled="false" stroked="true" strokeweight="1.89488pt" strokecolor="#000000">
              <v:path arrowok="t"/>
              <v:stroke dashstyle="solid"/>
            </v:shape>
            <v:line style="position:absolute" from="1072,21411" to="1554,21411" stroked="true" strokeweight="1.89488pt" strokecolor="#005be5">
              <v:stroke dashstyle="solid"/>
            </v:line>
            <v:line style="position:absolute" from="1072,21736" to="1554,21736" stroked="true" strokeweight="1.89488pt" strokecolor="#897044">
              <v:stroke dashstyle="solid"/>
            </v:line>
            <v:line style="position:absolute" from="1072,22061" to="1554,22061" stroked="true" strokeweight="1.89488pt" strokecolor="#ff0000">
              <v:stroke dashstyle="solid"/>
            </v:line>
            <v:line style="position:absolute" from="1072,22386" to="1554,22386" stroked="true" strokeweight="1.89488pt" strokecolor="#38a700">
              <v:stroke dashstyle="solid"/>
            </v:line>
            <v:line style="position:absolute" from="1072,22711" to="1554,22711" stroked="true" strokeweight="1.89488pt" strokecolor="#c500ff">
              <v:stroke dashstyle="solid"/>
            </v:line>
            <v:line style="position:absolute" from="1072,23036" to="1554,23036" stroked="true" strokeweight="1.89488pt" strokecolor="#ffaa00">
              <v:stroke dashstyle="solid"/>
            </v:line>
            <v:line style="position:absolute" from="1072,23355" to="1554,23355" stroked="true" strokeweight="1.082790pt" strokecolor="#818181">
              <v:stroke dashstyle="solid"/>
            </v:line>
            <v:line style="position:absolute" from="4445,23674" to="1137,23674" stroked="true" strokeweight="1.082790pt" strokecolor="#000000">
              <v:stroke dashstyle="solid"/>
            </v:line>
            <v:shape style="position:absolute;left:860;top:23398;width:287;height:287" type="#_x0000_t75" stroked="false">
              <v:imagedata r:id="rId54" o:title=""/>
            </v:shape>
            <v:line style="position:absolute" from="872,23409" to="872,20383" stroked="true" strokeweight="1.082790pt" strokecolor="#000000">
              <v:stroke dashstyle="solid"/>
            </v:line>
            <v:shape style="position:absolute;left:860;top:20101;width:287;height:293" type="#_x0000_t75" stroked="false">
              <v:imagedata r:id="rId55" o:title=""/>
            </v:shape>
            <v:line style="position:absolute" from="1137,20112" to="4445,20112" stroked="true" strokeweight="1.082790pt" strokecolor="#000000">
              <v:stroke dashstyle="solid"/>
            </v:line>
            <v:shape style="position:absolute;left:4434;top:20101;width:287;height:293" type="#_x0000_t75" stroked="false">
              <v:imagedata r:id="rId56" o:title=""/>
            </v:shape>
            <v:line style="position:absolute" from="4710,20383" to="4710,23409" stroked="true" strokeweight="1.082790pt" strokecolor="#000000">
              <v:stroke dashstyle="solid"/>
            </v:line>
            <v:shape style="position:absolute;left:4434;top:23398;width:287;height:287" type="#_x0000_t75" stroked="false">
              <v:imagedata r:id="rId57" o:title=""/>
            </v:shape>
            <v:rect style="position:absolute;left:720;top:720;width:14402;height:2161" filled="false" stroked="true" strokeweight="1.082790pt" strokecolor="#000000">
              <v:stroke dashstyle="solid"/>
            </v:rect>
            <v:shape style="position:absolute;left:14541;top:947;width:342;height:1706" coordorigin="14542,947" coordsize="342,1706" path="m14714,2000l14709,2000,14709,2595,14712,2595,14712,2598,14780,2653,14780,2135,14714,2074,14714,2000xm14883,1658l14598,1658,14576,1662,14558,1674,14546,1692,14542,1714,14542,2000,14827,2000,14848,1995,14866,1983,14878,1965,14882,1949,14709,1949,14689,1947,14670,1942,14651,1933,14634,1921,14622,1909,14634,1898,14612,1898,14596,1860,14592,1819,14592,1818,14602,1780,14627,1745,14645,1730,14666,1719,14687,1713,14709,1710,14883,1710,14883,1658xm14883,1740l14793,1740,14803,1752,14825,1791,14832,1834,14822,1877,14796,1914,14778,1929,14758,1940,14736,1947,14714,1949,14882,1949,14883,1944,14883,1740xm14712,1911l14711,1911,14711,1913,14709,1913,14703,1916,14694,1919,14688,1923,14683,1924,14676,1924,14671,1926,14683,1931,14696,1934,14727,1934,14732,1932,14714,1914,14712,1911xm14753,1881l14744,1890,14735,1896,14725,1903,14750,1928,14760,1923,14771,1918,14780,1909,14753,1881xm14678,1877l14647,1908,14655,1913,14668,1913,14688,1906,14701,1900,14678,1877xm14714,1729l14709,1729,14671,1738,14640,1760,14618,1792,14611,1829,14611,1834,14612,1845,14614,1859,14619,1872,14625,1885,14612,1898,14634,1898,14663,1868,14642,1868,14635,1857,14632,1844,14632,1829,14634,1815,14638,1800,14646,1786,14657,1773,14668,1763,14681,1756,14695,1752,14709,1750,14783,1750,14789,1743,14766,1743,14755,1738,14742,1733,14728,1730,14714,1729xm14786,1842l14780,1852,14771,1862,14763,1870,14791,1898,14799,1888,14806,1877,14809,1867,14786,1842xm14712,1842l14688,1867,14709,1886,14714,1891,14724,1886,14732,1878,14742,1870,14714,1844,14712,1842xm14722,1770l14709,1770,14698,1771,14688,1774,14679,1780,14670,1788,14661,1797,14656,1808,14653,1819,14652,1829,14652,1839,14653,1847,14655,1854,14642,1868,14663,1868,14714,1817,14759,1773,14735,1773,14722,1770xm14748,1806l14724,1830,14753,1860,14762,1850,14775,1830,14748,1806xm14807,1789l14807,1794,14806,1799,14804,1806,14801,1812,14794,1829,14814,1849,14815,1834,14815,1829,14815,1818,14812,1803,14807,1789xm14791,1765l14760,1794,14783,1817,14785,1811,14788,1806,14794,1786,14794,1773,14791,1765xm14783,1750l14727,1750,14739,1753,14750,1758,14735,1773,14759,1773,14783,1750xm14883,1710l14714,1710,14731,1712,14748,1716,14764,1723,14778,1732,14766,1743,14789,1743,14793,1740,14883,1740,14883,1710xm14714,947l14644,1523,14709,1585,14709,1658,14714,1658,14714,947xe" filled="true" fillcolor="#335f93" stroked="false">
              <v:path arrowok="t"/>
              <v:fill type="solid"/>
            </v:shape>
            <v:shape style="position:absolute;left:14592;top:1710;width:186;height:188" type="#_x0000_t75" stroked="false">
              <v:imagedata r:id="rId58" o:title=""/>
            </v:shape>
            <w10:wrap type="none"/>
          </v:group>
        </w:pict>
      </w:r>
      <w:r>
        <w:rPr>
          <w:rFonts w:ascii="Arial"/>
          <w:sz w:val="16"/>
        </w:rPr>
        <w:t>Richland City Limits Urban Growth Area</w:t>
      </w:r>
    </w:p>
    <w:p>
      <w:pPr>
        <w:spacing w:line="215" w:lineRule="exact" w:before="0"/>
        <w:ind w:left="1071" w:right="0" w:firstLine="0"/>
        <w:jc w:val="left"/>
        <w:rPr>
          <w:rFonts w:ascii="Arial"/>
          <w:b/>
          <w:sz w:val="21"/>
        </w:rPr>
      </w:pPr>
      <w:r>
        <w:rPr>
          <w:rFonts w:ascii="Arial"/>
          <w:b/>
          <w:w w:val="105"/>
          <w:sz w:val="21"/>
        </w:rPr>
        <w:t>Street Classification</w:t>
      </w:r>
    </w:p>
    <w:p>
      <w:pPr>
        <w:spacing w:before="114"/>
        <w:ind w:left="1640" w:right="0" w:firstLine="0"/>
        <w:jc w:val="left"/>
        <w:rPr>
          <w:rFonts w:ascii="Arial"/>
          <w:sz w:val="16"/>
        </w:rPr>
      </w:pPr>
      <w:r>
        <w:rPr>
          <w:rFonts w:ascii="Arial"/>
          <w:sz w:val="16"/>
        </w:rPr>
        <w:t>Interstate</w:t>
      </w:r>
    </w:p>
    <w:p>
      <w:pPr>
        <w:spacing w:line="451" w:lineRule="auto" w:before="145"/>
        <w:ind w:left="1640" w:right="0" w:firstLine="0"/>
        <w:jc w:val="left"/>
        <w:rPr>
          <w:rFonts w:ascii="Arial"/>
          <w:sz w:val="15"/>
        </w:rPr>
      </w:pPr>
      <w:r>
        <w:rPr>
          <w:rFonts w:ascii="Arial"/>
          <w:sz w:val="15"/>
        </w:rPr>
        <w:t>Other Freeway - Expressway (14.4 Miles) Principal Arterial (18.0 Miles)</w:t>
      </w:r>
    </w:p>
    <w:p>
      <w:pPr>
        <w:spacing w:line="448" w:lineRule="auto" w:before="1"/>
        <w:ind w:left="1640" w:right="834" w:firstLine="0"/>
        <w:jc w:val="left"/>
        <w:rPr>
          <w:rFonts w:ascii="Arial"/>
          <w:sz w:val="15"/>
        </w:rPr>
      </w:pPr>
      <w:r>
        <w:rPr>
          <w:rFonts w:ascii="Arial"/>
          <w:sz w:val="15"/>
        </w:rPr>
        <w:t>Minor Arterial (23.0 Miles) Major Collector (35.7 Miles) Minor Collector (23.3 Miles) Local Streets (203.3 Miles)</w:t>
      </w:r>
    </w:p>
    <w:p>
      <w:pPr>
        <w:pStyle w:val="BodyText"/>
        <w:rPr>
          <w:rFonts w:ascii="Arial"/>
          <w:sz w:val="38"/>
        </w:rPr>
      </w:pPr>
      <w:r>
        <w:rPr/>
        <w:br w:type="column"/>
      </w:r>
      <w:r>
        <w:rPr>
          <w:rFonts w:ascii="Arial"/>
          <w:sz w:val="38"/>
        </w:rPr>
      </w:r>
    </w:p>
    <w:p>
      <w:pPr>
        <w:pStyle w:val="BodyText"/>
        <w:rPr>
          <w:rFonts w:ascii="Arial"/>
          <w:sz w:val="38"/>
        </w:rPr>
      </w:pPr>
    </w:p>
    <w:p>
      <w:pPr>
        <w:pStyle w:val="BodyText"/>
        <w:rPr>
          <w:rFonts w:ascii="Arial"/>
          <w:sz w:val="38"/>
        </w:rPr>
      </w:pPr>
    </w:p>
    <w:p>
      <w:pPr>
        <w:pStyle w:val="BodyText"/>
        <w:rPr>
          <w:rFonts w:ascii="Arial"/>
          <w:sz w:val="38"/>
        </w:rPr>
      </w:pPr>
    </w:p>
    <w:p>
      <w:pPr>
        <w:pStyle w:val="BodyText"/>
        <w:rPr>
          <w:rFonts w:ascii="Arial"/>
          <w:sz w:val="38"/>
        </w:rPr>
      </w:pPr>
    </w:p>
    <w:p>
      <w:pPr>
        <w:pStyle w:val="BodyText"/>
        <w:spacing w:before="3"/>
        <w:rPr>
          <w:rFonts w:ascii="Arial"/>
          <w:sz w:val="36"/>
        </w:rPr>
      </w:pPr>
    </w:p>
    <w:p>
      <w:pPr>
        <w:spacing w:before="0"/>
        <w:ind w:left="0" w:right="38" w:firstLine="0"/>
        <w:jc w:val="right"/>
        <w:rPr>
          <w:rFonts w:ascii="Arial" w:hAnsi="Arial"/>
          <w:b/>
          <w:sz w:val="11"/>
        </w:rPr>
      </w:pPr>
      <w:r>
        <w:rPr/>
        <w:pict>
          <v:shape style="position:absolute;margin-left:521.03772pt;margin-top:-11.365568pt;width:27.45pt;height:6.25pt;mso-position-horizontal-relative:page;mso-position-vertical-relative:paragraph;z-index:251711488;rotation:1" type="#_x0000_t136" fillcolor="#4d4d4d" stroked="f">
            <o:extrusion v:ext="view" autorotationcenter="t"/>
            <v:textpath style="font-family:&quot;Century Gothic&quot;;font-size:6pt;v-text-kern:t;mso-text-shadow:auto;font-weight:bold" string="Reata Rd"/>
            <w10:wrap type="none"/>
          </v:shape>
        </w:pict>
      </w:r>
      <w:r>
        <w:rPr>
          <w:rFonts w:ascii="Arial" w:hAnsi="Arial"/>
          <w:color w:val="FF0000"/>
          <w:spacing w:val="-262"/>
          <w:w w:val="127"/>
          <w:position w:val="1"/>
          <w:sz w:val="37"/>
        </w:rPr>
        <w:t>§</w:t>
      </w:r>
      <w:r>
        <w:rPr>
          <w:rFonts w:ascii="Arial" w:hAnsi="Arial"/>
          <w:color w:val="0000FF"/>
          <w:spacing w:val="-262"/>
          <w:w w:val="212"/>
          <w:sz w:val="37"/>
        </w:rPr>
        <w:t>¨</w:t>
      </w:r>
      <w:r>
        <w:rPr>
          <w:rFonts w:ascii="Arial" w:hAnsi="Arial"/>
          <w:spacing w:val="-192"/>
          <w:w w:val="272"/>
          <w:sz w:val="37"/>
        </w:rPr>
        <w:t>¦</w:t>
      </w:r>
      <w:r>
        <w:rPr>
          <w:rFonts w:ascii="Arial" w:hAnsi="Arial"/>
          <w:b/>
          <w:color w:val="FFFFFF"/>
          <w:spacing w:val="-1"/>
          <w:w w:val="98"/>
          <w:position w:val="9"/>
          <w:sz w:val="11"/>
        </w:rPr>
        <w:t>8</w:t>
      </w:r>
      <w:r>
        <w:rPr>
          <w:rFonts w:ascii="Arial" w:hAnsi="Arial"/>
          <w:b/>
          <w:color w:val="FFFFFF"/>
          <w:w w:val="98"/>
          <w:position w:val="9"/>
          <w:sz w:val="11"/>
        </w:rPr>
        <w:t>2</w:t>
      </w:r>
    </w:p>
    <w:p>
      <w:pPr>
        <w:pStyle w:val="BodyText"/>
        <w:rPr>
          <w:rFonts w:ascii="Arial"/>
          <w:b/>
          <w:sz w:val="26"/>
        </w:rPr>
      </w:pPr>
      <w:r>
        <w:rPr/>
        <w:br w:type="column"/>
      </w:r>
      <w:r>
        <w:rPr>
          <w:rFonts w:ascii="Arial"/>
          <w:b/>
          <w:sz w:val="26"/>
        </w:rPr>
      </w:r>
    </w:p>
    <w:p>
      <w:pPr>
        <w:pStyle w:val="BodyText"/>
        <w:rPr>
          <w:rFonts w:ascii="Arial"/>
          <w:b/>
          <w:sz w:val="26"/>
        </w:rPr>
      </w:pPr>
    </w:p>
    <w:p>
      <w:pPr>
        <w:pStyle w:val="BodyText"/>
        <w:rPr>
          <w:rFonts w:ascii="Arial"/>
          <w:b/>
          <w:sz w:val="26"/>
        </w:rPr>
      </w:pPr>
    </w:p>
    <w:p>
      <w:pPr>
        <w:pStyle w:val="BodyText"/>
        <w:spacing w:before="4"/>
        <w:rPr>
          <w:rFonts w:ascii="Arial"/>
          <w:b/>
          <w:sz w:val="35"/>
        </w:rPr>
      </w:pPr>
    </w:p>
    <w:p>
      <w:pPr>
        <w:spacing w:before="0"/>
        <w:ind w:left="1071" w:right="0" w:firstLine="0"/>
        <w:jc w:val="left"/>
        <w:rPr>
          <w:rFonts w:ascii="Arial"/>
          <w:sz w:val="24"/>
        </w:rPr>
      </w:pPr>
      <w:r>
        <w:rPr/>
        <w:pict>
          <v:shape style="position:absolute;margin-left:602.317188pt;margin-top:-49.095294pt;width:34.1pt;height:6.25pt;mso-position-horizontal-relative:page;mso-position-vertical-relative:paragraph;z-index:251721728;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260.199799pt;margin-top:-73.298683pt;width:9.950pt;height:30.05pt;mso-position-horizontal-relative:page;mso-position-vertical-relative:paragraph;z-index:251723776" type="#_x0000_t202" filled="false" stroked="false">
            <v:textbox inset="0,0,0,0" style="layout-flow:vertical;mso-layout-flow-alt:bottom-to-top">
              <w:txbxContent>
                <w:p>
                  <w:pPr>
                    <w:spacing w:before="29"/>
                    <w:ind w:left="20" w:right="0" w:firstLine="0"/>
                    <w:jc w:val="left"/>
                    <w:rPr>
                      <w:rFonts w:ascii="Century Gothic"/>
                      <w:b/>
                      <w:sz w:val="12"/>
                    </w:rPr>
                  </w:pPr>
                  <w:r>
                    <w:rPr>
                      <w:rFonts w:ascii="Century Gothic"/>
                      <w:b/>
                      <w:color w:val="4D4D4D"/>
                      <w:w w:val="105"/>
                      <w:sz w:val="12"/>
                    </w:rPr>
                    <w:t>Dallas Rd</w:t>
                  </w:r>
                </w:p>
              </w:txbxContent>
            </v:textbox>
            <w10:wrap type="none"/>
          </v:shape>
        </w:pict>
      </w:r>
      <w:r>
        <w:rPr/>
        <w:pict>
          <v:shape style="position:absolute;margin-left:546.832947pt;margin-top:-61.822834pt;width:10pt;height:28.15pt;mso-position-horizontal-relative:page;mso-position-vertical-relative:paragraph;z-index:251732992" type="#_x0000_t202" filled="false" stroked="false">
            <v:textbox inset="0,0,0,0" style="layout-flow:vertical;mso-layout-flow-alt:bottom-to-top">
              <w:txbxContent>
                <w:p>
                  <w:pPr>
                    <w:spacing w:before="20"/>
                    <w:ind w:left="20" w:right="0" w:firstLine="0"/>
                    <w:jc w:val="left"/>
                    <w:rPr>
                      <w:rFonts w:ascii="Century Gothic"/>
                      <w:b/>
                      <w:sz w:val="12"/>
                    </w:rPr>
                  </w:pPr>
                  <w:r>
                    <w:rPr>
                      <w:rFonts w:ascii="Century Gothic"/>
                      <w:b/>
                      <w:color w:val="4D4D4D"/>
                      <w:w w:val="105"/>
                      <w:position w:val="1"/>
                      <w:sz w:val="12"/>
                    </w:rPr>
                    <w:t>Le</w:t>
                  </w:r>
                  <w:r>
                    <w:rPr>
                      <w:rFonts w:ascii="Century Gothic"/>
                      <w:b/>
                      <w:color w:val="4D4D4D"/>
                      <w:w w:val="105"/>
                      <w:sz w:val="12"/>
                    </w:rPr>
                    <w:t>slie Rd</w:t>
                  </w:r>
                </w:p>
              </w:txbxContent>
            </v:textbox>
            <w10:wrap type="none"/>
          </v:shape>
        </w:pict>
      </w:r>
      <w:r>
        <w:rPr>
          <w:rFonts w:ascii="Arial"/>
          <w:emboss/>
          <w:color w:val="757576"/>
          <w:sz w:val="24"/>
        </w:rPr>
        <w:t>K</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w</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k</w:t>
      </w: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7"/>
        <w:rPr>
          <w:rFonts w:ascii="Arial"/>
          <w:sz w:val="31"/>
        </w:rPr>
      </w:pPr>
    </w:p>
    <w:p>
      <w:pPr>
        <w:spacing w:before="0"/>
        <w:ind w:left="1261" w:right="0" w:firstLine="0"/>
        <w:jc w:val="left"/>
        <w:rPr>
          <w:rFonts w:ascii="Century Gothic"/>
          <w:sz w:val="24"/>
        </w:rPr>
      </w:pPr>
      <w:r>
        <w:rPr>
          <w:rFonts w:ascii="Century Gothic"/>
          <w:sz w:val="24"/>
        </w:rPr>
        <w:t>March 28, 2023</w:t>
      </w:r>
    </w:p>
    <w:p>
      <w:pPr>
        <w:spacing w:after="0"/>
        <w:jc w:val="left"/>
        <w:rPr>
          <w:rFonts w:ascii="Century Gothic"/>
          <w:sz w:val="24"/>
        </w:rPr>
        <w:sectPr>
          <w:type w:val="continuous"/>
          <w:pgSz w:w="15840" w:h="24480"/>
          <w:pgMar w:top="1480" w:bottom="1320" w:left="0" w:right="0"/>
          <w:cols w:num="3" w:equalWidth="0">
            <w:col w:w="4547" w:space="3325"/>
            <w:col w:w="1303" w:space="2850"/>
            <w:col w:w="3815"/>
          </w:cols>
        </w:sectPr>
      </w:pPr>
    </w:p>
    <w:p>
      <w:pPr>
        <w:pStyle w:val="BodyText"/>
        <w:spacing w:before="8"/>
        <w:rPr>
          <w:rFonts w:ascii="Century Gothic"/>
          <w:sz w:val="13"/>
        </w:rPr>
      </w:pPr>
    </w:p>
    <w:p>
      <w:pPr>
        <w:spacing w:before="100"/>
        <w:ind w:left="3842" w:right="3837" w:firstLine="0"/>
        <w:jc w:val="center"/>
        <w:rPr>
          <w:rFonts w:ascii="Century Gothic"/>
          <w:b/>
          <w:sz w:val="72"/>
        </w:rPr>
      </w:pPr>
      <w:r>
        <w:rPr>
          <w:rFonts w:ascii="Century Gothic"/>
          <w:b/>
          <w:color w:val="004CA7"/>
          <w:sz w:val="72"/>
        </w:rPr>
        <w:t>City of Richland</w:t>
      </w:r>
    </w:p>
    <w:p>
      <w:pPr>
        <w:spacing w:before="47"/>
        <w:ind w:left="3842" w:right="3843" w:firstLine="0"/>
        <w:jc w:val="center"/>
        <w:rPr>
          <w:rFonts w:ascii="Century Gothic"/>
          <w:b/>
          <w:sz w:val="40"/>
        </w:rPr>
      </w:pPr>
      <w:r>
        <w:rPr>
          <w:rFonts w:ascii="Century Gothic"/>
          <w:b/>
          <w:sz w:val="40"/>
        </w:rPr>
        <w:t>T-2 - Number of Lanes</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5"/>
        <w:rPr>
          <w:rFonts w:ascii="Century Gothic"/>
          <w:b/>
        </w:rPr>
      </w:pPr>
    </w:p>
    <w:p>
      <w:pPr>
        <w:spacing w:after="0"/>
        <w:rPr>
          <w:rFonts w:ascii="Century Gothic"/>
        </w:rPr>
        <w:sectPr>
          <w:footerReference w:type="default" r:id="rId59"/>
          <w:pgSz w:w="15840" w:h="24480"/>
          <w:pgMar w:footer="0" w:header="0" w:top="760" w:bottom="280" w:left="0" w:right="0"/>
        </w:sectPr>
      </w:pPr>
    </w:p>
    <w:p>
      <w:pPr>
        <w:pStyle w:val="BodyText"/>
        <w:spacing w:before="7"/>
        <w:rPr>
          <w:rFonts w:ascii="Century Gothic"/>
          <w:b/>
          <w:sz w:val="35"/>
        </w:rPr>
      </w:pPr>
    </w:p>
    <w:p>
      <w:pPr>
        <w:spacing w:before="0"/>
        <w:ind w:left="0" w:right="0" w:firstLine="0"/>
        <w:jc w:val="right"/>
        <w:rPr>
          <w:rFonts w:ascii="Arial"/>
          <w:b/>
          <w:sz w:val="13"/>
        </w:rPr>
      </w:pPr>
      <w:r>
        <w:rPr>
          <w:rFonts w:ascii="Arial Black"/>
          <w:color w:val="FFFFFF"/>
          <w:spacing w:val="-271"/>
          <w:w w:val="101"/>
          <w:position w:val="-2"/>
          <w:sz w:val="32"/>
        </w:rPr>
        <w:t>U</w:t>
      </w:r>
      <w:r>
        <w:rPr>
          <w:rFonts w:ascii="Arial Black"/>
          <w:spacing w:val="-246"/>
          <w:w w:val="108"/>
          <w:position w:val="-2"/>
          <w:sz w:val="32"/>
        </w:rPr>
        <w:t>V</w:t>
      </w:r>
      <w:r>
        <w:rPr>
          <w:rFonts w:ascii="Arial"/>
          <w:b/>
          <w:spacing w:val="-2"/>
          <w:w w:val="102"/>
          <w:sz w:val="13"/>
        </w:rPr>
        <w:t>2</w:t>
      </w:r>
      <w:r>
        <w:rPr>
          <w:rFonts w:ascii="Arial"/>
          <w:b/>
          <w:spacing w:val="3"/>
          <w:w w:val="102"/>
          <w:sz w:val="13"/>
        </w:rPr>
        <w:t>4</w:t>
      </w:r>
      <w:r>
        <w:rPr>
          <w:rFonts w:ascii="Arial"/>
          <w:b/>
          <w:w w:val="102"/>
          <w:sz w:val="13"/>
        </w:rPr>
        <w:t>0</w:t>
      </w:r>
    </w:p>
    <w:p>
      <w:pPr>
        <w:spacing w:before="107"/>
        <w:ind w:left="3726" w:right="0" w:firstLine="0"/>
        <w:jc w:val="left"/>
        <w:rPr>
          <w:rFonts w:ascii="Century Gothic"/>
          <w:b/>
          <w:sz w:val="13"/>
        </w:rPr>
      </w:pPr>
      <w:r>
        <w:rPr/>
        <w:br w:type="column"/>
      </w:r>
      <w:r>
        <w:rPr>
          <w:rFonts w:ascii="Century Gothic"/>
          <w:b/>
          <w:color w:val="4D4D4D"/>
          <w:sz w:val="13"/>
        </w:rPr>
        <w:t>Horn Rapids Rd</w:t>
      </w:r>
    </w:p>
    <w:p>
      <w:pPr>
        <w:pStyle w:val="BodyText"/>
        <w:rPr>
          <w:rFonts w:ascii="Century Gothic"/>
          <w:b/>
          <w:sz w:val="16"/>
        </w:rPr>
      </w:pPr>
    </w:p>
    <w:p>
      <w:pPr>
        <w:pStyle w:val="BodyText"/>
        <w:rPr>
          <w:rFonts w:ascii="Century Gothic"/>
          <w:b/>
          <w:sz w:val="16"/>
        </w:rPr>
      </w:pPr>
    </w:p>
    <w:p>
      <w:pPr>
        <w:pStyle w:val="BodyText"/>
        <w:spacing w:before="4"/>
        <w:rPr>
          <w:rFonts w:ascii="Century Gothic"/>
          <w:b/>
          <w:sz w:val="14"/>
        </w:rPr>
      </w:pPr>
    </w:p>
    <w:p>
      <w:pPr>
        <w:spacing w:before="1"/>
        <w:ind w:left="3896" w:right="6662" w:firstLine="0"/>
        <w:jc w:val="center"/>
        <w:rPr>
          <w:rFonts w:ascii="Century Gothic"/>
          <w:b/>
          <w:sz w:val="13"/>
        </w:rPr>
      </w:pPr>
      <w:r>
        <w:rPr/>
        <w:pict>
          <v:shape style="position:absolute;margin-left:232.788712pt;margin-top:-6.663767pt;width:10.7pt;height:51.35pt;mso-position-horizontal-relative:page;mso-position-vertical-relative:paragraph;z-index:251760640"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position w:val="1"/>
                      <w:sz w:val="13"/>
                    </w:rPr>
                    <w:t>Twin Br</w:t>
                  </w:r>
                  <w:r>
                    <w:rPr>
                      <w:rFonts w:ascii="Century Gothic"/>
                      <w:b/>
                      <w:color w:val="4D4D4D"/>
                      <w:sz w:val="13"/>
                    </w:rPr>
                    <w:t>idges Rd</w:t>
                  </w:r>
                </w:p>
              </w:txbxContent>
            </v:textbox>
            <w10:wrap type="none"/>
          </v:shape>
        </w:pict>
      </w:r>
      <w:r>
        <w:rPr/>
        <w:pict>
          <v:shape style="position:absolute;margin-left:345.243408pt;margin-top:-10.712557pt;width:11.75pt;height:50.45pt;mso-position-horizontal-relative:page;mso-position-vertical-relative:paragraph;z-index:251763712"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Kin</w:t>
                  </w:r>
                  <w:r>
                    <w:rPr>
                      <w:rFonts w:ascii="Century Gothic"/>
                      <w:b/>
                      <w:color w:val="4D4D4D"/>
                      <w:position w:val="1"/>
                      <w:sz w:val="13"/>
                    </w:rPr>
                    <w:t>gsga</w:t>
                  </w:r>
                  <w:r>
                    <w:rPr>
                      <w:rFonts w:ascii="Century Gothic"/>
                      <w:b/>
                      <w:color w:val="4D4D4D"/>
                      <w:position w:val="2"/>
                      <w:sz w:val="13"/>
                    </w:rPr>
                    <w:t>te W</w:t>
                  </w:r>
                  <w:r>
                    <w:rPr>
                      <w:rFonts w:ascii="Century Gothic"/>
                      <w:b/>
                      <w:color w:val="4D4D4D"/>
                      <w:position w:val="3"/>
                      <w:sz w:val="13"/>
                    </w:rPr>
                    <w:t>ay</w:t>
                  </w:r>
                </w:p>
              </w:txbxContent>
            </v:textbox>
            <w10:wrap type="none"/>
          </v:shape>
        </w:pict>
      </w:r>
      <w:r>
        <w:rPr>
          <w:rFonts w:ascii="Century Gothic"/>
          <w:b/>
          <w:color w:val="4D4D4D"/>
          <w:sz w:val="13"/>
        </w:rPr>
        <w:t>Battelle B</w:t>
      </w:r>
      <w:r>
        <w:rPr>
          <w:rFonts w:ascii="Century Gothic"/>
          <w:b/>
          <w:color w:val="4D4D4D"/>
          <w:position w:val="1"/>
          <w:sz w:val="13"/>
        </w:rPr>
        <w:t>lvd</w:t>
      </w:r>
    </w:p>
    <w:p>
      <w:pPr>
        <w:spacing w:after="0"/>
        <w:jc w:val="center"/>
        <w:rPr>
          <w:rFonts w:ascii="Century Gothic"/>
          <w:sz w:val="13"/>
        </w:rPr>
        <w:sectPr>
          <w:type w:val="continuous"/>
          <w:pgSz w:w="15840" w:h="24480"/>
          <w:pgMar w:top="1480" w:bottom="1320" w:left="0" w:right="0"/>
          <w:cols w:num="2" w:equalWidth="0">
            <w:col w:w="4168" w:space="40"/>
            <w:col w:w="11632"/>
          </w:cols>
        </w:sect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1"/>
        <w:rPr>
          <w:rFonts w:ascii="Century Gothic"/>
          <w:b/>
          <w:sz w:val="18"/>
        </w:rPr>
      </w:pPr>
    </w:p>
    <w:p>
      <w:pPr>
        <w:spacing w:before="0"/>
        <w:ind w:left="7746" w:right="3862" w:firstLine="0"/>
        <w:jc w:val="center"/>
        <w:rPr>
          <w:rFonts w:ascii="Century Gothic"/>
          <w:b/>
          <w:sz w:val="13"/>
        </w:rPr>
      </w:pPr>
      <w:r>
        <w:rPr/>
        <w:pict>
          <v:shape style="position:absolute;margin-left:448.586078pt;margin-top:39.865178pt;width:33.25pt;height:6.65pt;mso-position-horizontal-relative:page;mso-position-vertical-relative:paragraph;z-index:251773952;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66.730322pt;margin-top:67.483144pt;width:80.6pt;height:6.65pt;mso-position-horizontal-relative:page;mso-position-vertical-relative:paragraph;z-index:251776000;rotation:272" type="#_x0000_t136" fillcolor="#4d4d4d" stroked="f">
            <o:extrusion v:ext="view" autorotationcenter="t"/>
            <v:textpath style="font-family:&quot;Century Gothic&quot;;font-size:6pt;v-text-kern:t;mso-text-shadow:auto;font-weight:bold" string="George Washington Way"/>
            <w10:wrap type="none"/>
          </v:shape>
        </w:pict>
      </w:r>
      <w:r>
        <w:rPr/>
        <w:pict>
          <v:shape style="position:absolute;margin-left:412.456348pt;margin-top:75.466512pt;width:40.75pt;height:6.65pt;mso-position-horizontal-relative:page;mso-position-vertical-relative:paragraph;z-index:251777024;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393.600909pt;margin-top:62.968308pt;width:40.25pt;height:6.65pt;mso-position-horizontal-relative:page;mso-position-vertical-relative:paragraph;z-index:251779072;rotation:306" type="#_x0000_t136" fillcolor="#4d4d4d" stroked="f">
            <o:extrusion v:ext="view" autorotationcenter="t"/>
            <v:textpath style="font-family:&quot;Century Gothic&quot;;font-size:6pt;v-text-kern:t;mso-text-shadow:auto;font-weight:bold" string="Logston Blvd"/>
            <w10:wrap type="none"/>
          </v:shape>
        </w:pict>
      </w:r>
      <w:r>
        <w:rPr>
          <w:rFonts w:ascii="Century Gothic"/>
          <w:b/>
          <w:color w:val="4D4D4D"/>
          <w:sz w:val="13"/>
        </w:rPr>
        <w:t>Univer</w:t>
      </w:r>
      <w:r>
        <w:rPr>
          <w:rFonts w:ascii="Century Gothic"/>
          <w:b/>
          <w:color w:val="4D4D4D"/>
          <w:position w:val="1"/>
          <w:sz w:val="13"/>
        </w:rPr>
        <w:t>sity 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0"/>
        <w:rPr>
          <w:rFonts w:ascii="Century Gothic"/>
          <w:b/>
          <w:sz w:val="21"/>
        </w:rPr>
      </w:pPr>
    </w:p>
    <w:p>
      <w:pPr>
        <w:spacing w:after="0"/>
        <w:rPr>
          <w:rFonts w:ascii="Century Gothic"/>
          <w:sz w:val="21"/>
        </w:rPr>
        <w:sectPr>
          <w:type w:val="continuous"/>
          <w:pgSz w:w="15840" w:h="24480"/>
          <w:pgMar w:top="1480" w:bottom="1320" w:left="0" w:right="0"/>
        </w:sectPr>
      </w:pPr>
    </w:p>
    <w:p>
      <w:pPr>
        <w:pStyle w:val="BodyText"/>
        <w:spacing w:before="11"/>
        <w:rPr>
          <w:rFonts w:ascii="Century Gothic"/>
          <w:b/>
          <w:sz w:val="21"/>
        </w:rPr>
      </w:pPr>
    </w:p>
    <w:p>
      <w:pPr>
        <w:spacing w:before="0"/>
        <w:ind w:left="2243" w:right="0" w:firstLine="0"/>
        <w:jc w:val="left"/>
        <w:rPr>
          <w:rFonts w:ascii="Arial"/>
          <w:sz w:val="24"/>
        </w:rPr>
      </w:pPr>
      <w:r>
        <w:rPr/>
        <w:pict>
          <v:shape style="position:absolute;margin-left:328.539368pt;margin-top:-45.360104pt;width:10.25pt;height:30.8pt;mso-position-horizontal-relative:page;mso-position-vertical-relative:paragraph;z-index:251762688"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Jones Rd</w:t>
                  </w:r>
                </w:p>
              </w:txbxContent>
            </v:textbox>
            <w10:wrap type="none"/>
          </v:shape>
        </w:pict>
      </w:r>
      <w:r>
        <w:rPr/>
        <w:pict>
          <v:shape style="position:absolute;margin-left:409.565027pt;margin-top:-94.533388pt;width:31.7pt;height:6.65pt;mso-position-horizontal-relative:page;mso-position-vertical-relative:paragraph;z-index:251778048;rotation:282" type="#_x0000_t136" fillcolor="#4d4d4d" stroked="f">
            <o:extrusion v:ext="view" autorotationcenter="t"/>
            <v:textpath style="font-family:&quot;Century Gothic&quot;;font-size:6pt;v-text-kern:t;mso-text-shadow:auto;font-weight:bold" string="Hagen Rd"/>
            <w10:wrap type="none"/>
          </v:shape>
        </w:pict>
      </w:r>
      <w:r>
        <w:rPr/>
        <w:pict>
          <v:shape style="position:absolute;margin-left:422.251764pt;margin-top:-65.263422pt;width:40.7pt;height:6.65pt;mso-position-horizontal-relative:page;mso-position-vertical-relative:paragraph;z-index:251780096;rotation:312" type="#_x0000_t136" fillcolor="#4d4d4d" stroked="f">
            <o:extrusion v:ext="view" autorotationcenter="t"/>
            <v:textpath style="font-family:&quot;Century Gothic&quot;;font-size:6pt;v-text-kern:t;mso-text-shadow:auto;font-weight:bold" string="By-pass Hwy"/>
            <w10:wrap type="none"/>
          </v:shape>
        </w:pict>
      </w:r>
      <w:r>
        <w:rPr>
          <w:rFonts w:ascii="Arial"/>
          <w:emboss/>
          <w:color w:val="757576"/>
          <w:sz w:val="24"/>
        </w:rPr>
        <w:t>W</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s</w:t>
      </w:r>
      <w:r>
        <w:rPr>
          <w:rFonts w:ascii="Arial"/>
          <w:shadow w:val="0"/>
          <w:color w:val="757576"/>
          <w:sz w:val="24"/>
        </w:rPr>
        <w:t> </w:t>
      </w:r>
      <w:r>
        <w:rPr>
          <w:rFonts w:ascii="Arial"/>
          <w:emboss/>
          <w:color w:val="757576"/>
          <w:sz w:val="24"/>
        </w:rPr>
        <w:t>t</w:t>
      </w:r>
      <w:r>
        <w:rPr>
          <w:rFonts w:ascii="Arial"/>
          <w:shadow w:val="0"/>
          <w:color w:val="757576"/>
          <w:sz w:val="24"/>
        </w:rPr>
        <w:t> </w:t>
      </w:r>
      <w:r>
        <w:rPr>
          <w:rFonts w:ascii="Arial"/>
          <w:emboss/>
          <w:color w:val="757576"/>
          <w:sz w:val="24"/>
        </w:rPr>
        <w:t>R</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h</w:t>
      </w:r>
      <w:r>
        <w:rPr>
          <w:rFonts w:ascii="Arial"/>
          <w:shadow w:val="0"/>
          <w:color w:val="757576"/>
          <w:sz w:val="24"/>
        </w:rPr>
        <w:t> </w:t>
      </w:r>
      <w:r>
        <w:rPr>
          <w:rFonts w:ascii="Arial"/>
          <w:emboss/>
          <w:color w:val="757576"/>
          <w:sz w:val="24"/>
        </w:rPr>
        <w:t>l</w:t>
      </w:r>
      <w:r>
        <w:rPr>
          <w:rFonts w:ascii="Arial"/>
          <w:shadow w:val="0"/>
          <w:color w:val="757576"/>
          <w:sz w:val="24"/>
        </w:rPr>
        <w:t> </w:t>
      </w:r>
      <w:r>
        <w:rPr>
          <w:rFonts w:ascii="Arial"/>
          <w:emboss/>
          <w:color w:val="757576"/>
          <w:sz w:val="24"/>
        </w:rPr>
        <w:t>a</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d</w:t>
      </w:r>
    </w:p>
    <w:p>
      <w:pPr>
        <w:spacing w:before="106"/>
        <w:ind w:left="2243" w:right="0" w:firstLine="0"/>
        <w:jc w:val="left"/>
        <w:rPr>
          <w:rFonts w:ascii="Century Gothic"/>
          <w:b/>
          <w:sz w:val="13"/>
        </w:rPr>
      </w:pPr>
      <w:r>
        <w:rPr/>
        <w:br w:type="column"/>
      </w:r>
      <w:r>
        <w:rPr>
          <w:rFonts w:ascii="Century Gothic"/>
          <w:b/>
          <w:color w:val="4D4D4D"/>
          <w:sz w:val="13"/>
        </w:rPr>
        <w:t>Van Giesen St</w:t>
      </w:r>
    </w:p>
    <w:p>
      <w:pPr>
        <w:spacing w:after="0"/>
        <w:jc w:val="left"/>
        <w:rPr>
          <w:rFonts w:ascii="Century Gothic"/>
          <w:sz w:val="13"/>
        </w:rPr>
        <w:sectPr>
          <w:type w:val="continuous"/>
          <w:pgSz w:w="15840" w:h="24480"/>
          <w:pgMar w:top="1480" w:bottom="1320" w:left="0" w:right="0"/>
          <w:cols w:num="2" w:equalWidth="0">
            <w:col w:w="4537" w:space="973"/>
            <w:col w:w="10330"/>
          </w:cols>
        </w:sectPr>
      </w:pPr>
    </w:p>
    <w:p>
      <w:pPr>
        <w:pStyle w:val="BodyText"/>
        <w:spacing w:before="10"/>
        <w:rPr>
          <w:rFonts w:ascii="Century Gothic"/>
          <w:b/>
          <w:sz w:val="15"/>
        </w:rPr>
      </w:pPr>
    </w:p>
    <w:p>
      <w:pPr>
        <w:spacing w:before="103"/>
        <w:ind w:left="3842" w:right="1153" w:firstLine="0"/>
        <w:jc w:val="center"/>
        <w:rPr>
          <w:rFonts w:ascii="Century Gothic"/>
          <w:b/>
          <w:sz w:val="13"/>
        </w:rPr>
      </w:pPr>
      <w:r>
        <w:rPr/>
        <w:pict>
          <v:shape style="position:absolute;margin-left:478.482635pt;margin-top:-29.872261pt;width:37.9pt;height:6.65pt;mso-position-horizontal-relative:page;mso-position-vertical-relative:paragraph;z-index:251758592;rotation:69" type="#_x0000_t136" fillcolor="#4d4d4d" stroked="f">
            <o:extrusion v:ext="view" autorotationcenter="t"/>
            <v:textpath style="font-family:&quot;Century Gothic&quot;;font-size:6pt;v-text-kern:t;mso-text-shadow:auto;font-weight:bold" string="Jadwin Ave"/>
            <w10:wrap type="none"/>
          </v:shape>
        </w:pict>
      </w:r>
      <w:r>
        <w:rPr/>
        <w:pict>
          <v:shape style="position:absolute;margin-left:414.476715pt;margin-top:-1.411538pt;width:10.65pt;height:36.85pt;mso-position-horizontal-relative:page;mso-position-vertical-relative:paragraph;z-index:251765760"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sz w:val="13"/>
                    </w:rPr>
                    <w:t>Wrigh</w:t>
                  </w:r>
                  <w:r>
                    <w:rPr>
                      <w:rFonts w:ascii="Century Gothic"/>
                      <w:b/>
                      <w:color w:val="4D4D4D"/>
                      <w:position w:val="1"/>
                      <w:sz w:val="13"/>
                    </w:rPr>
                    <w:t>t Ave</w:t>
                  </w:r>
                </w:p>
              </w:txbxContent>
            </v:textbox>
            <w10:wrap type="none"/>
          </v:shape>
        </w:pict>
      </w:r>
      <w:r>
        <w:rPr/>
        <w:pict>
          <v:shape style="position:absolute;margin-left:461.041168pt;margin-top:-45.53001pt;width:10.6pt;height:35.25pt;mso-position-horizontal-relative:page;mso-position-vertical-relative:paragraph;z-index:251767808"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Steven</w:t>
                  </w:r>
                  <w:r>
                    <w:rPr>
                      <w:rFonts w:ascii="Century Gothic"/>
                      <w:b/>
                      <w:color w:val="4D4D4D"/>
                      <w:position w:val="1"/>
                      <w:sz w:val="13"/>
                    </w:rPr>
                    <w:t>s Dr</w:t>
                  </w:r>
                </w:p>
              </w:txbxContent>
            </v:textbox>
            <w10:wrap type="none"/>
          </v:shape>
        </w:pict>
      </w:r>
      <w:r>
        <w:rPr>
          <w:rFonts w:ascii="Century Gothic"/>
          <w:b/>
          <w:color w:val="4D4D4D"/>
          <w:sz w:val="13"/>
        </w:rPr>
        <w:t>William</w:t>
      </w:r>
      <w:r>
        <w:rPr>
          <w:rFonts w:ascii="Century Gothic"/>
          <w:b/>
          <w:color w:val="4D4D4D"/>
          <w:position w:val="1"/>
          <w:sz w:val="13"/>
        </w:rPr>
        <w:t>s Blvd</w:t>
      </w:r>
    </w:p>
    <w:p>
      <w:pPr>
        <w:pStyle w:val="BodyText"/>
        <w:rPr>
          <w:rFonts w:ascii="Century Gothic"/>
          <w:b/>
          <w:sz w:val="20"/>
        </w:rPr>
      </w:pPr>
    </w:p>
    <w:p>
      <w:pPr>
        <w:pStyle w:val="BodyText"/>
        <w:spacing w:before="2"/>
        <w:rPr>
          <w:rFonts w:ascii="Century Gothic"/>
          <w:b/>
          <w:sz w:val="15"/>
        </w:rPr>
      </w:pPr>
    </w:p>
    <w:p>
      <w:pPr>
        <w:spacing w:after="0"/>
        <w:rPr>
          <w:rFonts w:ascii="Century Gothic"/>
          <w:sz w:val="15"/>
        </w:rPr>
        <w:sectPr>
          <w:type w:val="continuous"/>
          <w:pgSz w:w="15840" w:h="24480"/>
          <w:pgMar w:top="1480" w:bottom="1320" w:left="0" w:right="0"/>
        </w:sectPr>
      </w:pPr>
    </w:p>
    <w:p>
      <w:pPr>
        <w:spacing w:before="103"/>
        <w:ind w:left="0" w:right="0" w:firstLine="0"/>
        <w:jc w:val="right"/>
        <w:rPr>
          <w:rFonts w:ascii="Century Gothic"/>
          <w:b/>
          <w:sz w:val="13"/>
        </w:rPr>
      </w:pPr>
      <w:r>
        <w:rPr/>
        <w:pict>
          <v:shape style="position:absolute;margin-left:382.898438pt;margin-top:-11.930779pt;width:10.65pt;height:42.8pt;mso-position-horizontal-relative:page;mso-position-vertical-relative:paragraph;z-index:251764736"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sz w:val="13"/>
                    </w:rPr>
                    <w:t>By-pas</w:t>
                  </w:r>
                  <w:r>
                    <w:rPr>
                      <w:rFonts w:ascii="Century Gothic"/>
                      <w:b/>
                      <w:color w:val="4D4D4D"/>
                      <w:position w:val="1"/>
                      <w:sz w:val="13"/>
                    </w:rPr>
                    <w:t>s Hwy</w:t>
                  </w:r>
                </w:p>
              </w:txbxContent>
            </v:textbox>
            <w10:wrap type="none"/>
          </v:shape>
        </w:pict>
      </w:r>
      <w:r>
        <w:rPr>
          <w:rFonts w:ascii="Century Gothic"/>
          <w:b/>
          <w:color w:val="4D4D4D"/>
          <w:sz w:val="13"/>
        </w:rPr>
        <w:t>Swift </w:t>
      </w:r>
      <w:r>
        <w:rPr>
          <w:rFonts w:ascii="Century Gothic"/>
          <w:b/>
          <w:color w:val="4D4D4D"/>
          <w:position w:val="1"/>
          <w:sz w:val="13"/>
        </w:rPr>
        <w:t>Blvd</w:t>
      </w:r>
    </w:p>
    <w:p>
      <w:pPr>
        <w:pStyle w:val="BodyText"/>
        <w:rPr>
          <w:rFonts w:ascii="Century Gothic"/>
          <w:b/>
          <w:sz w:val="16"/>
        </w:rPr>
      </w:pPr>
      <w:r>
        <w:rPr/>
        <w:br w:type="column"/>
      </w:r>
      <w:r>
        <w:rPr>
          <w:rFonts w:ascii="Century Gothic"/>
          <w:b/>
          <w:sz w:val="16"/>
        </w:rPr>
      </w:r>
    </w:p>
    <w:p>
      <w:pPr>
        <w:pStyle w:val="BodyText"/>
        <w:rPr>
          <w:rFonts w:ascii="Century Gothic"/>
          <w:b/>
          <w:sz w:val="16"/>
        </w:rPr>
      </w:pPr>
    </w:p>
    <w:p>
      <w:pPr>
        <w:pStyle w:val="BodyText"/>
        <w:spacing w:before="11"/>
        <w:rPr>
          <w:rFonts w:ascii="Century Gothic"/>
          <w:b/>
          <w:sz w:val="14"/>
        </w:rPr>
      </w:pPr>
    </w:p>
    <w:p>
      <w:pPr>
        <w:spacing w:before="1"/>
        <w:ind w:left="568" w:right="0" w:firstLine="0"/>
        <w:jc w:val="left"/>
        <w:rPr>
          <w:rFonts w:ascii="Century Gothic"/>
          <w:b/>
          <w:sz w:val="13"/>
        </w:rPr>
      </w:pPr>
      <w:r>
        <w:rPr/>
        <w:pict>
          <v:shape style="position:absolute;margin-left:442.228058pt;margin-top:-36.178394pt;width:10.55pt;height:32.2pt;mso-position-horizontal-relative:page;mso-position-vertical-relative:paragraph;z-index:251766784" type="#_x0000_t202" filled="false" stroked="false">
            <v:textbox inset="0,0,0,0" style="layout-flow:vertical;mso-layout-flow-alt:bottom-to-top">
              <w:txbxContent>
                <w:p>
                  <w:pPr>
                    <w:spacing w:before="20"/>
                    <w:ind w:left="20" w:right="0" w:firstLine="0"/>
                    <w:jc w:val="left"/>
                    <w:rPr>
                      <w:rFonts w:ascii="Century Gothic"/>
                      <w:b/>
                      <w:sz w:val="13"/>
                    </w:rPr>
                  </w:pPr>
                  <w:r>
                    <w:rPr>
                      <w:rFonts w:ascii="Century Gothic"/>
                      <w:b/>
                      <w:color w:val="4D4D4D"/>
                      <w:sz w:val="13"/>
                    </w:rPr>
                    <w:t>Thayer </w:t>
                  </w:r>
                  <w:r>
                    <w:rPr>
                      <w:rFonts w:ascii="Century Gothic"/>
                      <w:b/>
                      <w:color w:val="4D4D4D"/>
                      <w:position w:val="1"/>
                      <w:sz w:val="13"/>
                    </w:rPr>
                    <w:t>Dr</w:t>
                  </w:r>
                </w:p>
              </w:txbxContent>
            </v:textbox>
            <w10:wrap type="none"/>
          </v:shape>
        </w:pict>
      </w:r>
      <w:r>
        <w:rPr>
          <w:rFonts w:ascii="Century Gothic"/>
          <w:b/>
          <w:color w:val="4D4D4D"/>
          <w:sz w:val="13"/>
        </w:rPr>
        <w:t>Lee Blvd</w:t>
      </w:r>
    </w:p>
    <w:p>
      <w:pPr>
        <w:pStyle w:val="BodyText"/>
        <w:rPr>
          <w:rFonts w:ascii="Century Gothic"/>
          <w:b/>
          <w:sz w:val="16"/>
        </w:rPr>
      </w:pPr>
      <w:r>
        <w:rPr/>
        <w:br w:type="column"/>
      </w:r>
      <w:r>
        <w:rPr>
          <w:rFonts w:ascii="Century Gothic"/>
          <w:b/>
          <w:sz w:val="16"/>
        </w:rPr>
      </w:r>
    </w:p>
    <w:p>
      <w:pPr>
        <w:pStyle w:val="BodyText"/>
        <w:spacing w:before="12"/>
        <w:rPr>
          <w:rFonts w:ascii="Century Gothic"/>
          <w:b/>
          <w:sz w:val="14"/>
        </w:rPr>
      </w:pPr>
    </w:p>
    <w:p>
      <w:pPr>
        <w:spacing w:before="0"/>
        <w:ind w:left="41" w:right="0" w:firstLine="0"/>
        <w:jc w:val="left"/>
        <w:rPr>
          <w:rFonts w:ascii="Century Gothic"/>
          <w:b/>
          <w:sz w:val="13"/>
        </w:rPr>
      </w:pPr>
      <w:r>
        <w:rPr>
          <w:rFonts w:ascii="Century Gothic"/>
          <w:b/>
          <w:color w:val="4D4D4D"/>
          <w:sz w:val="13"/>
        </w:rPr>
        <w:t>Knigh</w:t>
      </w:r>
      <w:r>
        <w:rPr>
          <w:rFonts w:ascii="Century Gothic"/>
          <w:b/>
          <w:color w:val="4D4D4D"/>
          <w:position w:val="1"/>
          <w:sz w:val="13"/>
        </w:rPr>
        <w:t>t St</w:t>
      </w:r>
    </w:p>
    <w:p>
      <w:pPr>
        <w:spacing w:after="0"/>
        <w:jc w:val="left"/>
        <w:rPr>
          <w:rFonts w:ascii="Century Gothic"/>
          <w:sz w:val="13"/>
        </w:rPr>
        <w:sectPr>
          <w:type w:val="continuous"/>
          <w:pgSz w:w="15840" w:h="24480"/>
          <w:pgMar w:top="1480" w:bottom="1320" w:left="0" w:right="0"/>
          <w:cols w:num="3" w:equalWidth="0">
            <w:col w:w="8499" w:space="40"/>
            <w:col w:w="1107" w:space="39"/>
            <w:col w:w="6155"/>
          </w:cols>
        </w:sectPr>
      </w:pPr>
    </w:p>
    <w:p>
      <w:pPr>
        <w:pStyle w:val="BodyText"/>
        <w:spacing w:before="10"/>
        <w:rPr>
          <w:rFonts w:ascii="Century Gothic"/>
          <w:b/>
          <w:sz w:val="27"/>
        </w:rPr>
      </w:pPr>
    </w:p>
    <w:p>
      <w:pPr>
        <w:spacing w:before="122"/>
        <w:ind w:left="0" w:right="2845" w:firstLine="0"/>
        <w:jc w:val="right"/>
        <w:rPr>
          <w:rFonts w:ascii="Arial" w:hAnsi="Arial"/>
          <w:b/>
          <w:sz w:val="11"/>
        </w:rPr>
      </w:pPr>
      <w:r>
        <w:rPr/>
        <w:pict>
          <v:shape style="position:absolute;margin-left:462.055511pt;margin-top:-8.715364pt;width:10.75pt;height:44.5pt;mso-position-horizontal-relative:page;mso-position-vertical-relative:paragraph;z-index:251768832"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Wellsi</w:t>
                  </w:r>
                  <w:r>
                    <w:rPr>
                      <w:rFonts w:ascii="Century Gothic"/>
                      <w:b/>
                      <w:color w:val="4D4D4D"/>
                      <w:position w:val="1"/>
                      <w:sz w:val="13"/>
                    </w:rPr>
                    <w:t>an Way</w:t>
                  </w:r>
                </w:p>
              </w:txbxContent>
            </v:textbox>
            <w10:wrap type="none"/>
          </v:shape>
        </w:pict>
      </w:r>
      <w:r>
        <w:rPr/>
        <w:pict>
          <v:shape style="position:absolute;margin-left:479.536377pt;margin-top:3.121575pt;width:10.7pt;height:39.7pt;mso-position-horizontal-relative:page;mso-position-vertical-relative:paragraph;z-index:251769856"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sz w:val="13"/>
                    </w:rPr>
                    <w:t>Goeth</w:t>
                  </w:r>
                  <w:r>
                    <w:rPr>
                      <w:rFonts w:ascii="Century Gothic"/>
                      <w:b/>
                      <w:color w:val="4D4D4D"/>
                      <w:position w:val="1"/>
                      <w:sz w:val="13"/>
                    </w:rPr>
                    <w:t>als Dr</w:t>
                  </w:r>
                </w:p>
              </w:txbxContent>
            </v:textbox>
            <w10:wrap type="none"/>
          </v:shape>
        </w:pict>
      </w:r>
      <w:r>
        <w:rPr/>
        <w:pict>
          <v:shape style="position:absolute;margin-left:388.879413pt;margin-top:12.526297pt;width:36.5pt;height:6.65pt;mso-position-horizontal-relative:page;mso-position-vertical-relative:paragraph;z-index:251781120;rotation:312" type="#_x0000_t136" fillcolor="#4d4d4d" stroked="f">
            <o:extrusion v:ext="view" autorotationcenter="t"/>
            <v:textpath style="font-family:&quot;Century Gothic&quot;;font-size:6pt;v-text-kern:t;mso-text-shadow:auto;font-weight:bold" string="Duportail St"/>
            <w10:wrap type="none"/>
          </v:shape>
        </w:pict>
      </w:r>
      <w:r>
        <w:rPr/>
        <w:pict>
          <v:shape style="position:absolute;margin-left:492.68277pt;margin-top:25.337523pt;width:40.25pt;height:6.65pt;mso-position-horizontal-relative:page;mso-position-vertical-relative:paragraph;z-index:251783168;rotation:354" type="#_x0000_t136" fillcolor="#4d4d4d" stroked="f">
            <o:extrusion v:ext="view" autorotationcenter="t"/>
            <v:textpath style="font-family:&quot;Century Gothic&quot;;font-size:6pt;v-text-kern:t;mso-text-shadow:auto;font-weight:bold" string="Comstock St"/>
            <w10:wrap type="none"/>
          </v:shape>
        </w:pict>
      </w:r>
      <w:r>
        <w:rPr>
          <w:rFonts w:ascii="Arial" w:hAnsi="Arial"/>
          <w:color w:val="FF0000"/>
          <w:spacing w:val="-284"/>
          <w:w w:val="127"/>
          <w:position w:val="-8"/>
          <w:sz w:val="40"/>
        </w:rPr>
        <w:t>§</w:t>
      </w:r>
      <w:r>
        <w:rPr>
          <w:rFonts w:ascii="Arial" w:hAnsi="Arial"/>
          <w:color w:val="0000FF"/>
          <w:spacing w:val="-284"/>
          <w:w w:val="212"/>
          <w:position w:val="-9"/>
          <w:sz w:val="40"/>
        </w:rPr>
        <w:t>¨</w:t>
      </w:r>
      <w:r>
        <w:rPr>
          <w:rFonts w:ascii="Arial" w:hAnsi="Arial"/>
          <w:spacing w:val="-236"/>
          <w:w w:val="27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pStyle w:val="BodyText"/>
        <w:spacing w:before="5"/>
        <w:rPr>
          <w:rFonts w:ascii="Arial"/>
          <w:b/>
          <w:sz w:val="26"/>
        </w:rPr>
      </w:pPr>
    </w:p>
    <w:p>
      <w:pPr>
        <w:spacing w:before="101"/>
        <w:ind w:left="8128" w:right="3862" w:firstLine="0"/>
        <w:jc w:val="center"/>
        <w:rPr>
          <w:rFonts w:ascii="Century Gothic"/>
          <w:b/>
          <w:sz w:val="13"/>
        </w:rPr>
      </w:pPr>
      <w:r>
        <w:rPr/>
        <w:pict>
          <v:shape style="position:absolute;margin-left:319.687775pt;margin-top:21.307932pt;width:39.050pt;height:6.65pt;mso-position-horizontal-relative:page;mso-position-vertical-relative:paragraph;z-index:251751424;rotation:13" type="#_x0000_t136" fillcolor="#4d4d4d" stroked="f">
            <o:extrusion v:ext="view" autorotationcenter="t"/>
            <v:textpath style="font-family:&quot;Century Gothic&quot;;font-size:6pt;v-text-kern:t;mso-text-shadow:auto;font-weight:bold" string="Kennedy Rd"/>
            <w10:wrap type="none"/>
          </v:shape>
        </w:pict>
      </w:r>
      <w:r>
        <w:rPr/>
        <w:pict>
          <v:shape style="position:absolute;margin-left:388.109027pt;margin-top:42.976699pt;width:48.75pt;height:6.65pt;mso-position-horizontal-relative:page;mso-position-vertical-relative:paragraph;z-index:251757568;rotation:64" type="#_x0000_t136" fillcolor="#4d4d4d" stroked="f">
            <o:extrusion v:ext="view" autorotationcenter="t"/>
            <v:textpath style="font-family:&quot;Century Gothic&quot;;font-size:6pt;v-text-kern:t;mso-text-shadow:auto;font-weight:bold" string="Queensgate Dr"/>
            <w10:wrap type="none"/>
          </v:shape>
        </w:pict>
      </w:r>
      <w:r>
        <w:rPr/>
        <w:pict>
          <v:shape style="position:absolute;margin-left:340.231781pt;margin-top:35.53228pt;width:36.450pt;height:6.65pt;mso-position-horizontal-relative:page;mso-position-vertical-relative:paragraph;z-index:251782144;rotation:334" type="#_x0000_t136" fillcolor="#4d4d4d" stroked="f">
            <o:extrusion v:ext="view" autorotationcenter="t"/>
            <v:textpath style="font-family:&quot;Century Gothic&quot;;font-size:6pt;v-text-kern:t;mso-text-shadow:auto;font-weight:bold" string="Duportail St"/>
            <w10:wrap type="none"/>
          </v:shape>
        </w:pict>
      </w:r>
      <w:r>
        <w:rPr>
          <w:rFonts w:ascii="Century Gothic"/>
          <w:b/>
          <w:color w:val="4D4D4D"/>
          <w:sz w:val="13"/>
        </w:rPr>
        <w:t>Aaron </w:t>
      </w:r>
      <w:r>
        <w:rPr>
          <w:rFonts w:ascii="Century Gothic"/>
          <w:b/>
          <w:color w:val="4D4D4D"/>
          <w:position w:val="1"/>
          <w:sz w:val="13"/>
        </w:rPr>
        <w:t>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9"/>
        <w:rPr>
          <w:rFonts w:ascii="Century Gothic"/>
          <w:b/>
          <w:sz w:val="25"/>
        </w:rPr>
      </w:pPr>
    </w:p>
    <w:p>
      <w:pPr>
        <w:spacing w:after="0"/>
        <w:rPr>
          <w:rFonts w:ascii="Century Gothic"/>
          <w:sz w:val="25"/>
        </w:rPr>
        <w:sectPr>
          <w:type w:val="continuous"/>
          <w:pgSz w:w="15840" w:h="24480"/>
          <w:pgMar w:top="1480" w:bottom="1320" w:left="0" w:right="0"/>
        </w:sectPr>
      </w:pPr>
    </w:p>
    <w:p>
      <w:pPr>
        <w:spacing w:line="458" w:lineRule="exact" w:before="258"/>
        <w:ind w:left="0" w:right="38" w:firstLine="0"/>
        <w:jc w:val="right"/>
        <w:rPr>
          <w:rFonts w:ascii="Arial" w:hAnsi="Arial"/>
          <w:b/>
          <w:sz w:val="11"/>
        </w:rPr>
      </w:pPr>
      <w:r>
        <w:rPr>
          <w:rFonts w:ascii="Arial" w:hAnsi="Arial"/>
          <w:color w:val="FF0000"/>
          <w:spacing w:val="-284"/>
          <w:w w:val="127"/>
          <w:position w:val="-8"/>
          <w:sz w:val="40"/>
        </w:rPr>
        <w:t>§</w:t>
      </w:r>
      <w:r>
        <w:rPr>
          <w:rFonts w:ascii="Arial" w:hAnsi="Arial"/>
          <w:color w:val="0000FF"/>
          <w:spacing w:val="-284"/>
          <w:w w:val="212"/>
          <w:position w:val="-9"/>
          <w:sz w:val="40"/>
        </w:rPr>
        <w:t>¨</w:t>
      </w:r>
      <w:r>
        <w:rPr>
          <w:rFonts w:ascii="Arial" w:hAnsi="Arial"/>
          <w:spacing w:val="-242"/>
          <w:w w:val="27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spacing w:before="59"/>
        <w:ind w:left="5616" w:right="3783" w:firstLine="0"/>
        <w:jc w:val="center"/>
        <w:rPr>
          <w:rFonts w:ascii="Arial"/>
          <w:b/>
          <w:sz w:val="13"/>
        </w:rPr>
      </w:pPr>
      <w:r>
        <w:rPr/>
        <w:br w:type="column"/>
      </w:r>
      <w:r>
        <w:rPr>
          <w:rFonts w:ascii="Arial Black"/>
          <w:spacing w:val="-271"/>
          <w:w w:val="108"/>
          <w:position w:val="-2"/>
          <w:sz w:val="32"/>
        </w:rPr>
        <w:t>V</w:t>
      </w:r>
      <w:r>
        <w:rPr>
          <w:rFonts w:ascii="Arial Black"/>
          <w:color w:val="FFFFFF"/>
          <w:spacing w:val="-252"/>
          <w:w w:val="101"/>
          <w:position w:val="-2"/>
          <w:sz w:val="32"/>
        </w:rPr>
        <w:t>U</w:t>
      </w:r>
      <w:r>
        <w:rPr>
          <w:rFonts w:ascii="Arial"/>
          <w:b/>
          <w:spacing w:val="-2"/>
          <w:w w:val="102"/>
          <w:sz w:val="13"/>
        </w:rPr>
        <w:t>2</w:t>
      </w:r>
      <w:r>
        <w:rPr>
          <w:rFonts w:ascii="Arial"/>
          <w:b/>
          <w:spacing w:val="3"/>
          <w:w w:val="102"/>
          <w:sz w:val="13"/>
        </w:rPr>
        <w:t>4</w:t>
      </w:r>
      <w:r>
        <w:rPr>
          <w:rFonts w:ascii="Arial"/>
          <w:b/>
          <w:w w:val="102"/>
          <w:sz w:val="13"/>
        </w:rPr>
        <w:t>0</w:t>
      </w:r>
    </w:p>
    <w:p>
      <w:pPr>
        <w:spacing w:after="0"/>
        <w:jc w:val="center"/>
        <w:rPr>
          <w:rFonts w:ascii="Arial"/>
          <w:sz w:val="13"/>
        </w:rPr>
        <w:sectPr>
          <w:type w:val="continuous"/>
          <w:pgSz w:w="15840" w:h="24480"/>
          <w:pgMar w:top="1480" w:bottom="1320" w:left="0" w:right="0"/>
          <w:cols w:num="2" w:equalWidth="0">
            <w:col w:w="5910" w:space="249"/>
            <w:col w:w="9681"/>
          </w:cols>
        </w:sectPr>
      </w:pPr>
    </w:p>
    <w:p>
      <w:pPr>
        <w:spacing w:before="3"/>
        <w:ind w:left="3842" w:right="2837" w:firstLine="0"/>
        <w:jc w:val="center"/>
        <w:rPr>
          <w:rFonts w:ascii="Century Gothic"/>
          <w:b/>
          <w:sz w:val="13"/>
        </w:rPr>
      </w:pPr>
      <w:r>
        <w:rPr/>
        <w:pict>
          <v:shape style="position:absolute;margin-left:560.044678pt;margin-top:5.086373pt;width:56.3pt;height:6.65pt;mso-position-horizontal-relative:page;mso-position-vertical-relative:paragraph;z-index:251752448;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446.434021pt;margin-top:7.39241pt;width:31.05pt;height:6.65pt;mso-position-horizontal-relative:page;mso-position-vertical-relative:paragraph;z-index:251755520;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438.859766pt;margin-top:16.175684pt;width:22.2pt;height:6.65pt;mso-position-horizontal-relative:page;mso-position-vertical-relative:paragraph;z-index:251756544;rotation:48" type="#_x0000_t136" fillcolor="#4d4d4d" stroked="f">
            <o:extrusion v:ext="view" autorotationcenter="t"/>
            <v:textpath style="font-family:&quot;Century Gothic&quot;;font-size:6pt;v-text-kern:t;mso-text-shadow:auto;font-weight:bold" string="Fuji Wy"/>
            <w10:wrap type="none"/>
          </v:shape>
        </w:pict>
      </w:r>
      <w:r>
        <w:rPr/>
        <w:pict>
          <v:shape style="position:absolute;margin-left:482.537903pt;margin-top:17.081999pt;width:44.65pt;height:6.65pt;mso-position-horizontal-relative:page;mso-position-vertical-relative:paragraph;z-index:251784192;rotation:358" type="#_x0000_t136" fillcolor="#4d4d4d" stroked="f">
            <o:extrusion v:ext="view" autorotationcenter="t"/>
            <v:textpath style="font-family:&quot;Century Gothic&quot;;font-size:6pt;v-text-kern:t;mso-text-shadow:auto;font-weight:bold" string="Englewood Dr"/>
            <w10:wrap type="none"/>
          </v:shape>
        </w:pict>
      </w:r>
      <w:r>
        <w:rPr>
          <w:rFonts w:ascii="Century Gothic"/>
          <w:b/>
          <w:color w:val="4D4D4D"/>
          <w:sz w:val="13"/>
        </w:rPr>
        <w:t>Shockl</w:t>
      </w:r>
      <w:r>
        <w:rPr>
          <w:rFonts w:ascii="Century Gothic"/>
          <w:b/>
          <w:color w:val="4D4D4D"/>
          <w:position w:val="1"/>
          <w:sz w:val="13"/>
        </w:rPr>
        <w:t>ey Rd</w:t>
      </w:r>
    </w:p>
    <w:p>
      <w:pPr>
        <w:pStyle w:val="BodyText"/>
        <w:spacing w:before="10"/>
        <w:rPr>
          <w:rFonts w:ascii="Century Gothic"/>
          <w:b/>
          <w:sz w:val="26"/>
        </w:rPr>
      </w:pPr>
    </w:p>
    <w:p>
      <w:pPr>
        <w:spacing w:before="107"/>
        <w:ind w:left="3842" w:right="2126" w:firstLine="0"/>
        <w:jc w:val="center"/>
        <w:rPr>
          <w:rFonts w:ascii="Century Gothic"/>
          <w:b/>
          <w:sz w:val="13"/>
        </w:rPr>
      </w:pPr>
      <w:r>
        <w:rPr/>
        <w:pict>
          <v:shape style="position:absolute;margin-left:663.933105pt;margin-top:10.59166pt;width:28.1pt;height:6.65pt;mso-position-horizontal-relative:page;mso-position-vertical-relative:paragraph;z-index:251750400;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639.650818pt;margin-top:34.630219pt;width:32.7pt;height:6.65pt;mso-position-horizontal-relative:page;mso-position-vertical-relative:paragraph;z-index:251753472;rotation:25" type="#_x0000_t136" fillcolor="#4d4d4d" stroked="f">
            <o:extrusion v:ext="view" autorotationcenter="t"/>
            <v:textpath style="font-family:&quot;Century Gothic&quot;;font-size:6pt;v-text-kern:t;mso-text-shadow:auto;font-weight:bold" string="Tapteal Dr"/>
            <w10:wrap type="none"/>
          </v:shape>
        </w:pict>
      </w:r>
      <w:r>
        <w:rPr/>
        <w:pict>
          <v:shape style="position:absolute;margin-left:448.654663pt;margin-top:50.236023pt;width:31.25pt;height:6.65pt;mso-position-horizontal-relative:page;mso-position-vertical-relative:paragraph;z-index:251754496;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615.745056pt;margin-top:13.605577pt;width:10.8pt;height:34.050pt;mso-position-horizontal-relative:page;mso-position-vertical-relative:paragraph;z-index:251771904"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Step</w:t>
                  </w:r>
                  <w:r>
                    <w:rPr>
                      <w:rFonts w:ascii="Century Gothic"/>
                      <w:b/>
                      <w:color w:val="4D4D4D"/>
                      <w:position w:val="1"/>
                      <w:sz w:val="13"/>
                    </w:rPr>
                    <w:t>toe St</w:t>
                  </w:r>
                </w:p>
              </w:txbxContent>
            </v:textbox>
            <w10:wrap type="none"/>
          </v:shape>
        </w:pict>
      </w:r>
      <w:r>
        <w:rPr/>
        <w:pict>
          <v:shape style="position:absolute;margin-left:448.014178pt;margin-top:24.915708pt;width:27.75pt;height:6.65pt;mso-position-horizontal-relative:page;mso-position-vertical-relative:paragraph;z-index:251774976;rotation:272" type="#_x0000_t136" fillcolor="#4d4d4d" stroked="f">
            <o:extrusion v:ext="view" autorotationcenter="t"/>
            <v:textpath style="font-family:&quot;Century Gothic&quot;;font-size:6pt;v-text-kern:t;mso-text-shadow:auto;font-weight:bold" string="Gala Wy"/>
            <w10:wrap type="none"/>
          </v:shape>
        </w:pict>
      </w:r>
      <w:r>
        <w:rPr/>
        <w:pict>
          <v:shape style="position:absolute;margin-left:555.806763pt;margin-top:52.121731pt;width:34.1pt;height:6.65pt;mso-position-horizontal-relative:page;mso-position-vertical-relative:paragraph;z-index:251785216;rotation:359" type="#_x0000_t136" fillcolor="#4d4d4d" stroked="f">
            <o:extrusion v:ext="view" autorotationcenter="t"/>
            <v:textpath style="font-family:&quot;Century Gothic&quot;;font-size:6pt;v-text-kern:t;mso-text-shadow:auto;font-weight:bold" string="Gage Blvd"/>
            <w10:wrap type="none"/>
          </v:shape>
        </w:pict>
      </w:r>
      <w:r>
        <w:rPr>
          <w:rFonts w:ascii="Century Gothic"/>
          <w:b/>
          <w:color w:val="4D4D4D"/>
          <w:sz w:val="13"/>
        </w:rPr>
        <w:t>Westcliffe Blvd</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2"/>
        <w:rPr>
          <w:rFonts w:ascii="Century Gothic"/>
          <w:b/>
          <w:sz w:val="18"/>
        </w:rPr>
      </w:pPr>
    </w:p>
    <w:p>
      <w:pPr>
        <w:spacing w:after="0"/>
        <w:rPr>
          <w:rFonts w:ascii="Century Gothic"/>
          <w:sz w:val="18"/>
        </w:rPr>
        <w:sectPr>
          <w:type w:val="continuous"/>
          <w:pgSz w:w="15840" w:h="24480"/>
          <w:pgMar w:top="1480" w:bottom="1320" w:left="0" w:right="0"/>
        </w:sectPr>
      </w:pPr>
    </w:p>
    <w:p>
      <w:pPr>
        <w:spacing w:before="92"/>
        <w:ind w:left="1129" w:right="0" w:firstLine="0"/>
        <w:jc w:val="left"/>
        <w:rPr>
          <w:rFonts w:ascii="Arial"/>
          <w:b/>
          <w:sz w:val="26"/>
        </w:rPr>
      </w:pPr>
      <w:r>
        <w:rPr/>
        <w:pict>
          <v:group style="position:absolute;margin-left:35.03252pt;margin-top:35.445774pt;width:721.7pt;height:1153.1pt;mso-position-horizontal-relative:page;mso-position-vertical-relative:page;z-index:-268289024" coordorigin="701,709" coordsize="14434,23062">
            <v:rect style="position:absolute;left:720;top:2879;width:14401;height:20880" filled="true" fillcolor="#e5e2cf" stroked="false">
              <v:fill type="solid"/>
            </v:rect>
            <v:shape style="position:absolute;left:717;top:3275;width:14412;height:20493" type="#_x0000_t75" stroked="false">
              <v:imagedata r:id="rId60" o:title=""/>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3.04631pt" strokecolor="#818181">
              <v:path arrowok="t"/>
              <v:stroke dashstyle="solid"/>
            </v:shape>
            <v:shape style="position:absolute;left:9568;top:5928;width:194;height:150" type="#_x0000_t75" stroked="false">
              <v:imagedata r:id="rId61"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3.04631pt" strokecolor="#818181">
              <v:path arrowok="t"/>
              <v:stroke dashstyle="solid"/>
            </v:shape>
            <v:shape style="position:absolute;left:13334;top:19254;width:338;height:161" type="#_x0000_t75" stroked="false">
              <v:imagedata r:id="rId62"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3.04631pt" strokecolor="#818181">
              <v:path arrowok="t"/>
              <v:stroke dashstyle="solid"/>
            </v:shape>
            <v:shape style="position:absolute;left:714;top:2871;width:14421;height:20858" type="#_x0000_t75" stroked="false">
              <v:imagedata r:id="rId63" o:title=""/>
            </v:shape>
            <v:shape style="position:absolute;left:1473;top:5100;width:3451;height:1047" coordorigin="1473,5101" coordsize="3451,1047" path="m1473,5129l1479,5123,1479,5117,1484,5117,1484,5112,1490,5112,1490,5106,1495,5106,1501,5106,1501,5101,1540,5101,4924,6148e" filled="false" stroked="true" strokeweight=".55387pt" strokecolor="#b2b2b2">
              <v:path arrowok="t"/>
              <v:stroke dashstyle="solid"/>
            </v:shape>
            <v:shape style="position:absolute;left:714;top:4549;width:14418;height:19222" type="#_x0000_t75" stroked="false">
              <v:imagedata r:id="rId64" o:title=""/>
            </v:shape>
            <v:line style="position:absolute" from="10058,5943" to="10058,6308" stroked="true" strokeweight="2.21549pt" strokecolor="#b2b2b2">
              <v:stroke dashstyle="solid"/>
            </v:line>
            <v:shape style="position:absolute;left:9377;top:3223;width:809;height:2172" coordorigin="9377,3223" coordsize="809,2172" path="m10186,5394l10186,5300m10186,5300l10180,5151,10180,5068,10180,5057m9405,4209l9388,4209m9410,4647l9388,4647m9377,3223l9388,4209m9405,4209l9394,3223e" filled="false" stroked="true" strokeweight=".55387pt" strokecolor="#b2b2b2">
              <v:path arrowok="t"/>
              <v:stroke dashstyle="solid"/>
            </v:shape>
            <v:shape style="position:absolute;left:9367;top:2874;width:199;height:421" type="#_x0000_t75" stroked="false">
              <v:imagedata r:id="rId65" o:title=""/>
            </v:shape>
            <v:shape style="position:absolute;left:720;top:16127;width:4509;height:5212" coordorigin="720,16128" coordsize="4509,5212" path="m4708,20187l4658,20071,4553,19789,4492,19623,3966,18155,3827,17861,3700,17673,3512,17479,2243,16571m2243,16571l2238,16565,2232,16565,2227,16560,2221,16554,2215,16554,2210,16549,2204,16543,2199,16543,2193,16538,2188,16532,2182,16532,2177,16527,2171,16521,2166,16521,2160,16516,2155,16510,2149,16510,2143,16504,2138,16499,2132,16499,2127,16493,2121,16488,2116,16488,2110,16482,2105,16482,2099,16477,2094,16471,2088,16471,2083,16466,2077,16466,2071,16460,2066,16455,2060,16455,2055,16449,2049,16449,2044,16444,2038,16438,2033,16438,2027,16432,2022,16432,2016,16427,2011,16427,2005,16421,1999,16421,1994,16416,1988,16410,1983,16410,1977,16405,1972,16405,1966,16399,1961,16399,1955,16394,1950,16394,1944,16388,1939,16388,1933,16383,1927,16383,1922,16377,1916,16377,1911,16372,1905,16372,1900,16366,1894,16366,1889,16360,1883,16360,1878,16355,1872,16355,1867,16349,1861,16349,1855,16344,1850,16344,1844,16344,1839,16338,1833,16338,1828,16333,1822,16333,1817,16327,1811,16327,1806,16322,1800,16322,1795,16322,1789,16316,1783,16316,1778,16311,1772,16311,1767,16311,1761,16305,1756,16305,1750,16300,1745,16300,1739,16294,1734,16294,1728,16294,1723,16288,1717,16288,1711,16288,1706,16283,1700,16283,1695,16277,1689,16277,1684,16277,1678,16272,1673,16272,1667,16272,1662,16266,1656,16266,1651,16261,1645,16261,1639,16261,1634,16255,1628,16255,1623,16255,1617,16250,1612,16250,1606,16250,1601,16244,1595,16244,1590,16244,1584,16239,1579,16239,1573,16239,1567,16233,1562,16233,1556,16233,1551,16233,1545,16228,1540,16228,1534,16228,1529,16222,1523,16222,1518,16222,1512,16222,1507,16216,1501,16216,1495,16216,1490,16211,1484,16211,1479,16211,1473,16211,1468,16205,1462,16205,1457,16205,1451,16205,1446,16200,1440,16200,1435,16200,1429,16200,1423,16194,1418,16194,1412,16194,1407,16194,1401,16189,1396,16189,1390,16189,1385,16189,1379,16183,1374,16183,1368,16183,1363,16183,1357,16183,1351,16178,1346,16178,1340,16178,1335,16178,1329,16172,1324,16172,1318,16172,1313,16172,1307,16172,1302,16172,1296,16167,1291,16167,1285,16167,1279,16167,1274,16167,1268,16161,1263,16161,1257,16161,1252,16161,1246,16161,1241,16161,1235,16156,1230,16156,1224,16156,1219,16156,1213,16156,1207,16156,1202,16150,1196,16150,1191,16150,1185,16150,1180,16150,1174,16150,1169,16150,1163,16150,1158,16144,1152,16144,1147,16144,1141,16144,1135,16144,1130,16144,1124,16144,1119,16144,1113,16139,1108,16139,1102,16139,1097,16139,1091,16139,1086,16139,1080,16139,1075,16139,1069,16139,1063,16139,1058,16139,1052,16133,1047,16133,1041,16133,1036,16133,1030,16133,1025,16133,1019,16133,1014,16133,1008,16133,1003,16133,997,16133,991,16133,986,16133,980,16133,975,16133,969,16128,964,16128,958,16128,953,16128,947,16128,942,16128,936,16128,931,16128,925,16128,919,16128,914,16128,908,16128,903,16128,897,16128,892,16128,886,16128,881,16128,875,16128,870,16128,864,16128,859,16128,853,16128,847,16128,842,16128,836,16128,831,16128,825,16128,820,16128,814,16128,809,16128,803,16128,798,16128,792,16128,787,16128,781,16128,775,16128,770,16128,764,16128,759,16128,753,16128,748,16128,742,16133,737,16133,731,16133,726,16133,720,16133m4896,20880l4941,20913m4941,20913l4974,20952m4974,20952l5079,21123,5229,21339m4896,20880l4852,20835m4852,20835l4846,20830,4841,20824,4835,20819,4835,20813,4830,20808,4824,20802,4824,20797,4819,20791,4819,20786,4819,20780,4819,20775,4813,20769,4813,20763,4813,20758,4813,20752,4813,20747,4813,20741e" filled="false" stroked="true" strokeweight=".55387pt" strokecolor="#b2b2b2">
              <v:path arrowok="t"/>
              <v:stroke dashstyle="solid"/>
            </v:shape>
            <v:line style="position:absolute" from="4819,20631" to="4819,20747" stroked="true" strokeweight="1.10774pt" strokecolor="#b2b2b2">
              <v:stroke dashstyle="solid"/>
            </v:line>
            <v:shape style="position:absolute;left:4431;top:19639;width:466;height:1280" coordorigin="4431,19639" coordsize="466,1280" path="m4824,20636l4824,20631,4824,20625,4824,20619,4824,20614,4824,20608,4824,20603,4824,20597,4824,20592,4824,20586,4824,20581,4819,20575,4819,20570,4819,20564,4819,20559,4819,20553,4813,20547m4813,20547l4725,20304m4896,20880l4863,20919m4431,19639l4597,20088,4730,20403e" filled="false" stroked="true" strokeweight=".55387pt" strokecolor="#b2b2b2">
              <v:path arrowok="t"/>
              <v:stroke dashstyle="solid"/>
            </v:shape>
            <v:shape style="position:absolute;left:4724;top:20397;width:144;height:527" type="#_x0000_t75" stroked="false">
              <v:imagedata r:id="rId66" o:title=""/>
            </v:shape>
            <v:shape style="position:absolute;left:4702;top:7404;width:527;height:13935" coordorigin="4702,7405" coordsize="527,13935" path="m5229,21339l5157,21223,5051,21018,4957,20813m4957,20813l4785,20431,4725,20304m4907,7427l4725,7421m4725,7421l4719,7421,4713,7421,4708,7416,4702,7410,4702,7405e" filled="false" stroked="true" strokeweight=".55387pt" strokecolor="#b2b2b2">
              <v:path arrowok="t"/>
              <v:stroke dashstyle="solid"/>
            </v:shape>
            <v:shape style="position:absolute;left:8452;top:19107;width:205;height:493" type="#_x0000_t75" stroked="false">
              <v:imagedata r:id="rId67" o:title=""/>
            </v:shape>
            <v:shape style="position:absolute;left:9565;top:18492;width:637;height:178" type="#_x0000_t75" stroked="false">
              <v:imagedata r:id="rId68" o:title=""/>
            </v:shape>
            <v:shape style="position:absolute;left:8795;top:19107;width:183;height:311" type="#_x0000_t75" stroked="false">
              <v:imagedata r:id="rId69" o:title=""/>
            </v:shape>
            <v:shape style="position:absolute;left:9150;top:19528;width:261;height:78" coordorigin="9150,19528" coordsize="261,78" path="m9150,19595l9167,19595m9167,19595l9183,19589m9183,19589l9205,19573m9205,19573l9211,19573m9211,19573l9228,19545m9228,19545l9233,19540,9239,19534,9244,19534,9250,19528,9255,19528,9261,19528m9261,19528l9410,19528m9211,19573l9216,19584m9216,19584l9222,19589,9228,19595,9233,19595,9239,19600,9244,19600,9250,19606,9255,19606,9261,19606e" filled="false" stroked="true" strokeweight=".55387pt" strokecolor="#b2b2b2">
              <v:path arrowok="t"/>
              <v:stroke dashstyle="solid"/>
            </v:shape>
            <v:line style="position:absolute" from="9255,19609" to="9399,19609" stroked="true" strokeweight=".83079pt" strokecolor="#b2b2b2">
              <v:stroke dashstyle="solid"/>
            </v:line>
            <v:line style="position:absolute" from="9394,19611" to="9399,19611" stroked="true" strokeweight=".55387pt" strokecolor="#b2b2b2">
              <v:stroke dashstyle="solid"/>
            </v:line>
            <v:line style="position:absolute" from="9402,19606" to="9402,19617" stroked="true" strokeweight=".27693pt" strokecolor="#b2b2b2">
              <v:stroke dashstyle="solid"/>
            </v:line>
            <v:shape style="position:absolute;left:8884;top:8556;width:1225;height:10385" coordorigin="8884,8557" coordsize="1225,10385" path="m9970,8557l9837,8557m9970,8557l10108,8557m8945,18941l8912,18936m8912,18936l8895,18936m8895,18936l8890,18936,8884,18930,8884,18925e" filled="false" stroked="true" strokeweight=".55387pt" strokecolor="#b2b2b2">
              <v:path arrowok="t"/>
              <v:stroke dashstyle="solid"/>
            </v:shape>
            <v:line style="position:absolute" from="8881,18869" to="8881,18930" stroked="true" strokeweight=".83081pt" strokecolor="#b2b2b2">
              <v:stroke dashstyle="solid"/>
            </v:line>
            <v:shape style="position:absolute;left:8812;top:18858;width:106;height:17" coordorigin="8812,18858" coordsize="106,17" path="m8917,18869l8912,18869,8906,18869,8901,18869,8895,18869,8895,18875,8890,18875,8884,18875,8879,18875m8812,18858l8818,18858,8823,18864,8829,18864,8834,18869,8840,18869,8845,18869,8851,18869,8856,18875,8862,18875,8868,18875,8873,18875,8879,18875,8879,18875e" filled="false" stroked="true" strokeweight=".55387pt" strokecolor="#b2b2b2">
              <v:path arrowok="t"/>
              <v:stroke dashstyle="solid"/>
            </v:shape>
            <v:shape style="position:absolute;left:8717;top:17052;width:455;height:493" type="#_x0000_t75" stroked="false">
              <v:imagedata r:id="rId70" o:title=""/>
            </v:shape>
            <v:shape style="position:absolute;left:9809;top:13635;width:3700;height:6636" coordorigin="9809,13636" coordsize="3700,6636" path="m9942,13807l9997,13929,10003,13940,10009,13951,10014,13962,10014,13973,10020,13984,10020,13996,10025,14007,10025,14018,10031,14029,10031,14040,10031,14051,10031,14062,10031,14073,10031,14079m10031,13768l9942,13807m9809,13652l9864,13636,9942,13807m10003,20271l10020,20254,10025,20248,10031,20243,10036,20243,10042,20237,10047,20237,10053,20232,10119,20199m13503,17202l13509,17202m13509,17202l13509,17202m9809,13708l9809,13785m9809,13918l9815,14084e" filled="false" stroked="true" strokeweight=".55387pt" strokecolor="#b2b2b2">
              <v:path arrowok="t"/>
              <v:stroke dashstyle="solid"/>
            </v:shape>
            <v:shape style="position:absolute;left:12218;top:20730;width:167;height:394" type="#_x0000_t75" stroked="false">
              <v:imagedata r:id="rId71" o:title=""/>
            </v:shape>
            <v:line style="position:absolute" from="13498,17202" to="13503,17202" stroked="true" strokeweight=".55387pt" strokecolor="#b2b2b2">
              <v:stroke dashstyle="solid"/>
            </v:line>
            <v:shape style="position:absolute;left:12716;top:21494;width:427;height:211" type="#_x0000_t75" stroked="false">
              <v:imagedata r:id="rId72" o:title=""/>
            </v:shape>
            <v:shape style="position:absolute;left:7959;top:9426;width:1479;height:8707" coordorigin="7959,9426" coordsize="1479,8707" path="m8087,18133l8075,18127,7998,18127,7976,18133,7959,18133m8219,9991l8286,9903m8685,10185l8624,10268,8624,10274,8618,10274,8219,9991m8219,9991l8131,10124m8286,9903l8685,10185m8685,10185l8701,10196m9438,10102l9383,10102m9360,9426l9349,9437m9349,9437l9355,9476e" filled="false" stroked="true" strokeweight=".55387pt" strokecolor="#b2b2b2">
              <v:path arrowok="t"/>
              <v:stroke dashstyle="solid"/>
            </v:shape>
            <v:line style="position:absolute" from="9349,9485" to="9360,9485" stroked="true" strokeweight=".83076pt" strokecolor="#b2b2b2">
              <v:stroke dashstyle="solid"/>
            </v:line>
            <v:line style="position:absolute" from="9355,9493" to="9360,9521" stroked="true" strokeweight=".55387pt" strokecolor="#b2b2b2">
              <v:stroke dashstyle="solid"/>
            </v:line>
            <v:line style="position:absolute" from="9360,9521" to="9360,9836" stroked="true" strokeweight=".55387pt" strokecolor="#b2b2b2">
              <v:stroke dashstyle="solid"/>
            </v:line>
            <v:shape style="position:absolute;left:9360;top:9836;width:23;height:266" coordorigin="9360,9836" coordsize="23,266" path="m9360,9836l9366,9869m9366,9869l9372,9897m9372,9897l9377,9930m9377,9930l9383,10102e" filled="false" stroked="true" strokeweight=".55387pt" strokecolor="#b2b2b2">
              <v:path arrowok="t"/>
              <v:stroke dashstyle="solid"/>
            </v:shape>
            <v:line style="position:absolute" from="9374,10407" to="9374,10490" stroked="true" strokeweight=".83081pt" strokecolor="#b2b2b2">
              <v:stroke dashstyle="solid"/>
            </v:line>
            <v:shape style="position:absolute;left:9377;top:10356;width:23;height:56" coordorigin="9377,10357" coordsize="23,56" path="m9377,10412l9383,10385m9383,10385l9399,10357e" filled="false" stroked="true" strokeweight=".55387pt" strokecolor="#b2b2b2">
              <v:path arrowok="t"/>
              <v:stroke dashstyle="solid"/>
            </v:shape>
            <v:line style="position:absolute" from="9394,10349" to="9405,10349" stroked="true" strokeweight=".83076pt" strokecolor="#b2b2b2">
              <v:stroke dashstyle="solid"/>
            </v:line>
            <v:shape style="position:absolute;left:9382;top:10118;width:23;height:222" coordorigin="9383,10119" coordsize="23,222" path="m9399,10340l9405,10263,9405,10180m9405,10180l9399,10157m9399,10157l9388,10135m9388,10135l9383,10119e" filled="false" stroked="true" strokeweight=".55387pt" strokecolor="#b2b2b2">
              <v:path arrowok="t"/>
              <v:stroke dashstyle="solid"/>
            </v:shape>
            <v:line style="position:absolute" from="9377,10110" to="9388,10110" stroked="true" strokeweight=".83076pt" strokecolor="#b2b2b2">
              <v:stroke dashstyle="solid"/>
            </v:line>
            <v:line style="position:absolute" from="9449,9426" to="9360,9426" stroked="true" strokeweight=".55387pt" strokecolor="#b2b2b2">
              <v:stroke dashstyle="solid"/>
            </v:line>
            <v:line style="position:absolute" from="9352,9288" to="9352,9421" stroked="true" strokeweight=".83081pt" strokecolor="#b2b2b2">
              <v:stroke dashstyle="solid"/>
            </v:line>
            <v:line style="position:absolute" from="9349,9418" to="9360,9418" stroked="true" strokeweight=".27692pt" strokecolor="#b2b2b2">
              <v:stroke dashstyle="solid"/>
            </v:line>
            <v:shape style="position:absolute;left:9216;top:9420;width:144;height:1579" coordorigin="9216,9421" coordsize="144,1579" path="m9355,9421l9360,9426m9316,10484l9322,10617,9311,10689m9311,10689l9311,10728m9311,10728l9316,10756,9316,10866m9316,10866l9316,10999m9316,10866l9216,10866e" filled="false" stroked="true" strokeweight=".55387pt" strokecolor="#b2b2b2">
              <v:path arrowok="t"/>
              <v:stroke dashstyle="solid"/>
            </v:shape>
            <v:line style="position:absolute" from="9311,10864" to="9427,10864" stroked="true" strokeweight=".83079pt" strokecolor="#b2b2b2">
              <v:stroke dashstyle="solid"/>
            </v:line>
            <v:shape style="position:absolute;left:9316;top:10484;width:3230;height:10701" coordorigin="9316,10484" coordsize="3230,10701" path="m9372,10484l9316,10484m9427,10484l9372,10484m12545,21184l12534,21162e" filled="false" stroked="true" strokeweight=".55387pt" strokecolor="#b2b2b2">
              <v:path arrowok="t"/>
              <v:stroke dashstyle="solid"/>
            </v:shape>
            <v:line style="position:absolute" from="13163,20991" to="13163,21051" stroked="true" strokeweight=".83081pt" strokecolor="#b2b2b2">
              <v:stroke dashstyle="solid"/>
            </v:line>
            <v:shape style="position:absolute;left:12611;top:21045;width:554;height:117" coordorigin="12612,21046" coordsize="554,117" path="m13166,21046l13166,21051,13166,21057,13166,21063,13166,21068,13160,21074,13160,21079,13160,21085,13155,21090,13155,21096,13149,21101,13149,21107,13143,21112,13138,21118,13132,21123,13127,21129,13121,21135,13116,21140,13110,21140,13105,21146,13099,21146,13094,21151,13088,21151,13083,21151,13077,21157,13071,21157,13066,21157,13060,21157,13055,21157,13049,21157m13049,21157l12656,21162,12628,21162,12617,21162,12612,21162e" filled="false" stroked="true" strokeweight=".55387pt" strokecolor="#b2b2b2">
              <v:path arrowok="t"/>
              <v:stroke dashstyle="solid"/>
            </v:shape>
            <v:shape style="position:absolute;left:12506;top:21079;width:222;height:626" type="#_x0000_t75" stroked="false">
              <v:imagedata r:id="rId73" o:title=""/>
            </v:shape>
            <v:shape style="position:absolute;left:9005;top:17135;width:1197;height:3141" coordorigin="9006,17136" coordsize="1197,3141" path="m9892,17501l9765,17435,9715,17407,9665,17380,9610,17357,9554,17341,9482,17313m9482,17313l9006,17136m10119,20199l10130,20215m10130,20215l10158,20248m10158,20248l10164,20254,10169,20259,10175,20265,10180,20271,10186,20271,10191,20271,10197,20276,10202,20276m10114,20088l10114,20165,10114,20171,10114,20176,10114,20182,10114,20187,10119,20193,10119,20199,10119,20199e" filled="false" stroked="true" strokeweight=".55387pt" strokecolor="#b2b2b2">
              <v:path arrowok="t"/>
              <v:stroke dashstyle="solid"/>
            </v:shape>
            <v:shape style="position:absolute;left:9964;top:20292;width:133;height:128" type="#_x0000_t75" stroked="false">
              <v:imagedata r:id="rId74" o:title=""/>
            </v:shape>
            <v:shape style="position:absolute;left:8501;top:20802;width:261;height:261" type="#_x0000_t75" stroked="false">
              <v:imagedata r:id="rId75" o:title=""/>
            </v:shape>
            <v:shape style="position:absolute;left:8839;top:19207;width:577;height:372" type="#_x0000_t75" stroked="false">
              <v:imagedata r:id="rId76" o:title=""/>
            </v:shape>
            <v:shape style="position:absolute;left:10268;top:8407;width:189;height:144" coordorigin="10269,8407" coordsize="189,144" path="m10269,8551l10302,8551,10308,8551,10313,8551,10319,8546,10324,8546,10324,8540,10457,8407e" filled="false" stroked="true" strokeweight=".55387pt" strokecolor="#b2b2b2">
              <v:path arrowok="t"/>
              <v:stroke dashstyle="solid"/>
            </v:shape>
            <v:shape style="position:absolute;left:13495;top:17191;width:2;height:12" coordorigin="13495,17191" coordsize="0,12" path="m13495,17191l13495,17202m13495,17191l13495,17202m13495,17191l13495,17202e" filled="false" stroked="true" strokeweight=".27693pt" strokecolor="#b2b2b2">
              <v:path arrowok="t"/>
              <v:stroke dashstyle="solid"/>
            </v:shape>
            <v:line style="position:absolute" from="9538,4204" to="9615,4204" stroked="true" strokeweight=".55387pt" strokecolor="#b2b2b2">
              <v:stroke dashstyle="solid"/>
            </v:line>
            <v:line style="position:absolute" from="9657,4636" to="9657,4791" stroked="true" strokeweight=".8308pt" strokecolor="#b2b2b2">
              <v:stroke dashstyle="solid"/>
            </v:line>
            <v:shape style="position:absolute;left:9493;top:4441;width:4016;height:12755" coordorigin="9493,4442" coordsize="4016,12755" path="m13492,17197l13509,17197m13498,17197l13509,17197m13509,17197l13492,17197m13492,17197l13509,17197m13509,17197l13492,17197m13509,17197l13492,17197m13492,17197l13509,17197m9504,4591l9499,4547m9499,4547l9493,4519m9493,4519l9493,4464m9493,4464l9499,4442e" filled="false" stroked="true" strokeweight=".55387pt" strokecolor="#b2b2b2">
              <v:path arrowok="t"/>
              <v:stroke dashstyle="solid"/>
            </v:shape>
            <v:line style="position:absolute" from="9504,4591" to="9504,4829" stroked="true" strokeweight=".55387pt" strokecolor="#b2b2b2">
              <v:stroke dashstyle="solid"/>
            </v:line>
            <v:shape style="position:absolute;left:9659;top:5051;width:433;height:355" type="#_x0000_t75" stroked="false">
              <v:imagedata r:id="rId77" o:title=""/>
            </v:shape>
            <v:shape style="position:absolute;left:9421;top:6679;width:1441;height:13642" coordorigin="9421,6679" coordsize="1441,13642" path="m10834,20320l10861,20320m9576,7438l9471,7438m9471,7438l9466,7383,9432,7056,9427,7006,9421,6951,9421,6895,9421,6679m9471,7438l9449,7438m9477,7970l9477,7543,9471,7493,9471,7438e" filled="false" stroked="true" strokeweight=".55387pt" strokecolor="#b2b2b2">
              <v:path arrowok="t"/>
              <v:stroke dashstyle="solid"/>
            </v:shape>
            <v:shape style="position:absolute;left:9366;top:21444;width:194;height:394" type="#_x0000_t75" stroked="false">
              <v:imagedata r:id="rId78" o:title=""/>
            </v:shape>
            <v:shape style="position:absolute;left:8064;top:11575;width:244;height:211" type="#_x0000_t75" stroked="false">
              <v:imagedata r:id="rId79" o:title=""/>
            </v:shape>
            <v:shape style="position:absolute;left:9493;top:19439;width:167;height:6" coordorigin="9493,19440" coordsize="167,6" path="m9560,19445l9615,19445,9621,19445,9626,19445,9632,19445,9637,19445,9660,19440m9560,19445l9493,19445e" filled="false" stroked="true" strokeweight=".55387pt" strokecolor="#b2b2b2">
              <v:path arrowok="t"/>
              <v:stroke dashstyle="solid"/>
            </v:shape>
            <v:shape style="position:absolute;left:8330;top:19683;width:139;height:294" type="#_x0000_t75" stroked="false">
              <v:imagedata r:id="rId80" o:title=""/>
            </v:shape>
            <v:shape style="position:absolute;left:9449;top:8811;width:4060;height:8397" coordorigin="9449,8812" coordsize="4060,8397" path="m9720,9676l9715,9432m9759,9432l9726,9432,9715,9432m9643,8812l9654,9371m9693,9432l9654,9432m9654,9432l9471,9426m9471,9426l9449,9426m9466,9847l9471,9426m9471,9426l9482,8961,9482,8812m13509,17202l13498,17202m13503,17202l13492,17208e" filled="false" stroked="true" strokeweight=".55387pt" strokecolor="#b2b2b2">
              <v:path arrowok="t"/>
              <v:stroke dashstyle="solid"/>
            </v:shape>
            <v:shape style="position:absolute;left:12406;top:21178;width:144;height:122" type="#_x0000_t75" stroked="false">
              <v:imagedata r:id="rId81" o:title=""/>
            </v:shape>
            <v:shape style="position:absolute;left:8308;top:19107;width:255;height:477" type="#_x0000_t75" stroked="false">
              <v:imagedata r:id="rId82" o:title=""/>
            </v:shape>
            <v:shape style="position:absolute;left:10074;top:5183;width:3446;height:12024" coordorigin="10075,5184" coordsize="3446,12024" path="m10086,5306l10092,5621,10092,5693,10092,5743,10092,5793,10075,5948m13509,17208l13520,17208m10075,5948l10141,6004,10197,6070,10241,6137,10258,6164,10297,6225,10407,6391,10418,6408,10429,6425,10441,6441,10446,6452,10446,6458,10452,6463,10452,6469,10457,6474,10457,6480,10463,6508,10468,6530,10479,6580,10485,6607,10490,6624m13509,17208l13492,17208m13492,17208l13509,17208m13492,17208l13509,17208m13492,17208l13509,17208m13492,17208l13509,17208m13492,17208l13509,17208m13509,17208l13492,17208m13492,17208l13509,17208m13509,17208l13492,17208m13492,17208l13509,17208m10236,5300l10230,5289m10230,5289l10225,5267m10225,5267l10219,5239m10219,5239l10213,5212m10213,5212l10219,5184e" filled="false" stroked="true" strokeweight=".55387pt" strokecolor="#b2b2b2">
              <v:path arrowok="t"/>
              <v:stroke dashstyle="solid"/>
            </v:shape>
            <v:line style="position:absolute" from="10213,5159" to="10225,5159" stroked="true" strokeweight="2.49228pt" strokecolor="#b2b2b2">
              <v:stroke dashstyle="solid"/>
            </v:line>
            <v:shape style="position:absolute;left:8031;top:4945;width:5478;height:17834" coordorigin="8031,4946" coordsize="5478,17834" path="m10219,5134l10230,5112m10230,5112l10247,5106,10263,5095m10263,5095l10269,5090,10274,5084,10274,5079m10274,5079l10263,5051m13492,17208l13509,17208m13492,17208l13509,17208m13509,17208l13492,17208m13509,17208l13492,17208m13509,17208l13492,17208m13492,17208l13509,17208m13509,17208l13492,17208m10335,4946l10341,4957,10341,4968,10346,4979,10346,4985,10346,5023,10346,5029,10346,5034,10346,5040,10341,5040,10335,5045,10324,5051,10302,5051,10269,5051,10263,5051m13509,17202l13498,17197m13509,17197l13498,17197m13492,17191l13503,17197m13503,17197l13498,17197m13503,17202l13498,17197m13509,17202l13492,17202m13509,17197l13487,17197m13487,17197l13503,17197m13498,17202l13503,17197m10236,5300l10297,5300m10297,5300l10313,5295m10313,5295l10324,5295m10324,5295l10330,5300m10330,5300l10330,5356,10330,5394,10335,5494,10335,5677m13498,17197l13498,17197m13498,17202l13492,17197m13503,17197l13492,17197m13509,17197l13492,17197m13509,17197l13492,17197m13492,17197l13509,17197m13492,17197l13509,17197m8303,22392l8303,22497,8303,22591m8303,22591l8308,22779m8303,22591l8208,22591,8070,22591,8031,22602m9228,22619l9222,22619,9216,22624,9211,22624,9205,22630,9200,22630,9194,22635,9189,22635,9183,22635,9178,22641,9172,22641,9167,22641,9161,22641,9156,22641,8784,22641e" filled="false" stroked="true" strokeweight=".55387pt" strokecolor="#b2b2b2">
              <v:path arrowok="t"/>
              <v:stroke dashstyle="solid"/>
            </v:shape>
            <v:line style="position:absolute" from="8784,22569" to="8784,22663" stroked="true" strokeweight=".55387pt" strokecolor="#b2b2b2">
              <v:stroke dashstyle="solid"/>
            </v:line>
            <v:shape style="position:absolute;left:4347;top:20918;width:5024;height:1762" coordorigin="4348,20919" coordsize="5024,1762" path="m9228,22619l9211,22597,9205,22591,9200,22591,9200,22586,9194,22586,9194,22580,9189,22580,9183,22575,9178,22575,9172,22575,9167,22569,9161,22569,9156,22569,9150,22569,9144,22569,9045,22569,8784,22569m9372,22386l8779,22386m8779,22386l8690,22386m8784,22569l8779,22491,8779,22386m8784,22663l8779,22669m8779,22669l8613,22674m8303,22680l8363,22674,8375,22680,8408,22674m4813,20968l4774,21013m4774,21013l4769,21018,4769,21024,4763,21029,4758,21035,4752,21035,4747,21040,4741,21046,4736,21051,4730,21057,4725,21057,4719,21063,4713,21068,4708,21068,4702,21074,4697,21079,4691,21079,4686,21085,4680,21085,4675,21090,4669,21090,4664,21090,4658,21096,4653,21096,4647,21096,4641,21101,4636,21101,4630,21101,4625,21107,4619,21107,4614,21107,4608,21107,4603,21107,4597,21112,4592,21112,4586,21112,4581,21112,4575,21112,4569,21112,4564,21112,4558,21112,4553,21112,4547,21112,4542,21112,4536,21112,4531,21112,4525,21112,4520,21112,4514,21107,4509,21107,4503,21107,4497,21107,4492,21107,4486,21101,4481,21101,4475,21101,4470,21096,4464,21096,4459,21096,4453,21090,4448,21090,4442,21090,4437,21085,4431,21085,4425,21079,4420,21079,4414,21074,4409,21068,4403,21074m4403,21074l4348,21040m4813,20968l4863,20919m5096,21389l5096,21384,5096,21378,5096,21373,5096,21367,5096,21362,5096,21356,5090,21351,5090,21345,5090,21339,5085,21334,5085,21328,5079,21323,5079,21317,5073,21312,5073,21306,5068,21301,5068,21295,5062,21290,5057,21284,5057,21279,5051,21273m5051,21273l4996,21212,4968,21168,4929,21123,4913,21079,4896,21051,4857,21007,4813,20968m5289,21777l5262,21744m5262,21744l5251,21727m5251,21727l5234,21699m5234,21699l5217,21683m5217,21683l5162,21616m5289,21777l5506,22021m5506,22021l5528,22054m5572,22148l5572,22143,5566,22137,5566,22131,5566,22126,5561,22120,5561,22115,5561,22109,5555,22104,5555,22098,5555,22093,5550,22087,5550,22082,5544,22076,5544,22071,5539,22065,5533,22059,5533,22054,5528,22054m5162,21616l5140,21594m5140,21594l5134,21589,5134,21583,5129,21578,5123,21572,5123,21567,5118,21561,5112,21555,5112,21550,5107,21544,5107,21539,5107,21533,5101,21528,5101,21522,5101,21517m5101,21517l5101,21511,5101,21506,5101,21500,5096,21495,5096,21489,5096,21483,5096,21478,5096,21472,5096,21467,5096,21461,5096,21456,5096,21450,5096,21445,5096,21439m5096,21439l5096,21389e" filled="false" stroked="true" strokeweight=".55387pt" strokecolor="#b2b2b2">
              <v:path arrowok="t"/>
              <v:stroke dashstyle="solid"/>
            </v:shape>
            <v:shape style="position:absolute;left:12268;top:20674;width:194;height:449" type="#_x0000_t75" stroked="false">
              <v:imagedata r:id="rId83" o:title=""/>
            </v:shape>
            <v:line style="position:absolute" from="13498,17191" to="13498,17191" stroked="true" strokeweight=".55387pt" strokecolor="#b2b2b2">
              <v:stroke dashstyle="solid"/>
            </v:line>
            <v:shape style="position:absolute;left:9836;top:20292;width:222;height:211" type="#_x0000_t75" stroked="false">
              <v:imagedata r:id="rId84" o:title=""/>
            </v:shape>
            <v:shape style="position:absolute;left:13481;top:17196;width:1645;height:1619" coordorigin="13481,17197" coordsize="1645,1619" path="m14855,18664l14833,18653,14805,18637,14783,18626,14755,18615,14728,18604,14700,18592,14678,18587,14595,18559,14539,18543,14484,18532,14428,18520,14373,18509,14312,18504,14257,18498,14201,18493,14146,18493,14007,18487m15126,18815l14855,18664m13515,17197l13481,17197m13481,17197l13515,17197m13481,17197l13515,17197m13515,17197l13481,17197m13481,17197l13515,17197m13481,17197l13515,17197e" filled="false" stroked="true" strokeweight=".55387pt" strokecolor="#b2b2b2">
              <v:path arrowok="t"/>
              <v:stroke dashstyle="solid"/>
            </v:shape>
            <v:shape style="position:absolute;left:9083;top:14865;width:4282;height:3080" type="#_x0000_t75" stroked="false">
              <v:imagedata r:id="rId85" o:title=""/>
            </v:shape>
            <v:shape style="position:absolute;left:7948;top:18514;width:338;height:405" type="#_x0000_t75" stroked="false">
              <v:imagedata r:id="rId86" o:title=""/>
            </v:shape>
            <v:shape style="position:absolute;left:9449;top:9365;width:244;height:10280" coordorigin="9449,9365" coordsize="244,10280" path="m9693,9365l9693,9432m9449,19307l9449,19407,9455,19423,9455,19440m9493,19445l9455,19440m9455,19440l9449,19645e" filled="false" stroked="true" strokeweight=".55387pt" strokecolor="#b2b2b2">
              <v:path arrowok="t"/>
              <v:stroke dashstyle="solid"/>
            </v:shape>
            <v:line style="position:absolute" from="8084,18166" to="8084,18293" stroked="true" strokeweight=".83081pt" strokecolor="#b2b2b2">
              <v:stroke dashstyle="solid"/>
            </v:line>
            <v:shape style="position:absolute;left:9493;top:10162;width:1429;height:9322" coordorigin="9493,10163" coordsize="1429,9322" path="m10828,10169l10906,10163,10911,10163,10911,10169,10917,10169,10922,10169,10922,10169m9560,19484l9560,19445m9493,19445l9493,19484e" filled="false" stroked="true" strokeweight=".55387pt" strokecolor="#b2b2b2">
              <v:path arrowok="t"/>
              <v:stroke dashstyle="solid"/>
            </v:shape>
            <v:shape style="position:absolute;left:10241;top:7266;width:449;height:322" type="#_x0000_t75" stroked="false">
              <v:imagedata r:id="rId87" o:title=""/>
            </v:shape>
            <v:shape style="position:absolute;left:4951;top:21383;width:781;height:770" type="#_x0000_t75" stroked="false">
              <v:imagedata r:id="rId88" o:title=""/>
            </v:shape>
            <v:shape style="position:absolute;left:7311;top:9154;width:449;height:383" type="#_x0000_t75" stroked="false">
              <v:imagedata r:id="rId89" o:title=""/>
            </v:shape>
            <v:shape style="position:absolute;left:7084;top:7565;width:543;height:1684" coordorigin="7084,7565" coordsize="543,1684" path="m7627,9249l7621,8590m7128,9005l7095,8845,7090,8828,7090,8817,7084,8801,7084,8784,7084,8773,7084,8756,7084,8745,7084,8729,7084,8717,7084,8701,7090,8684,7090,8673,7095,8657,7095,8645,7101,8629,7106,8618,7134,8524m7134,8524l7156,8463,7162,8452,7162,8435,7167,8424,7167,8407,7173,8396,7173,8385,7173,8369,7178,8357,7178,8346,7178,8335,7178,8319,7178,8308,7173,8297,7173,8280,7173,8269,7173,8252,7167,8241,7162,8230,7162,8213,7156,8202,7156,8186,7151,8175,7145,8158,7145,8147,7145,8130,7145,8119,7139,8097,7139,8081,7145,8058,7145,8042,7145,8020,7151,8003,7162,7942,7167,7925,7167,7914,7167,7898,7173,7887,7173,7870,7173,7859,7173,7842,7173,7831,7167,7815,7167,7804,7167,7793,7167,7776,7128,7565e" filled="false" stroked="true" strokeweight=".55387pt" strokecolor="#b2b2b2">
              <v:path arrowok="t"/>
              <v:stroke dashstyle="solid"/>
            </v:shape>
            <v:shape style="position:absolute;left:7128;top:8219;width:499;height:377" type="#_x0000_t75" stroked="false">
              <v:imagedata r:id="rId90" o:title=""/>
            </v:shape>
            <v:line style="position:absolute" from="8286,9903" to="8430,9703" stroked="true" strokeweight=".55387pt" strokecolor="#b2b2b2">
              <v:stroke dashstyle="solid"/>
            </v:line>
            <v:shape style="position:absolute;left:11775;top:20735;width:277;height:576" type="#_x0000_t75" stroked="false">
              <v:imagedata r:id="rId91" o:title=""/>
            </v:shape>
            <v:shape style="position:absolute;left:6962;top:5820;width:3545;height:17552" coordorigin="6962,5821" coordsize="3545,17552" path="m8818,19634l8951,19634m8951,19634l8967,19628m8967,19628l9039,19567m8807,19589l8812,19606,8812,19611,8818,19611,8818,19617,8818,19623,8818,19634m9720,9365l9693,9365m9693,9365l9654,9371m9654,9371l9654,9432m9693,9432l9715,9432m9516,10290l9510,10301,9504,10479m9543,10479l9504,10479m10341,23328l10407,23367m10407,23367l10413,23372,10418,23372,10424,23372,10429,23372,10435,23367m10435,23367l10507,23317m10252,20276l10252,20232,10291,20232m10252,20276l10374,20276m9510,5926l9615,5954,9626,5959,9632,5959,9643,5965,9648,5970,9654,5970,9665,5976,9671,5981,9676,5987,9687,5993,9693,5998,9698,6004,9704,6009,9715,6015,9720,6020,9726,6026,9781,6092,9787,6109,9804,6125,9815,6142,9826,6159,9848,6186,9925,6297,10009,6402m9510,5926l9416,5904m9416,5904l9416,5821m7067,10080l7023,10080m6962,10119l6962,10080m7023,10080l6962,10080m8314,19174l8341,19285m8341,19285l8352,19324e" filled="false" stroked="true" strokeweight=".55387pt" strokecolor="#b2b2b2">
              <v:path arrowok="t"/>
              <v:stroke dashstyle="solid"/>
            </v:shape>
            <v:line style="position:absolute" from="8358,19318" to="8358,19434" stroked="true" strokeweight="1.10775pt" strokecolor="#b2b2b2">
              <v:stroke dashstyle="solid"/>
            </v:line>
            <v:line style="position:absolute" from="8358,19434" to="8369,19434" stroked="true" strokeweight=".55384pt" strokecolor="#b2b2b2">
              <v:stroke dashstyle="solid"/>
            </v:line>
            <v:line style="position:absolute" from="8358,19445" to="8369,19445" stroked="true" strokeweight=".55384pt" strokecolor="#b2b2b2">
              <v:stroke dashstyle="solid"/>
            </v:line>
            <v:shape style="position:absolute;left:8130;top:19173;width:233;height:288" coordorigin="8131,19174" coordsize="233,288" path="m8363,19451l8336,19456m8336,19456l8319,19462m8314,19174l8258,19191m8258,19191l8208,19207m8258,19191l8291,19296m8291,19296l8297,19335m8297,19335l8303,19357m8303,19357l8303,19362,8303,19368,8303,19373,8297,19379,8291,19384,8286,19384m8286,19384l8286,19384m8208,19207l8164,19218m8164,19218l8147,19229m8147,19229l8131,19235m8208,19207l8236,19301m8236,19301l8236,19307,8236,19312,8236,19318,8236,19324,8231,19329e" filled="false" stroked="true" strokeweight=".55387pt" strokecolor="#b2b2b2">
              <v:path arrowok="t"/>
              <v:stroke dashstyle="solid"/>
            </v:shape>
            <v:line style="position:absolute" from="8225,19332" to="8236,19332" stroked="true" strokeweight=".27692pt" strokecolor="#b2b2b2">
              <v:stroke dashstyle="solid"/>
            </v:line>
            <v:shape style="position:absolute;left:8130;top:19234;width:217;height:277" coordorigin="8131,19235" coordsize="217,277" path="m8231,19335l8153,19263m8153,19263l8131,19235m8231,19335l8264,19362m8264,19362l8286,19384m8286,19384l8308,19429m8308,19429l8308,19429m8308,19429l8319,19462m8286,19384l8269,19396m8319,19462l8347,19512e" filled="false" stroked="true" strokeweight=".55387pt" strokecolor="#b2b2b2">
              <v:path arrowok="t"/>
              <v:stroke dashstyle="solid"/>
            </v:shape>
            <v:shape style="position:absolute;left:13514;top:19500;width:421;height:139" type="#_x0000_t75" stroked="false">
              <v:imagedata r:id="rId92" o:title=""/>
            </v:shape>
            <v:shape style="position:absolute;left:5727;top:9066;width:6054;height:12340" coordorigin="5727,9066" coordsize="6054,12340" path="m11781,21279l11781,21400m11781,21279l11781,21245m11781,21245l11748,21245m11748,21245l11742,21245,11737,21251,11737,21256m11737,21256l11737,21406m8679,10866l8674,11249m5794,9161l5766,9149m5766,9149l5727,9144m5849,9210l5849,9210m5849,9210l5854,9199m5854,9199l5871,9172m5871,9172l5877,9161m5877,9161l5882,9127m5882,9127l5893,9111m5893,9111l5910,9094m5910,9094l5910,9089,5915,9083,5915,9077,5915,9072,5915,9066m5849,9210l5838,9199m5838,9199l5821,9183m5821,9183l5816,9188m5816,9188l5794,9199e" filled="false" stroked="true" strokeweight=".55387pt" strokecolor="#b2b2b2">
              <v:path arrowok="t"/>
              <v:stroke dashstyle="solid"/>
            </v:shape>
            <v:line style="position:absolute" from="5677,9194" to="5799,9194" stroked="true" strokeweight="1.10771pt" strokecolor="#b2b2b2">
              <v:stroke dashstyle="solid"/>
            </v:line>
            <v:shape style="position:absolute;left:5560;top:9188;width:156;height:10961" coordorigin="5561,9188" coordsize="156,10961" path="m5683,9188l5661,9188m5661,9188l5627,9194m5583,20027l5561,20071,5699,20132m5699,20132l5716,20149e" filled="false" stroked="true" strokeweight=".55387pt" strokecolor="#b2b2b2">
              <v:path arrowok="t"/>
              <v:stroke dashstyle="solid"/>
            </v:shape>
            <v:line style="position:absolute" from="5710,20151" to="5722,20151" stroked="true" strokeweight=".27692pt" strokecolor="#b2b2b2">
              <v:stroke dashstyle="solid"/>
            </v:line>
            <v:shape style="position:absolute;left:5793;top:9160;width:28;height:23" coordorigin="5794,9161" coordsize="28,23" path="m5821,9183l5810,9172m5810,9172l5794,9161e" filled="false" stroked="true" strokeweight=".55387pt" strokecolor="#b2b2b2">
              <v:path arrowok="t"/>
              <v:stroke dashstyle="solid"/>
            </v:shape>
            <v:line style="position:absolute" from="5816,9053" to="5827,9053" stroked="true" strokeweight=".83076pt" strokecolor="#b2b2b2">
              <v:stroke dashstyle="solid"/>
            </v:line>
            <v:line style="position:absolute" from="5816,9069" to="5827,9069" stroked="true" strokeweight=".83076pt" strokecolor="#b2b2b2">
              <v:stroke dashstyle="solid"/>
            </v:line>
            <v:line style="position:absolute" from="5821,9077" to="5799,9138" stroked="true" strokeweight=".55387pt" strokecolor="#b2b2b2">
              <v:stroke dashstyle="solid"/>
            </v:line>
            <v:line style="position:absolute" from="5794,9144" to="5805,9144" stroked="true" strokeweight=".55384pt" strokecolor="#b2b2b2">
              <v:stroke dashstyle="solid"/>
            </v:line>
            <v:line style="position:absolute" from="5799,9149" to="5794,9161" stroked="true" strokeweight=".55387pt" strokecolor="#b2b2b2">
              <v:stroke dashstyle="solid"/>
            </v:line>
            <v:line style="position:absolute" from="5677,9141" to="5733,9141" stroked="true" strokeweight=".83079pt" strokecolor="#b2b2b2">
              <v:stroke dashstyle="solid"/>
            </v:line>
            <v:shape style="position:absolute;left:5632;top:9138;width:50;height:6" coordorigin="5633,9138" coordsize="50,6" path="m5683,9138l5650,9144m5650,9144l5633,9144e" filled="false" stroked="true" strokeweight=".55387pt" strokecolor="#b2b2b2">
              <v:path arrowok="t"/>
              <v:stroke dashstyle="solid"/>
            </v:shape>
            <v:line style="position:absolute" from="5722,9136" to="5733,9136" stroked="true" strokeweight=".83076pt" strokecolor="#b2b2b2">
              <v:stroke dashstyle="solid"/>
            </v:line>
            <v:line style="position:absolute" from="5722,9125" to="5733,9125" stroked="true" strokeweight=".27692pt" strokecolor="#b2b2b2">
              <v:stroke dashstyle="solid"/>
            </v:line>
            <v:shape style="position:absolute;left:5727;top:9044;width:211;height:78" coordorigin="5727,9044" coordsize="211,78" path="m5727,9122l5733,9094m5733,9094l5738,9083m5738,9083l5738,9083m5738,9083l5738,9077,5738,9072,5744,9066,5749,9061,5755,9061m5755,9061l5805,9050m5805,9050l5821,9044m5915,9066l5938,9055m5915,9066l5910,9061,5910,9055,5904,9050,5899,9044,5893,9044,5888,9044m5888,9044l5821,9044e" filled="false" stroked="true" strokeweight=".55387pt" strokecolor="#b2b2b2">
              <v:path arrowok="t"/>
              <v:stroke dashstyle="solid"/>
            </v:shape>
            <v:shape style="position:absolute;left:916;top:4732;width:7553;height:13578" type="#_x0000_t75" stroked="false">
              <v:imagedata r:id="rId93" o:title=""/>
            </v:shape>
            <v:shape style="position:absolute;left:5422;top:20037;width:294;height:150" coordorigin="5422,20038" coordsize="294,150" path="m5561,20071l5506,20049m5506,20049l5472,20038m5472,20038l5445,20038m5422,20176l5461,20182,5506,20182,5528,20187,5555,20187m5555,20187l5572,20187m5572,20187l5589,20187,5600,20187m5600,20187l5633,20182m5633,20182l5683,20165m5683,20165l5710,20160m5710,20160l5716,20154e" filled="false" stroked="true" strokeweight=".55387pt" strokecolor="#b2b2b2">
              <v:path arrowok="t"/>
              <v:stroke dashstyle="solid"/>
            </v:shape>
            <v:line style="position:absolute" from="5417,20171" to="5428,20171" stroked="true" strokeweight=".55384pt" strokecolor="#b2b2b2">
              <v:stroke dashstyle="solid"/>
            </v:line>
            <v:line style="position:absolute" from="5422,20165" to="5428,20143" stroked="true" strokeweight=".55387pt" strokecolor="#b2b2b2">
              <v:stroke dashstyle="solid"/>
            </v:line>
            <v:line style="position:absolute" from="5422,20135" to="5434,20135" stroked="true" strokeweight=".83076pt" strokecolor="#b2b2b2">
              <v:stroke dashstyle="solid"/>
            </v:line>
            <v:shape style="position:absolute;left:5427;top:20049;width:17;height:78" coordorigin="5428,20049" coordsize="17,78" path="m5428,20127l5439,20104m5439,20104l5439,20077m5439,20077l5445,20049e" filled="false" stroked="true" strokeweight=".55387pt" strokecolor="#b2b2b2">
              <v:path arrowok="t"/>
              <v:stroke dashstyle="solid"/>
            </v:shape>
            <v:line style="position:absolute" from="5445,19983" to="5445,20049" stroked="true" strokeweight=".55387pt" strokecolor="#b2b2b2">
              <v:stroke dashstyle="solid"/>
            </v:line>
            <v:shape style="position:absolute;left:5444;top:19511;width:7145;height:2975" coordorigin="5445,19512" coordsize="7145,2975" path="m5445,19983l5450,19966m5716,20154l5727,20149m5727,20149l5738,20138m5738,20138l5749,20115m5749,20115l5755,20104m12462,22486l12506,22458m12506,22458l12529,22442m12529,22442l12540,22425m12540,22425l12556,22403m12556,22403l12562,22408,12567,22408,12573,22408,12578,22403,12584,22403,12584,22397,12590,22397m8347,19512l8369,19540m8369,19540l8397,19567m8397,19567l8413,19584m8413,19584l8463,19623m8463,19623l8469,19623,8474,19628,8480,19634,8485,19639,8485,19645,8491,19650,8496,19656,8502,19661,8502,19667,8508,19672,8508,19678,8508,19683,8513,19689,8513,19695,8513,19700,8519,19706,8519,19711,8519,19717,8519,19722,8519,19728,8519,19733,8519,19739,8519,19744e" filled="false" stroked="true" strokeweight=".55387pt" strokecolor="#b2b2b2">
              <v:path arrowok="t"/>
              <v:stroke dashstyle="solid"/>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1.93856pt" strokecolor="#000000">
              <v:path arrowok="t"/>
              <v:stroke dashstyle="solid"/>
            </v:shape>
            <v:shape style="position:absolute;left:9579;top:5939;width:172;height:128" type="#_x0000_t75" stroked="false">
              <v:imagedata r:id="rId94"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1.93856pt" strokecolor="#000000">
              <v:path arrowok="t"/>
              <v:stroke dashstyle="solid"/>
            </v:shape>
            <v:shape style="position:absolute;left:13345;top:19265;width:316;height:139" type="#_x0000_t75" stroked="false">
              <v:imagedata r:id="rId95"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1.93856pt" strokecolor="#000000">
              <v:path arrowok="t"/>
              <v:stroke dashstyle="solid"/>
            </v:shape>
            <v:shape style="position:absolute;left:9778;top:9977;width:122;height:128" type="#_x0000_t75" stroked="false">
              <v:imagedata r:id="rId96" o:title=""/>
            </v:shape>
            <v:shape style="position:absolute;left:700;top:16108;width:11122;height:7527" type="#_x0000_t75" stroked="false">
              <v:imagedata r:id="rId97" o:title=""/>
            </v:shape>
            <v:shape style="position:absolute;left:720;top:16127;width:4509;height:5212" coordorigin="720,16128" coordsize="4509,5212" path="m4708,20187l4658,20071,4553,19789,4492,19623,3966,18155,3827,17861,3700,17673,3512,17479,2243,16571m2243,16571l2238,16565,2232,16565,2227,16560,2221,16554,2215,16554,2210,16549,2204,16543,2199,16543,2193,16538,2188,16532,2182,16532,2177,16527,2171,16521,2166,16521,2160,16516,2155,16510,2149,16510,2143,16504,2138,16499,2132,16499,2127,16493,2121,16488,2116,16488,2110,16482,2105,16482,2099,16477,2094,16471,2088,16471,2083,16466,2077,16466,2071,16460,2066,16455,2060,16455,2055,16449,2049,16449,2044,16444,2038,16438,2033,16438,2027,16432,2022,16432,2016,16427,2011,16427,2005,16421,1999,16421,1994,16416,1988,16410,1983,16410,1977,16405,1972,16405,1966,16399,1961,16399,1955,16394,1950,16394,1944,16388,1939,16388,1933,16383,1927,16383,1922,16377,1916,16377,1911,16372,1905,16372,1900,16366,1894,16366,1889,16360,1883,16360,1878,16355,1872,16355,1867,16349,1861,16349,1855,16344,1850,16344,1844,16344,1839,16338,1833,16338,1828,16333,1822,16333,1817,16327,1811,16327,1806,16322,1800,16322,1795,16322,1789,16316,1783,16316,1778,16311,1772,16311,1767,16311,1761,16305,1756,16305,1750,16300,1745,16300,1739,16294,1734,16294,1728,16294,1723,16288,1717,16288,1711,16288,1706,16283,1700,16283,1695,16277,1689,16277,1684,16277,1678,16272,1673,16272,1667,16272,1662,16266,1656,16266,1651,16261,1645,16261,1639,16261,1634,16255,1628,16255,1623,16255,1617,16250,1612,16250,1606,16250,1601,16244,1595,16244,1590,16244,1584,16239,1579,16239,1573,16239,1567,16233,1562,16233,1556,16233,1551,16233,1545,16228,1540,16228,1534,16228,1529,16222,1523,16222,1518,16222,1512,16222,1507,16216,1501,16216,1495,16216,1490,16211,1484,16211,1479,16211,1473,16211,1468,16205,1462,16205,1457,16205,1451,16205,1446,16200,1440,16200,1435,16200,1429,16200,1423,16194,1418,16194,1412,16194,1407,16194,1401,16189,1396,16189,1390,16189,1385,16189,1379,16183,1374,16183,1368,16183,1363,16183,1357,16183,1351,16178,1346,16178,1340,16178,1335,16178,1329,16172,1324,16172,1318,16172,1313,16172,1307,16172,1302,16172,1296,16167,1291,16167,1285,16167,1279,16167,1274,16167,1268,16161,1263,16161,1257,16161,1252,16161,1246,16161,1241,16161,1235,16156,1230,16156,1224,16156,1219,16156,1213,16156,1207,16156,1202,16150,1196,16150,1191,16150,1185,16150,1180,16150,1174,16150,1169,16150,1163,16150,1158,16144,1152,16144,1147,16144,1141,16144,1135,16144,1130,16144,1124,16144,1119,16144,1113,16139,1108,16139,1102,16139,1097,16139,1091,16139,1086,16139,1080,16139,1075,16139,1069,16139,1063,16139,1058,16139,1052,16133,1047,16133,1041,16133,1036,16133,1030,16133,1025,16133,1019,16133,1014,16133,1008,16133,1003,16133,997,16133,991,16133,986,16133,980,16133,975,16133,969,16128,964,16128,958,16128,953,16128,947,16128,942,16128,936,16128,931,16128,925,16128,919,16128,914,16128,908,16128,903,16128,897,16128,892,16128,886,16128,881,16128,875,16128,870,16128,864,16128,859,16128,853,16128,847,16128,842,16128,836,16128,831,16128,825,16128,820,16128,814,16128,809,16128,803,16128,798,16128,792,16128,787,16128,781,16128,775,16128,770,16128,764,16128,759,16128,753,16128,748,16128,742,16133,737,16133,731,16133,726,16133,720,16133m5229,21339l5157,21223,5051,21018,4957,20813m4957,20813l4785,20431,4725,20304e" filled="false" stroked="true" strokeweight="1.93856pt" strokecolor="#c500ff">
              <v:path arrowok="t"/>
              <v:stroke dashstyle="solid"/>
            </v:shape>
            <v:line style="position:absolute" from="13991,19384" to="13991,19279" stroked="true" strokeweight="1.93856pt" strokecolor="#333333">
              <v:stroke dashstyle="solid"/>
            </v:line>
            <v:shape style="position:absolute;left:3021;top:6626;width:11925;height:16317" type="#_x0000_t75" stroked="false">
              <v:imagedata r:id="rId98" o:title=""/>
            </v:shape>
            <v:shape style="position:absolute;left:720;top:4554;width:6398;height:3188" coordorigin="720,4555" coordsize="6398,3188" path="m4891,7743l3528,6701,1473,5129,1014,4774,720,4555m7117,6690l6741,6696,6730,6690,6718,6690,6707,6690,6696,6690,6685,6690,6674,6685,6663,6685,6658,6679,6646,6679,6275,6563,5998,6480m4885,7743l4902,7721,4907,7721,4907,7715,4907,7709,4913,7709,4913,7704,4913,7698,4913,7693,4913,7687,4913,7682,4913,7676,4913,7671,4902,7654,4891,7615,4885,7615,4885,7610,4885,7604,4885,7599,4885,7593,4885,7588,4885,7582,4885,7577,4891,7577,4891,7571,4891,7565,4896,7565,4896,7560,4907,7549,4907,7455,4913,7100,4913,7089,4913,6862e" filled="false" stroked="true" strokeweight="1.93856pt" strokecolor="#333333">
              <v:path arrowok="t"/>
              <v:stroke dashstyle="solid"/>
            </v:shape>
            <v:shape style="position:absolute;left:4705;top:8321;width:217;height:300" type="#_x0000_t75" stroked="false">
              <v:imagedata r:id="rId99" o:title=""/>
            </v:shape>
            <v:line style="position:absolute" from="4905,7956" to="4905,8360" stroked="true" strokeweight="2.21549pt" strokecolor="#333333">
              <v:stroke dashstyle="solid"/>
            </v:line>
            <v:shape style="position:absolute;left:4863;top:7742;width:45;height:233" coordorigin="4863,7743" coordsize="45,233" path="m4907,7975l4907,7970,4907,7964,4907,7959,4907,7953,4907,7948,4907,7942,4907,7937,4907,7931,4902,7925,4902,7920,4902,7914,4902,7909,4902,7903,4896,7898,4896,7892,4896,7887,4891,7881,4891,7876,4891,7870,4885,7865,4885,7859m4885,7859l4863,7809m4863,7809l4863,7804,4863,7798,4863,7793,4863,7787,4863,7781,4863,7776,4869,7770,4869,7765m4869,7765l4885,7743e" filled="false" stroked="true" strokeweight="1.93856pt" strokecolor="#333333">
              <v:path arrowok="t"/>
              <v:stroke dashstyle="solid"/>
            </v:shape>
            <v:shape style="position:absolute;left:6214;top:16532;width:211;height:133" coordorigin="6214,16532" coordsize="211,133" path="m6425,16665l6309,16593,6242,16554,6231,16543,6214,16532e" filled="false" stroked="true" strokeweight="3.04631pt" strokecolor="#ffaa00">
              <v:path arrowok="t"/>
              <v:stroke dashstyle="solid"/>
            </v:shape>
            <v:shape style="position:absolute;left:11094;top:16354;width:327;height:399" coordorigin="11094,16355" coordsize="327,399" path="m11421,16754l11404,16726,11388,16704,11277,16576,11221,16510,11155,16427,11094,16355e" filled="false" stroked="true" strokeweight="3.04631pt" strokecolor="#38a700">
              <v:path arrowok="t"/>
              <v:stroke dashstyle="solid"/>
            </v:shape>
            <v:shape style="position:absolute;left:4962;top:14837;width:5340;height:5450" coordorigin="4963,14837" coordsize="5340,5450" path="m10175,14837l10180,14837,10180,14843,10186,14843,10191,14848,10197,14848,10202,14848,10258,14860,10263,14860,10269,14860,10274,14860,10280,14860,10285,14854,10291,14854,10297,14854,10302,14854,10302,14848m4963,19634l4963,19916,4963,19927,4963,19933,4968,19944,4968,19955m4968,19955l4968,19960,4968,19966,4968,19971,4968,19977,4968,19983,4974,19988,4974,19994,4974,19999,4979,20005,4979,20010,4979,20016,4985,20021,4985,20027,4985,20032,4990,20038,4990,20043,4996,20049,4996,20055,5001,20060,5001,20066,5007,20066m5007,20066l5062,20165m5062,20165l5062,20171,5068,20176,5073,20182,5073,20187,5079,20193,5079,20199,5079,20204,5085,20210,5085,20215,5090,20221,5090,20226,5090,20232,5090,20237,5096,20243,5096,20248,5096,20254,5096,20259,5096,20265,5101,20271,5101,20276,5101,20282,5101,20287e" filled="false" stroked="true" strokeweight="1.93856pt" strokecolor="#333333">
              <v:path arrowok="t"/>
              <v:stroke dashstyle="solid"/>
            </v:shape>
            <v:line style="position:absolute" from="5107,20268" to="5107,20412" stroked="true" strokeweight="2.49243pt" strokecolor="#333333">
              <v:stroke dashstyle="solid"/>
            </v:line>
            <v:shape style="position:absolute;left:5112;top:20392;width:2;height:78" coordorigin="5112,20392" coordsize="0,78" path="m5112,20392l5112,20392,5112,20464,5112,20470e" filled="false" stroked="true" strokeweight="1.93856pt" strokecolor="#333333">
              <v:path arrowok="t"/>
              <v:stroke dashstyle="solid"/>
            </v:shape>
            <v:line style="position:absolute" from="5107,20451" to="5107,20589" stroked="true" strokeweight="2.49243pt" strokecolor="#333333">
              <v:stroke dashstyle="solid"/>
            </v:line>
            <v:shape style="position:absolute;left:5062;top:20569;width:39;height:117" coordorigin="5062,20570" coordsize="39,117" path="m5101,20570l5101,20575,5101,20581,5096,20586,5096,20592,5096,20597,5096,20603,5096,20608,5090,20614,5090,20619,5090,20625,5085,20631,5085,20636,5085,20642,5079,20647,5079,20653,5073,20658,5073,20664,5068,20669,5068,20675,5062,20680,5062,20686e" filled="false" stroked="true" strokeweight="1.93856pt" strokecolor="#333333">
              <v:path arrowok="t"/>
              <v:stroke dashstyle="solid"/>
            </v:shape>
            <v:shape style="position:absolute;left:9421;top:6679;width:250;height:5456" coordorigin="9421,6679" coordsize="250,5456" path="m9427,7006l9421,6951,9421,6895,9421,6679m9671,12135l9671,12002e" filled="false" stroked="true" strokeweight="3.04631pt" strokecolor="#ffaa00">
              <v:path arrowok="t"/>
              <v:stroke dashstyle="solid"/>
            </v:shape>
            <v:shape style="position:absolute;left:10302;top:14848;width:117;height:189" coordorigin="10302,14848" coordsize="117,189" path="m10418,15037l10413,15031,10402,15009,10391,14992,10302,14848e" filled="false" stroked="true" strokeweight="3.04631pt" strokecolor="#c500ff">
              <v:path arrowok="t"/>
              <v:stroke dashstyle="solid"/>
            </v:shape>
            <v:shape style="position:absolute;left:10939;top:16166;width:156;height:189" coordorigin="10939,16167" coordsize="156,189" path="m11094,16355l11066,16322,11061,16322,11028,16283,10983,16222,10939,16167e" filled="false" stroked="true" strokeweight="3.04631pt" strokecolor="#38a700">
              <v:path arrowok="t"/>
              <v:stroke dashstyle="solid"/>
            </v:shape>
            <v:line style="position:absolute" from="10662,19661" to="10745,19661" stroked="true" strokeweight="3.04631pt" strokecolor="#ffaa00">
              <v:stroke dashstyle="solid"/>
            </v:line>
            <v:shape style="position:absolute;left:7745;top:16396;width:178;height:133" type="#_x0000_t75" stroked="false">
              <v:imagedata r:id="rId100" o:title=""/>
            </v:shape>
            <v:shape style="position:absolute;left:8164;top:17506;width:139;height:84" coordorigin="8164,17507" coordsize="139,84" path="m8303,17590l8258,17562,8208,17535,8164,17507e" filled="false" stroked="true" strokeweight="3.04631pt" strokecolor="#ffaa00">
              <v:path arrowok="t"/>
              <v:stroke dashstyle="solid"/>
            </v:shape>
            <v:shape style="position:absolute;left:11888;top:20716;width:161;height:610" type="#_x0000_t75" stroked="false">
              <v:imagedata r:id="rId101" o:title=""/>
            </v:shape>
            <v:shape style="position:absolute;left:10778;top:19893;width:139;height:565" type="#_x0000_t75" stroked="false">
              <v:imagedata r:id="rId102" o:title=""/>
            </v:shape>
            <v:shape style="position:absolute;left:11215;top:17900;width:2817;height:1496" type="#_x0000_t75" stroked="false">
              <v:imagedata r:id="rId103" o:title=""/>
            </v:shape>
            <v:shape style="position:absolute;left:7721;top:13713;width:122;height:804" coordorigin="7721,13713" coordsize="122,804" path="m7821,14516l7821,14488,7821,14477,7821,14472,7810,14461,7793,14455,7776,14461,7771,14472,7760,14466,7749,14466,7743,14466,7738,14472,7727,14483,7727,14488,7727,14500,7727,14516,7821,14516m7743,14500l7743,14494,7749,14483,7754,14483,7760,14483,7765,14494,7765,14500,7743,14500m7782,14500l7782,14494,7782,14483,7782,14477,7793,14472,7799,14477,7804,14483,7804,14494,7804,14500,7782,14500m7749,14450l7815,14422,7843,14433,7843,14416,7749,14372,7749,14389,7793,14411,7749,14428,7749,14450m7776,14361l7793,14361,7793,14328,7776,14328,7776,14361m7749,14289l7749,14306,7843,14306,7843,14289,7810,14289,7821,14278,7821,14267,7821,14256,7810,14245,7799,14239,7782,14234,7771,14239,7754,14245,7749,14256,7749,14267,7749,14278,7754,14289,7749,14289m7765,14272l7765,14261,7771,14256,7776,14256,7782,14250,7793,14256,7799,14256,7804,14261,7804,14272,7804,14278,7799,14284,7793,14289,7782,14289,7776,14289,7771,14284,7765,14278,7765,14272m7749,14167l7754,14167,7749,14178,7743,14189,7749,14200,7754,14212,7765,14217,7782,14223,7799,14217,7810,14212,7815,14200,7821,14189,7815,14178,7810,14167,7815,14167,7815,14151,7743,14151,7749,14167m7760,14184l7760,14178,7765,14173,7771,14167,7782,14167,7787,14167,7799,14173,7799,14178,7804,14184,7799,14189,7799,14200,7787,14200,7782,14206,7771,14200,7765,14200,7760,14195,7760,14184m7754,14090l7749,14101,7743,14117,7749,14123,7749,14128,7760,14134,7765,14140,7776,14134,7787,14117,7787,14112,7793,14106,7799,14106,7804,14112,7799,14123,7793,14128,7804,14140,7815,14128,7821,14117,7815,14106,7810,14095,7804,14090,7799,14090,7782,14095,7776,14101,7776,14106,7771,14112,7765,14117,7765,14123,7760,14117,7760,14112,7760,14106,7765,14101,7754,14090m7754,14034l7743,14040,7743,14056,7743,14062,7749,14073,7754,14079,7765,14079,7776,14073,7782,14062,7787,14056,7793,14051,7793,14045,7799,14051,7799,14056,7799,14062,7793,14068,7804,14079,7815,14068,7815,14056,7815,14045,7810,14034,7804,14029,7793,14029,7782,14034,7776,14040,7771,14045,7771,14056,7765,14062,7760,14062,7760,14056,7760,14051,7765,14040,7754,14034m7721,13979l7815,13973,7815,13957,7771,13957,7771,13929,7815,13924,7815,13907,7721,13907,7721,13929,7754,13929,7754,13957,7721,13957,7721,13979m7743,13890l7815,13868,7815,13857,7776,13840,7815,13824,7815,13813,7743,13791,7743,13807,7782,13818,7743,13835,7743,13846,7782,13863,7743,13874,7743,13890m7743,13785l7804,13757,7837,13774,7837,13757,7743,13713,7743,13730,7787,13752,7743,13768,7743,13785e" filled="false" stroked="true" strokeweight="1.66162pt" strokecolor="#ffffff">
              <v:path arrowok="t"/>
              <v:stroke dashstyle="solid"/>
            </v:shape>
            <v:shape style="position:absolute;left:8889;top:13785;width:156;height:637" type="#_x0000_t75" stroked="false">
              <v:imagedata r:id="rId104" o:title=""/>
            </v:shape>
            <v:shape style="position:absolute;left:7759;top:12622;width:892;height:106" coordorigin="7760,12622" coordsize="892,106" path="m7760,12633l7793,12727,7810,12727,7843,12633,7826,12633,7799,12700,7776,12633,7760,12633m7904,12655l7904,12661,7893,12655,7882,12650,7871,12655,7859,12661,7854,12672,7848,12688,7854,12705,7859,12716,7871,12722,7882,12727,7893,12722,7904,12716,7904,12722,7920,12722,7920,12655,7904,12655m7887,12666l7893,12666,7898,12672,7904,12677,7904,12688,7904,12694,7898,12705,7893,12705,7887,12711,7876,12705,7871,12705,7871,12694,7865,12688,7871,12677,7871,12672,7876,12666,7887,12666m7943,12655l7943,12722,7959,12722,7959,12694,7959,12688,7959,12683,7965,12672,7976,12666,7981,12672,7987,12677,7987,12683,7987,12694,7987,12722,8003,12722,8003,12677,8003,12666,7998,12661,7987,12655,7981,12650,7970,12655,7959,12661,7959,12655,7943,12655m8153,12644l8142,12633,8131,12628,8109,12628,8087,12628,8070,12644,8064,12655,8059,12677,8059,12688,8064,12700,8075,12711,8087,12722,8098,12722,8109,12727,8125,12722,8136,12722,8142,12711,8153,12705,8159,12688,8159,12677,8109,12677,8109,12694,8136,12694,8131,12700,8125,12705,8109,12711,8098,12705,8087,12700,8081,12688,8075,12677,8081,12661,8087,12655,8098,12644,8109,12644,8125,12644,8136,12655,8153,12644m8181,12622l8170,12628,8170,12633,8170,12644,8181,12644,8186,12644,8192,12633,8186,12628,8181,12622m8170,12655l8170,12722,8186,12722,8186,12655,8170,12655m8275,12694l8275,12688,8275,12672,8264,12661,8253,12655,8236,12650,8225,12655,8214,12661,8203,12672,8203,12688,8203,12705,8214,12716,8225,12722,8242,12727,8258,12722,8264,12716,8269,12711,8258,12705,8247,12705,8242,12711,8231,12711,8225,12705,8219,12694,8275,12694m8258,12677l8219,12677,8225,12672,8242,12666,8253,12672,8258,12677m8330,12661l8325,12655,8308,12650,8303,12655,8291,12655,8286,12666,8286,12672,8291,12683,8303,12694,8308,12694,8314,12700,8319,12705,8314,12705,8308,12711,8303,12705,8297,12700,8286,12711,8297,12722,8308,12727,8319,12722,8325,12716,8330,12711,8336,12705,8330,12688,8325,12688,8314,12683,8308,12677,8303,12672,8303,12666,8308,12666,8314,12666,8319,12672,8330,12661m8419,12694l8419,12688,8419,12672,8408,12661,8397,12655,8380,12650,8369,12655,8358,12661,8347,12672,8347,12688,8347,12705,8358,12716,8369,12722,8386,12727,8402,12722,8408,12716,8413,12711,8402,12705,8391,12705,8386,12711,8375,12711,8369,12705,8363,12694,8419,12694m8402,12677l8363,12677,8369,12672,8386,12666,8397,12672,8402,12677m8435,12655l8435,12722,8452,12722,8452,12694,8452,12688,8452,12683,8458,12672,8469,12666,8474,12672,8480,12677,8480,12683,8480,12694,8480,12722,8496,12722,8496,12677,8496,12666,8491,12661,8480,12655,8474,12650,8463,12655,8452,12661,8452,12655,8435,12655m8602,12639l8596,12633,8585,12628,8574,12622,8563,12628,8557,12633,8552,12639,8546,12650,8546,12655,8552,12661,8557,12672,8574,12683,8580,12688,8585,12688,8585,12700,8580,12705,8574,12705,8563,12705,8557,12694,8541,12705,8546,12711,8557,12716,8563,12722,8574,12722,8585,12722,8596,12716,8602,12705,8602,12694,8602,12683,8591,12672,8580,12661,8568,12655,8568,12650,8563,12644,8568,12644,8574,12639,8580,12644,8585,12650,8602,12639m8624,12622l8624,12650,8613,12650,8613,12666,8624,12666,8624,12722,8640,12722,8640,12666,8652,12666,8652,12650,8640,12650,8640,12622,8624,12622e" filled="false" stroked="true" strokeweight="1.66162pt" strokecolor="#ffffff">
              <v:path arrowok="t"/>
              <v:stroke dashstyle="solid"/>
            </v:shape>
            <v:shape style="position:absolute;left:9759;top:12339;width:344;height:732" type="#_x0000_t75" stroked="false">
              <v:imagedata r:id="rId105" o:title=""/>
            </v:shape>
            <v:shape style="position:absolute;left:6951;top:7028;width:3349;height:4836" type="#_x0000_t75" stroked="false">
              <v:imagedata r:id="rId106" o:title=""/>
            </v:shape>
            <v:shape style="position:absolute;left:11105;top:19478;width:698;height:172" type="#_x0000_t75" stroked="false">
              <v:imagedata r:id="rId107" o:title=""/>
            </v:shape>
            <v:shape style="position:absolute;left:8565;top:14327;width:2227;height:1881" type="#_x0000_t75" stroked="false">
              <v:imagedata r:id="rId108" o:title=""/>
            </v:shape>
            <v:shape style="position:absolute;left:7942;top:6535;width:953;height:128" coordorigin="7943,6535" coordsize="953,128" path="m7943,6541l7948,6635,7965,6635,7965,6596,7998,6596,7998,6635,8015,6635,8015,6541,7998,6541,7998,6580,7965,6580,7965,6541,7943,6541m8064,6563l8053,6569,8042,6574,8031,6585,8031,6602,8031,6618,8042,6629,8053,6635,8064,6641,8075,6635,8087,6635,8098,6618,8103,6613,8103,6602,8103,6591,8098,6585,8087,6569,8075,6569,8064,6563m8064,6580l8075,6585,8081,6585,8081,6596,8087,6602,8081,6613,8081,6618,8075,6624,8064,6624,8059,6624,8053,6618,8048,6613,8048,6602,8048,6596,8053,6585,8059,6585,8064,6580m8109,6569l8109,6635,8125,6635,8125,6607,8131,6591,8131,6585,8131,6580,8136,6580,8142,6580,8147,6569,8142,6563,8131,6569,8125,6574,8125,6569,8109,6569m8159,6569l8159,6635,8175,6635,8175,6607,8175,6602,8181,6596,8186,6585,8192,6580,8197,6585,8203,6591,8203,6596,8203,6607,8203,6635,8225,6635,8219,6591,8219,6580,8214,6574,8208,6569,8197,6563,8186,6569,8175,6574,8175,6569,8159,6569m8280,6541l8280,6635,8297,6635,8297,6596,8319,6635,8341,6635,8319,6596,8330,6585,8336,6580,8336,6569,8330,6552,8319,6546,8308,6541,8297,6541,8280,6541m8297,6580l8297,6557,8303,6557,8314,6563,8319,6569,8314,6580,8308,6580,8303,6580,8297,6580m8402,6569l8402,6574,8391,6569,8380,6563,8369,6569,8358,6574,8352,6585,8347,6602,8352,6618,8358,6629,8369,6635,8380,6641,8391,6635,8402,6629,8402,6635,8419,6635,8419,6569,8402,6569m8386,6580l8391,6585,8397,6585,8402,6596,8402,6602,8402,6613,8397,6618,8391,6624,8386,6624,8380,6624,8375,6618,8369,6613,8369,6602,8369,6596,8369,6585,8380,6585,8386,6580m8458,6569l8441,6569,8441,6663,8458,6663,8458,6629,8469,6635,8480,6641,8491,6635,8502,6629,8513,6618,8513,6602,8513,6585,8502,6574,8491,6569,8480,6563,8469,6569,8458,6574,8458,6569m8474,6580l8485,6585,8491,6585,8496,6596,8496,6602,8496,6613,8491,6618,8485,6624,8474,6624,8469,6624,8463,6618,8458,6613,8458,6602,8458,6596,8463,6585,8469,6585,8474,6580m8535,6535l8530,6541,8524,6546,8530,6557,8535,6557,8546,6557,8546,6546,8546,6541,8535,6535m8530,6563l8530,6635,8546,6635,8546,6563,8530,6563m8613,6535l8613,6574,8607,6563,8591,6563,8580,6563,8568,6574,8563,6585,8563,6602,8563,6613,8568,6624,8580,6635,8596,6635,8607,6635,8613,6629,8613,6635,8635,6635,8635,6535,8613,6535m8596,6580l8607,6580,8613,6585,8613,6591,8618,6602,8613,6607,8613,6613,8607,6618,8596,6618,8591,6618,8585,6613,8580,6607,8580,6602,8580,6591,8585,6585,8591,6580,8596,6580m8696,6574l8685,6569,8674,6563,8663,6563,8657,6569,8652,6574,8652,6585,8652,6596,8668,6602,8674,6607,8679,6613,8679,6618,8674,6618,8663,6618,8657,6613,8646,6624,8657,6635,8674,6635,8685,6635,8690,6629,8696,6624,8696,6613,8690,6602,8690,6596,8679,6591,8674,6591,8668,6585,8668,6580,8674,6580,8679,6580,8685,6585,8696,6574m8751,6541l8751,6635,8768,6635,8768,6596,8790,6635,8812,6635,8790,6591,8801,6585,8807,6574,8807,6569,8801,6552,8790,6541,8784,6541,8768,6541,8751,6541m8768,6580l8768,6557,8773,6557,8784,6557,8784,6563,8790,6569,8784,6574,8779,6574,8773,6580,8768,6580m8873,6535l8873,6574,8862,6563,8851,6563,8840,6563,8829,6574,8823,6585,8818,6602,8823,6613,8829,6624,8840,6635,8851,6635,8868,6635,8873,6629,8873,6635,8895,6635,8890,6535,8873,6535m8856,6580l8862,6580,8873,6585,8873,6591,8873,6602,8873,6607,8873,6613,8862,6618,8856,6618,8851,6618,8845,6613,8840,6607,8840,6602,8840,6591,8845,6585,8851,6580,8856,6580e" filled="false" stroked="true" strokeweight="1.66162pt" strokecolor="#ffffff">
              <v:path arrowok="t"/>
              <v:stroke dashstyle="solid"/>
            </v:shape>
            <v:shape style="position:absolute;left:8014;top:17911;width:2543;height:1806" type="#_x0000_t75" stroked="false">
              <v:imagedata r:id="rId109" o:title=""/>
            </v:shape>
            <v:shape style="position:absolute;left:8330;top:13209;width:161;height:720" type="#_x0000_t75" stroked="false">
              <v:imagedata r:id="rId110" o:title=""/>
            </v:shape>
            <v:shape style="position:absolute;left:12118;top:19849;width:277;height:726" type="#_x0000_t75" stroked="false">
              <v:imagedata r:id="rId111" o:title=""/>
            </v:shape>
            <v:shape style="position:absolute;left:9759;top:16028;width:599;height:133" type="#_x0000_t75" stroked="false">
              <v:imagedata r:id="rId112" o:title=""/>
            </v:shape>
            <v:shape style="position:absolute;left:10191;top:22319;width:593;height:139" type="#_x0000_t75" stroked="false">
              <v:imagedata r:id="rId113" o:title=""/>
            </v:shape>
            <v:shape style="position:absolute;left:8850;top:13369;width:139;height:100" coordorigin="8851,13370" coordsize="139,100" path="m8851,13375l8873,13469,8895,13469,8906,13408,8928,13469,8945,13469,8967,13375,8945,13375,8934,13436,8917,13375,8901,13375,8884,13436,8873,13375,8851,13375m8978,13370l8973,13375,8967,13381,8973,13392,8978,13392,8989,13392,8989,13381,8989,13375,8978,13370e" filled="false" stroked="true" strokeweight="1.66162pt" strokecolor="#ffffff">
              <v:path arrowok="t"/>
              <v:stroke dashstyle="solid"/>
            </v:shape>
            <v:line style="position:absolute" from="8973,13381" to="8973,13486" stroked="true" strokeweight="1.66162pt" strokecolor="#ffffff">
              <v:stroke dashstyle="solid"/>
            </v:line>
            <v:line style="position:absolute" from="9006,13353" to="9006,13486" stroked="true" strokeweight="1.66162pt" strokecolor="#ffffff">
              <v:stroke dashstyle="solid"/>
            </v:line>
            <v:shape style="position:absolute;left:9039;top:13364;width:632;height:106" coordorigin="9039,13364" coordsize="632,106" path="m9039,13370l9039,13469,9056,13469,9056,13370,9039,13370m9084,13370l9072,13370,9072,13381,9072,13386,9084,13392,9089,13386,9095,13381,9089,13370,9084,13370m9072,13397l9072,13464,9089,13464,9089,13397,9072,13397m9156,13397l9156,13403,9144,13397,9133,13392,9117,13397,9106,13403,9100,13420,9100,13431,9100,13447,9111,13458,9117,13464,9133,13469,9144,13464,9156,13458,9156,13464,9172,13464,9172,13397,9156,13397m9133,13408l9144,13414,9150,13414,9150,13425,9156,13431,9156,13442,9150,13447,9144,13453,9133,13453,9128,13453,9122,13447,9117,13442,9117,13431,9117,13425,9122,13414,9128,13414,9133,13408m9189,13397l9189,13464,9211,13464,9205,13436,9211,13425,9211,13420,9216,13414,9222,13408,9228,13414,9233,13420,9233,13425,9233,13431,9233,13464,9255,13464,9255,13436,9255,13425,9255,13420,9261,13414,9266,13408,9277,13414,9277,13420,9277,13431,9283,13464,9300,13464,9300,13425,9300,13414,9294,13408,9288,13397,9272,13392,9261,13397,9250,13408,9244,13397,9228,13392,9216,13397,9205,13403,9205,13397,9189,13397m9360,13403l9349,13397,9338,13392,9327,13392,9322,13397,9316,13403,9316,13414,9322,13425,9333,13436,9338,13436,9344,13442,9344,13447,9338,13447,9333,13447,9322,13442,9311,13453,9322,13464,9338,13464,9349,13464,9355,13458,9360,13453,9360,13442,9360,13431,9355,13425,9344,13420,9338,13420,9333,13414,9333,13408,9338,13408,9344,13408,9349,13414,9360,13403m9416,13464l9438,13464,9449,13464,9460,13458,9471,13453,9471,13436,9471,13420,9466,13414,9455,13408,9466,13403,9466,13392,9466,13386,9460,13381,9449,13370,9438,13370,9427,13370,9410,13370,9416,13464m9432,13386l9438,13386,9444,13386,9449,13397,9444,13403,9432,13408,9432,13386m9432,13420l9444,13425,9449,13425,9455,13431,9455,13436,9449,13442,9444,13447,9438,13447,9432,13447,9432,13420m9488,13364l9488,13464,9504,13464,9504,13364,9488,13364m9516,13392l9549,13464,9560,13464,9588,13392,9571,13392,9554,13431,9532,13392,9516,13392m9654,13364l9654,13397,9643,13392,9632,13392,9615,13392,9610,13397,9599,13414,9599,13425,9599,13442,9610,13453,9621,13458,9632,13464,9643,13458,9654,13453,9654,13458,9671,13458,9671,13364,9654,13364m9632,13403l9643,13408,9648,13408,9654,13420,9654,13425,9654,13436,9648,13442,9643,13447,9637,13447,9626,13447,9621,13442,9615,13436,9615,13425,9615,13420,9621,13414,9626,13408,9632,13403e" filled="false" stroked="true" strokeweight="1.66162pt" strokecolor="#ffffff">
              <v:path arrowok="t"/>
              <v:stroke dashstyle="solid"/>
            </v:shape>
            <v:shape style="position:absolute;left:6613;top:11863;width:133;height:599" type="#_x0000_t75" stroked="false">
              <v:imagedata r:id="rId114" o:title=""/>
            </v:shape>
            <v:shape style="position:absolute;left:4713;top:7133;width:3761;height:10141" coordorigin="4713,7133" coordsize="3761,10141" path="m4713,8103l4730,8103,4730,8086,4808,8092,4808,8069,4730,8069,4730,8053,4713,8053,4713,8103m4741,8053l4813,8025,4813,8014,4769,7997,4813,7986,4813,7975,4741,7948,4741,7964,4780,7981,4741,7992,4741,8003,4780,8020,4741,8031,4741,8053m4713,7931l4713,7937,4725,7942,4730,7937,4736,7931,4730,7920,4725,7920,4713,7920,4713,7931m4741,7937l4813,7942,4813,7920,4741,7920,4741,7937m4741,7903l4813,7903,4813,7887,4785,7887,4774,7887,4769,7887,4758,7881,4758,7870,4758,7865,4763,7859,4769,7859,4780,7859,4813,7859,4813,7842,4763,7842,4752,7842,4747,7848,4741,7853,4741,7865,4741,7876,4747,7887,4741,7887,4741,7903m4813,7787l4813,7759,4813,7748,4813,7743,4802,7732,4785,7726,4774,7732,4763,7743,4752,7737,4741,7732,4736,7737,4730,7737,4719,7754,4719,7759,4719,7770,4719,7787,4813,7787m4736,7770l4736,7765,4741,7754,4747,7754,4752,7754,4758,7765,4758,7770,4736,7770m4774,7770l4774,7765,4774,7754,4774,7748,4785,7743,4791,7748,4797,7754,4797,7765,4797,7770,4774,7770m4741,7715l4813,7715,4813,7698,4785,7698,4780,7698,4769,7698,4763,7698,4758,7693,4758,7687,4758,7682,4741,7676,4741,7687,4747,7693,4752,7698,4741,7698,4741,7715m4713,7660l4719,7665,4725,7671,4736,7665,4736,7660,4736,7649,4725,7649,4719,7649,4713,7660m4741,7665l4813,7671,4813,7649,4741,7649,4741,7665m4719,7588l4752,7588,4747,7599,4741,7610,4747,7621,4752,7632,4763,7643,4780,7643,4791,7643,4802,7632,4813,7621,4813,7610,4813,7599,4808,7588,4813,7588,4813,7571,4719,7571,4719,7588m4758,7604l4758,7599,4763,7593,4769,7588,4780,7588,4785,7588,4797,7593,4797,7599,4797,7604,4797,7615,4791,7621,4785,7626,4780,7626,4769,7626,4763,7621,4758,7615,4758,7604m4747,7499l4752,7499,4747,7510,4747,7521,4747,7532,4752,7543,4763,7554,4780,7554,4797,7554,4808,7543,4813,7532,4819,7521,4813,7510,4808,7499,4813,7499,4819,7505,4824,7510,4830,7521,4824,7527,4819,7538,4819,7554,4835,7549,4841,7538,4841,7521,4841,7505,4830,7488,4824,7482,4808,7482,4747,7482,4747,7499m4763,7516l4763,7510,4769,7505,4774,7499,4780,7499,4791,7499,4797,7505,4797,7510,4802,7516,4797,7527,4797,7532,4785,7538,4780,7538,4774,7538,4769,7532,4763,7527,4763,7516m4785,7394l4769,7394,4752,7405,4747,7416,4747,7427,4747,7444,4752,7455,4769,7466,4780,7466,4797,7466,4808,7455,4813,7444,4819,7427,4813,7410,4808,7405,4802,7399,4797,7410,4802,7421,4802,7427,4797,7444,4785,7449,4785,7394m4774,7410l4774,7449,4763,7444,4758,7427,4763,7416,4774,7410m4758,7333l4747,7338,4741,7355,4747,7361,4752,7372,4758,7377,4763,7377,4774,7372,4785,7361,4791,7355,4791,7349,4797,7344,4802,7349,4802,7355,4802,7361,4791,7366,4808,7377,4813,7372,4819,7355,4819,7344,4813,7338,4808,7333,4797,7327,4785,7333,4780,7338,4774,7349,4769,7355,4769,7361,4763,7361,4758,7355,4763,7349,4769,7344,4758,7333m4725,7272l4819,7277,4819,7255,4780,7255,4819,7233,4819,7217,4774,7239,4769,7222,4752,7217,4736,7222,4725,7233,4725,7244,4725,7255,4725,7272m4763,7255l4741,7255,4741,7250,4741,7244,4747,7239,4752,7233,4758,7239,4758,7244,4763,7250,4763,7255m4719,7150l4758,7150,4747,7161,4747,7172,4747,7183,4758,7194,4769,7200,4785,7205,4797,7200,4808,7194,4819,7183,4819,7172,4819,7161,4813,7150,4819,7150,4819,7133,4719,7133,4719,7150m4763,7167l4763,7161,4769,7156,4774,7150,4785,7150,4791,7150,4797,7156,4802,7161,4802,7167,4802,7178,4797,7183,4791,7183,4785,7189,4774,7183,4769,7183,4763,7178,4763,7167m6835,16804l6879,16887,6896,16876,6912,16870,6918,16864,6929,16848,6929,16831,6923,16809,6918,16798,6907,16792,6896,16787,6885,16781,6868,16787,6851,16792,6835,16804m6857,16809l6862,16804,6879,16804,6890,16804,6901,16809,6907,16820,6912,16826,6912,16837,6907,16848,6901,16853,6896,16859,6885,16864,6857,16809m6923,16781l6935,16809,6946,16820,6951,16831,6957,16837,6962,16837,6973,16837,6984,16831,6990,16831,6995,16820,7001,16815,7001,16804,6995,16798,6990,16781,6979,16754,6962,16765,6979,16792,6979,16804,6984,16809,6984,16815,6973,16820,6968,16820,6962,16815,6957,16815,6957,16804,6940,16776,6923,16781m7012,16737l6995,16743,7040,16831,7056,16820,7040,16792,7056,16792,7067,16792,7073,16781,7084,16770,7084,16759,7079,16743,7067,16732,7056,16726,7045,16720,7034,16726,7023,16732,7018,16743,7012,16737m7034,16743l7045,16737,7051,16743,7056,16743,7062,16754,7067,16759,7062,16765,7062,16776,7056,16776,7045,16781,7040,16781,7034,16776,7029,16770,7029,16759,7029,16754,7029,16748,7034,16743m7106,16693l7095,16698,7090,16709,7084,16726,7090,16737,7101,16754,7112,16759,7123,16759,7139,16754,7156,16743,7156,16737,7162,16726,7156,16715,7156,16704,7145,16693,7134,16687,7123,16687,7117,16687,7106,16693m7112,16704l7123,16704,7128,16704,7134,16709,7139,16715,7145,16720,7139,16732,7139,16737,7134,16743,7123,16743,7117,16743,7112,16737,7106,16732,7101,16726,7106,16715,7106,16709,7112,16704m7151,16671l7178,16732,7195,16726,7184,16698,7178,16698,7178,16687,7173,16676,7178,16671,7184,16671,7184,16654,7173,16654,7167,16660,7167,16671,7162,16665,7151,16671m7178,16626l7195,16648,7184,16654,7189,16665,7200,16660,7223,16709,7239,16704,7217,16654,7223,16648,7217,16637,7206,16643,7195,16615,7178,16626m7272,16610l7278,16615,7261,16615,7250,16615,7239,16626,7234,16637,7234,16648,7239,16665,7250,16676,7261,16682,7272,16687,7283,16682,7295,16676,7300,16665,7306,16671,7322,16665,7289,16599,7272,16610m7261,16632l7272,16626,7278,16632,7283,16632,7289,16637,7289,16648,7289,16654,7289,16665,7283,16665,7272,16671,7267,16671,7261,16665,7256,16660,7250,16648,7250,16643,7256,16637,7261,16632m7295,16565l7289,16571,7289,16576,7300,16582,7306,16582,7311,16576,7311,16565,7306,16560,7295,16565m7300,16593l7333,16654,7350,16648,7317,16582,7300,16593m7322,16554l7367,16643,7378,16632,7339,16543,7322,16554m7433,16510l7416,16510,7405,16510,7394,16516,7389,16527,7389,16538,7389,16543,7400,16554,7411,16560,7427,16565,7439,16565,7444,16565,7450,16571,7450,16576,7439,16582,7433,16588,7422,16582,7411,16593,7422,16599,7433,16604,7439,16604,7450,16599,7461,16593,7466,16582,7466,16571,7461,16565,7455,16554,7444,16549,7439,16549,7427,16543,7416,16543,7411,16538,7405,16538,7405,16532,7411,16527,7416,16527,7427,16527,7433,16510m7450,16493l7461,16516,7450,16516,7455,16532,7466,16527,7488,16576,7505,16571,7483,16521,7488,16516,7483,16499,7472,16504,7461,16482,7450,16493m8048,16488l8064,16493,8081,16488,8098,16477,8109,16460,8114,16438,8109,16421,8098,16410,8092,16399,8081,16394,8064,16394,8053,16394,8042,16394,8026,16410,8015,16427,8009,16444,8015,16460,8026,16471,8031,16482,8026,16493,8037,16516,8048,16488m8053,16471l8064,16460,8053,16438,8042,16466,8031,16455,8031,16444,8031,16432,8037,16421,8048,16410,8059,16410,8075,16410,8087,16416,8092,16427,8092,16438,8092,16449,8087,16460,8075,16471,8064,16471,8053,16471m8109,16488l8087,16504,8070,16510,8064,16516,8059,16521,8053,16527,8053,16538,8059,16549,8064,16554,8070,16560,8075,16565,8087,16565,8098,16565,8109,16560,8136,16543,8131,16532,8098,16543,8092,16549,8087,16549,8081,16549,8075,16543,8070,16532,8075,16527,8081,16527,8087,16521,8120,16504,8109,16488m8136,16643l8136,16637,8153,16632,8159,16615,8164,16604,8159,16588,8147,16576,8136,16571,8125,16565,8109,16571,8098,16582,8087,16593,8087,16604,8092,16621,8098,16632,8103,16637,8120,16643,8120,16626,8109,16621,8103,16615,8103,16604,8103,16599,8109,16593,8109,16588,8136,16643m8142,16621l8125,16582,8136,16588,8142,16593,8147,16610,8142,16621m8175,16720l8192,16709,8197,16698,8203,16682,8197,16665,8186,16654,8175,16648,8159,16648,8147,16648,8136,16660,8125,16671,8125,16687,8131,16698,8136,16709,8142,16715,8159,16720,8159,16704,8147,16698,8142,16693,8142,16687,8142,16682,8142,16671,8147,16671,8175,16720m8181,16698l8164,16665,8175,16665,8181,16676,8186,16687,8181,16698m8214,16715l8153,16743,8159,16759,8186,16748,8192,16748,8197,16743,8208,16743,8219,16754,8219,16759,8214,16765,8208,16770,8197,16770,8170,16787,8181,16804,8219,16781,8231,16776,8236,16770,8236,16759,8236,16748,8231,16743,8219,16732,8225,16732,8214,16715m8264,16831l8264,16820,8264,16809,8258,16798,8253,16792,8242,16792,8236,16792,8225,16804,8219,16820,8219,16826,8219,16831,8219,16837,8214,16837,8208,16831,8208,16826,8208,16815,8197,16809,8192,16826,8197,16837,8203,16848,8208,16853,8219,16853,8225,16853,8236,16842,8236,16837,8236,16826,8236,16820,8242,16815,8242,16809,8247,16809,8247,16815,8247,16820,8247,16826,8264,16831m8297,16887l8291,16892,8291,16876,8291,16864,8286,16853,8275,16848,8258,16848,8242,16853,8231,16859,8225,16870,8225,16887,8225,16898,8231,16909,8242,16914,8231,16914,8225,16914,8214,16903,8214,16892,8214,16887,8208,16870,8197,16881,8197,16898,8203,16914,8214,16925,8225,16931,8236,16936,8253,16931,8308,16903,8297,16887m8275,16876l8280,16887,8280,16892,8275,16898,8269,16903,8258,16903,8253,16903,8247,16898,8242,16892,8242,16887,8242,16881,8247,16870,8253,16870,8258,16864,8269,16864,8275,16870,8275,16876m8336,16964l8330,16970,8330,16959,8330,16948,8319,16936,8308,16931,8297,16925,8280,16931,8269,16942,8264,16953,8258,16964,8264,16975,8269,16986,8280,16992,8275,16997,8280,17014,8347,16981,8336,16964m8314,16953l8319,16964,8319,16970,8314,16975,8308,16981,8297,16986,8291,16981,8280,16981,8280,16975,8275,16964,8280,16959,8280,16953,8291,16948,8297,16948,8303,16948,8314,16948,8314,16953m8375,16992l8352,17003,8347,16992,8336,17003,8336,17008,8286,17031,8297,17047,8347,17025,8352,17036,8363,17025,8358,17020,8380,17008,8375,16992m8363,17114l8380,17103,8386,17092,8386,17080,8386,17064,8375,17053,8363,17042,8347,17042,8336,17047,8325,17053,8314,17069,8314,17080,8319,17097,8325,17103,8330,17108,8347,17119,8347,17103,8336,17097,8330,17092,8330,17080,8330,17075,8330,17069,8336,17064,8363,17114m8369,17092l8352,17058,8363,17058,8369,17069,8375,17080,8369,17092m8441,17136l8358,17175,8369,17197,8375,17208,8380,17219,8391,17230,8413,17230,8430,17224,8447,17219,8452,17208,8458,17197,8463,17186,8458,17175,8452,17152,8441,17136m8435,17158l8441,17164,8441,17180,8441,17191,8435,17202,8424,17208,8413,17213,8408,17213,8397,17208,8391,17202,8386,17191,8380,17186,8435,17158m8458,17224l8397,17258,8402,17274,8430,17263,8430,17258,8441,17252,8452,17252,8458,17258,8458,17263,8474,17263,8474,17252,8469,17247,8458,17247,8469,17241,8458,17224e" filled="false" stroked="true" strokeweight="1.66162pt" strokecolor="#ffffff">
              <v:path arrowok="t"/>
              <v:stroke dashstyle="solid"/>
            </v:shape>
            <v:shape style="position:absolute;left:9266;top:12322;width:133;height:693" type="#_x0000_t75" stroked="false">
              <v:imagedata r:id="rId115" o:title=""/>
            </v:shape>
            <v:shape style="position:absolute;left:7865;top:15009;width:565;height:632" type="#_x0000_t75" stroked="false">
              <v:imagedata r:id="rId116" o:title=""/>
            </v:shape>
            <v:shape style="position:absolute;left:7892;top:14050;width:615;height:144" type="#_x0000_t75" stroked="false">
              <v:imagedata r:id="rId117" o:title=""/>
            </v:shape>
            <v:shape style="position:absolute;left:6402;top:16266;width:765;height:266" coordorigin="6403,16266" coordsize="765,266" path="m6425,16266l6403,16360,6419,16366,6430,16322,6447,16372,6469,16377,6447,16316,6491,16283,6469,16277,6436,16305,6442,16272,6425,16266m6552,16366l6552,16360,6558,16344,6552,16333,6541,16322,6525,16316,6514,16316,6497,16316,6486,16327,6480,16344,6480,16355,6486,16372,6497,16383,6508,16388,6530,16388,6536,16383,6547,16377,6530,16366,6525,16372,6514,16372,6502,16366,6497,16349,6552,16366m6541,16344l6502,16338,6508,16333,6525,16327,6536,16333,6541,16344m6580,16327l6563,16394,6580,16399,6586,16372,6591,16366,6591,16360,6602,16349,6608,16349,6613,16355,6619,16360,6619,16366,6613,16377,6608,16405,6624,16410,6635,16366,6635,16355,6635,16344,6630,16338,6619,16333,6608,16333,6597,16338,6597,16333,6580,16327m6658,16349l6641,16416,6658,16421,6663,16394,6663,16383,6669,16377,6674,16372,6685,16366,6691,16372,6691,16377,6691,16388,6691,16394,6685,16427,6702,16432,6713,16383,6713,16372,6707,16366,6702,16360,6691,16355,6685,16355,6669,16360,6674,16349,6658,16349m6796,16421l6796,16416,6796,16405,6796,16388,6785,16377,6768,16372,6757,16372,6741,16377,6730,16388,6724,16399,6724,16416,6730,16427,6741,16438,6752,16444,6774,16444,6779,16444,6790,16438,6774,16427,6768,16432,6757,16427,6746,16421,6741,16410,6796,16421m6779,16405l6746,16394,6752,16388,6768,16388,6779,16394,6779,16405m6874,16366l6862,16405,6857,16394,6846,16388,6835,16388,6818,16394,6813,16405,6807,16416,6802,16432,6807,16444,6818,16455,6829,16460,6840,16460,6851,16455,6851,16466,6868,16466,6890,16372,6874,16366m6846,16405l6851,16410,6857,16416,6862,16421,6857,16427,6857,16438,6851,16444,6846,16444,6835,16444,6829,16444,6824,16438,6824,16427,6824,16421,6824,16410,6829,16405,6840,16405,6846,16405m6896,16405l6907,16471,6885,16499,6901,16504,6968,16421,6951,16416,6918,16455,6912,16405,6896,16405m7023,16405l7001,16499,7018,16504,7029,16466,7045,16510,7062,16516,7051,16466,7056,16466,7067,16460,7073,16449,7073,16438,7073,16432,7062,16421,7056,16416,7045,16410,7023,16405m7034,16449l7040,16427,7045,16432,7051,16432,7056,16438,7056,16444,7051,16449,7045,16449,7040,16449,7034,16449m7151,16432l7139,16466,7134,16460,7123,16455,7106,16455,7095,16460,7084,16466,7079,16482,7079,16493,7084,16510,7095,16521,7106,16527,7117,16527,7128,16521,7128,16527,7145,16532,7167,16438,7151,16432m7123,16471l7128,16471,7134,16477,7134,16488,7134,16493,7134,16504,7128,16510,7117,16510,7112,16510,7106,16504,7101,16499,7095,16493,7101,16482,7101,16477,7106,16471,7112,16471,7123,16471e" filled="false" stroked="true" strokeweight="1.66162pt" strokecolor="#ffffff">
              <v:path arrowok="t"/>
              <v:stroke dashstyle="solid"/>
            </v:shape>
            <v:shape style="position:absolute;left:4719;top:19650;width:139;height:604" type="#_x0000_t75" stroked="false">
              <v:imagedata r:id="rId118" o:title=""/>
            </v:shape>
            <v:shape style="position:absolute;left:720;top:2879;width:14401;height:20880" coordorigin="720,2880" coordsize="14401,20880" path="m720,13320l720,2880,15121,2880,15121,23760,720,23760,720,13320e" filled="false" stroked="true" strokeweight="1.10775pt" strokecolor="#000000">
              <v:path arrowok="t"/>
              <v:stroke dashstyle="solid"/>
            </v:shape>
            <v:shape style="position:absolute;left:930;top:20314;width:2532;height:3218" coordorigin="931,20315" coordsize="2532,3218" path="m3307,23527l1086,23527,1091,23533,3301,23533,3307,23527xm3329,23522l1063,23522,1069,23527,3323,23527,3329,23522xm3345,23516l1047,23516,1052,23522,3340,23522,3345,23516xm3356,23511l1036,23511,1041,23516,3351,23516,3356,23511xm3368,23505l1025,23505,1030,23511,3362,23511,3368,23505xm3384,23494l1008,23494,1019,23505,3373,23505,3384,23494xm3390,20354l1003,20354,969,20387,969,20392,958,20403,958,20409,953,20415,953,20420,947,20426,947,20431,942,20437,942,20448,936,20453,936,20470,931,20475,931,23372,936,23378,936,23394,942,23400,942,23411,947,23416,947,23422,953,23427,953,23433,958,23439,958,23444,969,23455,969,23461,1003,23494,3390,23494,3423,23461,3423,23455,3434,23444,3434,23439,3440,23433,3440,23427,3445,23422,3445,23416,3451,23411,3451,23400,3456,23394,3456,23378,3462,23372,3462,20475,3456,20470,3456,20453,3451,20448,3451,20437,3445,20431,3445,20426,3440,20420,3440,20415,3434,20409,3434,20403,3423,20392,3423,20387,3390,20354xm3373,20343l1019,20343,1008,20354,3384,20354,3373,20343xm3362,20337l1030,20337,1025,20343,3368,20343,3362,20337xm3351,20331l1041,20331,1036,20337,3356,20337,3351,20331xm3340,20326l1052,20326,1047,20331,3345,20331,3340,20326xm3323,20320l1069,20320,1063,20326,3329,20326,3323,20320xm3301,20315l1091,20315,1086,20320,3307,20320,3301,20315xe" filled="true" fillcolor="#ffffff" stroked="false">
              <v:path arrowok="t"/>
              <v:fill type="solid"/>
            </v:shape>
            <v:line style="position:absolute" from="1257,21085" to="1783,21085" stroked="true" strokeweight="1.93856pt" strokecolor="#333333">
              <v:stroke dashstyle="solid"/>
            </v:line>
            <v:line style="position:absolute" from="1257,21439" to="1783,21439" stroked="true" strokeweight="3.04631pt" strokecolor="#005be5">
              <v:stroke dashstyle="solid"/>
            </v:line>
            <v:line style="position:absolute" from="1257,21788" to="1783,21788" stroked="true" strokeweight="3.04631pt" strokecolor="#38a700">
              <v:stroke dashstyle="solid"/>
            </v:line>
            <v:line style="position:absolute" from="1257,22143" to="1783,22143" stroked="true" strokeweight="3.04631pt" strokecolor="#ffaa00">
              <v:stroke dashstyle="solid"/>
            </v:line>
            <v:line style="position:absolute" from="1257,22497" to="1783,22497" stroked="true" strokeweight="3.04631pt" strokecolor="#c500ff">
              <v:stroke dashstyle="solid"/>
            </v:line>
            <v:line style="position:absolute" from="1257,22851" to="1783,22851" stroked="true" strokeweight="3.04631pt" strokecolor="#ff0000">
              <v:stroke dashstyle="solid"/>
            </v:line>
            <v:line style="position:absolute" from="1257,23206" to="1783,23206" stroked="true" strokeweight="3.04631pt" strokecolor="#724c00">
              <v:stroke dashstyle="solid"/>
            </v:line>
            <v:line style="position:absolute" from="3273,23533" to="1119,23533" stroked="true" strokeweight="1.10775pt" strokecolor="#000000">
              <v:stroke dashstyle="solid"/>
            </v:line>
            <v:shape style="position:absolute;left:919;top:23333;width:211;height:211" type="#_x0000_t75" stroked="false">
              <v:imagedata r:id="rId119" o:title=""/>
            </v:shape>
            <v:line style="position:absolute" from="931,23344" to="931,20503" stroked="true" strokeweight="1.10775pt" strokecolor="#000000">
              <v:stroke dashstyle="solid"/>
            </v:line>
            <v:shape style="position:absolute;left:919;top:20303;width:211;height:211" type="#_x0000_t75" stroked="false">
              <v:imagedata r:id="rId120" o:title=""/>
            </v:shape>
            <v:line style="position:absolute" from="1119,20315" to="3273,20315" stroked="true" strokeweight="1.10775pt" strokecolor="#000000">
              <v:stroke dashstyle="solid"/>
            </v:line>
            <v:shape style="position:absolute;left:3262;top:20303;width:211;height:211" type="#_x0000_t75" stroked="false">
              <v:imagedata r:id="rId121" o:title=""/>
            </v:shape>
            <v:line style="position:absolute" from="3462,20503" to="3462,23344" stroked="true" strokeweight="1.10775pt" strokecolor="#000000">
              <v:stroke dashstyle="solid"/>
            </v:line>
            <v:shape style="position:absolute;left:3262;top:23333;width:211;height:211" type="#_x0000_t75" stroked="false">
              <v:imagedata r:id="rId122" o:title=""/>
            </v:shape>
            <v:rect style="position:absolute;left:720;top:720;width:14401;height:2160" filled="false" stroked="true" strokeweight="1.10775pt" strokecolor="#000000">
              <v:stroke dashstyle="solid"/>
            </v:rect>
            <v:shape style="position:absolute;left:14539;top:947;width:344;height:1706" coordorigin="14539,947" coordsize="344,1706" path="m14713,2000l14708,2000,14708,2595,14711,2595,14711,2599,14779,2653,14779,2135,14713,2074,14713,2000xm14883,1658l14595,1658,14573,1662,14555,1674,14544,1692,14539,1714,14539,2000,14826,2000,14848,1995,14866,1983,14878,1965,14882,1949,14708,1949,14688,1947,14668,1942,14649,1933,14632,1921,14620,1909,14632,1898,14610,1898,14593,1860,14590,1819,14590,1818,14600,1779,14625,1745,14643,1730,14664,1719,14685,1712,14708,1710,14883,1710,14883,1658xm14883,1740l14792,1740,14802,1751,14825,1791,14831,1834,14821,1877,14795,1914,14777,1929,14757,1940,14735,1947,14713,1949,14882,1949,14883,1944,14883,1740xm14711,1911l14709,1911,14709,1913,14708,1913,14701,1916,14693,1919,14686,1923,14681,1924,14675,1924,14670,1926,14681,1931,14694,1934,14726,1934,14731,1932,14713,1914,14711,1911xm14752,1881l14742,1890,14734,1896,14724,1903,14749,1927,14759,1923,14770,1918,14779,1909,14752,1881xm14676,1876l14645,1908,14653,1913,14666,1913,14686,1906,14699,1899,14676,1876xm14713,1728l14708,1728,14669,1737,14638,1760,14616,1792,14609,1829,14609,1833,14609,1845,14612,1859,14617,1872,14623,1885,14610,1898,14632,1898,14661,1868,14640,1868,14633,1857,14630,1844,14630,1829,14632,1815,14636,1800,14644,1786,14655,1773,14666,1763,14679,1756,14693,1752,14708,1750,14782,1750,14788,1743,14765,1743,14754,1737,14741,1733,14727,1730,14713,1728xm14785,1842l14779,1852,14770,1862,14762,1870,14790,1898,14798,1888,14805,1876,14808,1867,14785,1842xm14711,1842l14686,1867,14708,1886,14713,1891,14722,1886,14731,1878,14741,1870,14713,1844,14711,1842xm14721,1770l14708,1770,14697,1771,14687,1774,14677,1780,14668,1788,14660,1797,14654,1808,14651,1819,14650,1829,14650,1839,14651,1847,14653,1853,14640,1868,14661,1868,14713,1817,14758,1773,14734,1773,14721,1770xm14747,1806l14722,1830,14752,1860,14760,1850,14774,1830,14747,1806xm14807,1789l14807,1794,14805,1799,14803,1806,14800,1812,14793,1829,14813,1849,14815,1834,14815,1829,14814,1818,14812,1803,14807,1789xm14790,1765l14759,1794,14782,1817,14784,1811,14787,1806,14793,1786,14793,1773,14790,1765xm14782,1750l14726,1750,14737,1753,14749,1758,14734,1773,14758,1773,14782,1750xm14883,1710l14713,1710,14730,1712,14747,1716,14762,1723,14777,1732,14765,1743,14788,1743,14792,1740,14883,1740,14883,1710xm14713,947l14642,1523,14708,1585,14708,1658,14713,1658,14713,947xe" filled="true" fillcolor="#335f93" stroked="false">
              <v:path arrowok="t"/>
              <v:fill type="solid"/>
            </v:shape>
            <v:shape style="position:absolute;left:14589;top:1710;width:188;height:188" type="#_x0000_t75" stroked="false">
              <v:imagedata r:id="rId123" o:title=""/>
            </v:shape>
            <v:shape style="position:absolute;left:819;top:1046;width:1508;height:1795" type="#_x0000_t75" stroked="false">
              <v:imagedata r:id="rId124" o:title=""/>
            </v:shape>
            <w10:wrap type="none"/>
          </v:group>
        </w:pict>
      </w:r>
      <w:r>
        <w:rPr/>
        <w:pict>
          <v:shape style="position:absolute;margin-left:233.99942pt;margin-top:-38.679062pt;width:10.5pt;height:31.7pt;mso-position-horizontal-relative:page;mso-position-vertical-relative:paragraph;z-index:251761664" type="#_x0000_t202" filled="false" stroked="false">
            <v:textbox inset="0,0,0,0" style="layout-flow:vertical;mso-layout-flow-alt:bottom-to-top">
              <w:txbxContent>
                <w:p>
                  <w:pPr>
                    <w:spacing w:before="18"/>
                    <w:ind w:left="20" w:right="0" w:firstLine="0"/>
                    <w:jc w:val="left"/>
                    <w:rPr>
                      <w:rFonts w:ascii="Century Gothic"/>
                      <w:b/>
                      <w:sz w:val="13"/>
                    </w:rPr>
                  </w:pPr>
                  <w:r>
                    <w:rPr>
                      <w:rFonts w:ascii="Century Gothic"/>
                      <w:b/>
                      <w:color w:val="4D4D4D"/>
                      <w:position w:val="1"/>
                      <w:sz w:val="13"/>
                    </w:rPr>
                    <w:t>D</w:t>
                  </w:r>
                  <w:r>
                    <w:rPr>
                      <w:rFonts w:ascii="Century Gothic"/>
                      <w:b/>
                      <w:color w:val="4D4D4D"/>
                      <w:sz w:val="13"/>
                    </w:rPr>
                    <w:t>allas Rd</w:t>
                  </w:r>
                </w:p>
              </w:txbxContent>
            </v:textbox>
            <w10:wrap type="none"/>
          </v:shape>
        </w:pict>
      </w:r>
      <w:r>
        <w:rPr>
          <w:rFonts w:ascii="Arial"/>
          <w:b/>
          <w:sz w:val="26"/>
        </w:rPr>
        <w:t>Number of Lanes</w:t>
      </w:r>
    </w:p>
    <w:p>
      <w:pPr>
        <w:spacing w:before="189"/>
        <w:ind w:left="1877" w:right="0" w:firstLine="0"/>
        <w:jc w:val="left"/>
        <w:rPr>
          <w:rFonts w:ascii="Arial"/>
          <w:sz w:val="17"/>
        </w:rPr>
      </w:pPr>
      <w:r>
        <w:rPr>
          <w:rFonts w:ascii="Arial"/>
          <w:w w:val="105"/>
          <w:sz w:val="17"/>
        </w:rPr>
        <w:t>2 (40.13 Miles)</w:t>
      </w:r>
    </w:p>
    <w:p>
      <w:pPr>
        <w:spacing w:before="159"/>
        <w:ind w:left="1877" w:right="0" w:firstLine="0"/>
        <w:jc w:val="left"/>
        <w:rPr>
          <w:rFonts w:ascii="Arial"/>
          <w:sz w:val="17"/>
        </w:rPr>
      </w:pPr>
      <w:r>
        <w:rPr>
          <w:rFonts w:ascii="Arial"/>
          <w:w w:val="105"/>
          <w:sz w:val="17"/>
        </w:rPr>
        <w:t>3  (9.54</w:t>
      </w:r>
      <w:r>
        <w:rPr>
          <w:rFonts w:ascii="Arial"/>
          <w:spacing w:val="13"/>
          <w:w w:val="105"/>
          <w:sz w:val="17"/>
        </w:rPr>
        <w:t> </w:t>
      </w:r>
      <w:r>
        <w:rPr>
          <w:rFonts w:ascii="Arial"/>
          <w:w w:val="105"/>
          <w:sz w:val="17"/>
        </w:rPr>
        <w:t>Miles)</w:t>
      </w:r>
    </w:p>
    <w:p>
      <w:pPr>
        <w:spacing w:before="154"/>
        <w:ind w:left="1877" w:right="0" w:firstLine="0"/>
        <w:jc w:val="left"/>
        <w:rPr>
          <w:rFonts w:ascii="Arial"/>
          <w:sz w:val="17"/>
        </w:rPr>
      </w:pPr>
      <w:r>
        <w:rPr>
          <w:rFonts w:ascii="Arial"/>
          <w:w w:val="105"/>
          <w:sz w:val="17"/>
        </w:rPr>
        <w:t>4  (8.59</w:t>
      </w:r>
      <w:r>
        <w:rPr>
          <w:rFonts w:ascii="Arial"/>
          <w:spacing w:val="13"/>
          <w:w w:val="105"/>
          <w:sz w:val="17"/>
        </w:rPr>
        <w:t> </w:t>
      </w:r>
      <w:r>
        <w:rPr>
          <w:rFonts w:ascii="Arial"/>
          <w:w w:val="105"/>
          <w:sz w:val="17"/>
        </w:rPr>
        <w:t>Miles)</w:t>
      </w:r>
    </w:p>
    <w:p>
      <w:pPr>
        <w:spacing w:before="159"/>
        <w:ind w:left="1877" w:right="0" w:firstLine="0"/>
        <w:jc w:val="left"/>
        <w:rPr>
          <w:rFonts w:ascii="Arial"/>
          <w:sz w:val="17"/>
        </w:rPr>
      </w:pPr>
      <w:r>
        <w:rPr>
          <w:rFonts w:ascii="Arial"/>
          <w:w w:val="105"/>
          <w:sz w:val="17"/>
        </w:rPr>
        <w:t>5 (13.27 Miles)</w:t>
      </w:r>
    </w:p>
    <w:p>
      <w:pPr>
        <w:spacing w:before="158"/>
        <w:ind w:left="1877" w:right="0" w:firstLine="0"/>
        <w:jc w:val="left"/>
        <w:rPr>
          <w:rFonts w:ascii="Arial"/>
          <w:sz w:val="17"/>
        </w:rPr>
      </w:pPr>
      <w:r>
        <w:rPr>
          <w:rFonts w:ascii="Arial"/>
          <w:w w:val="105"/>
          <w:sz w:val="17"/>
        </w:rPr>
        <w:t>6 (8.02 Miles)</w:t>
      </w:r>
    </w:p>
    <w:p>
      <w:pPr>
        <w:spacing w:before="159"/>
        <w:ind w:left="1877" w:right="0" w:firstLine="0"/>
        <w:jc w:val="left"/>
        <w:rPr>
          <w:rFonts w:ascii="Arial"/>
          <w:sz w:val="17"/>
        </w:rPr>
      </w:pPr>
      <w:r>
        <w:rPr>
          <w:rFonts w:ascii="Arial"/>
          <w:w w:val="105"/>
          <w:sz w:val="17"/>
        </w:rPr>
        <w:t>7 (0.82</w:t>
      </w:r>
      <w:r>
        <w:rPr>
          <w:rFonts w:ascii="Arial"/>
          <w:spacing w:val="12"/>
          <w:w w:val="105"/>
          <w:sz w:val="17"/>
        </w:rPr>
        <w:t> </w:t>
      </w:r>
      <w:r>
        <w:rPr>
          <w:rFonts w:ascii="Arial"/>
          <w:w w:val="105"/>
          <w:sz w:val="17"/>
        </w:rPr>
        <w:t>Miles)</w:t>
      </w:r>
    </w:p>
    <w:p>
      <w:pPr>
        <w:spacing w:before="159"/>
        <w:ind w:left="1877" w:right="0" w:firstLine="0"/>
        <w:jc w:val="left"/>
        <w:rPr>
          <w:rFonts w:ascii="Arial"/>
          <w:sz w:val="17"/>
        </w:rPr>
      </w:pPr>
      <w:r>
        <w:rPr>
          <w:rFonts w:ascii="Arial"/>
          <w:w w:val="105"/>
          <w:sz w:val="17"/>
        </w:rPr>
        <w:t>8 (1.04</w:t>
      </w:r>
      <w:r>
        <w:rPr>
          <w:rFonts w:ascii="Arial"/>
          <w:spacing w:val="12"/>
          <w:w w:val="105"/>
          <w:sz w:val="17"/>
        </w:rPr>
        <w:t> </w:t>
      </w:r>
      <w:r>
        <w:rPr>
          <w:rFonts w:ascii="Arial"/>
          <w:w w:val="105"/>
          <w:sz w:val="17"/>
        </w:rPr>
        <w:t>Miles)</w:t>
      </w:r>
    </w:p>
    <w:p>
      <w:pPr>
        <w:pStyle w:val="BodyText"/>
        <w:rPr>
          <w:rFonts w:ascii="Arial"/>
          <w:sz w:val="40"/>
        </w:rPr>
      </w:pPr>
      <w:r>
        <w:rPr/>
        <w:br w:type="column"/>
      </w:r>
      <w:r>
        <w:rPr>
          <w:rFonts w:ascii="Arial"/>
          <w:sz w:val="40"/>
        </w:rPr>
      </w:r>
    </w:p>
    <w:p>
      <w:pPr>
        <w:pStyle w:val="BodyText"/>
        <w:rPr>
          <w:rFonts w:ascii="Arial"/>
          <w:sz w:val="40"/>
        </w:rPr>
      </w:pPr>
    </w:p>
    <w:p>
      <w:pPr>
        <w:pStyle w:val="BodyText"/>
        <w:rPr>
          <w:rFonts w:ascii="Arial"/>
          <w:sz w:val="40"/>
        </w:rPr>
      </w:pPr>
    </w:p>
    <w:p>
      <w:pPr>
        <w:pStyle w:val="BodyText"/>
        <w:rPr>
          <w:rFonts w:ascii="Arial"/>
          <w:sz w:val="40"/>
        </w:rPr>
      </w:pPr>
    </w:p>
    <w:p>
      <w:pPr>
        <w:spacing w:before="303"/>
        <w:ind w:left="0" w:right="38" w:firstLine="0"/>
        <w:jc w:val="right"/>
        <w:rPr>
          <w:rFonts w:ascii="Arial" w:hAnsi="Arial"/>
          <w:b/>
          <w:sz w:val="11"/>
        </w:rPr>
      </w:pPr>
      <w:r>
        <w:rPr/>
        <w:pict>
          <v:shape style="position:absolute;margin-left:509.789154pt;margin-top:3.3505pt;width:29.1pt;height:6.65pt;mso-position-horizontal-relative:page;mso-position-vertical-relative:paragraph;z-index:251749376;rotation:1" type="#_x0000_t136" fillcolor="#4d4d4d" stroked="f">
            <o:extrusion v:ext="view" autorotationcenter="t"/>
            <v:textpath style="font-family:&quot;Century Gothic&quot;;font-size:6pt;v-text-kern:t;mso-text-shadow:auto;font-weight:bold" string="Reata Rd"/>
            <w10:wrap type="none"/>
          </v:shape>
        </w:pict>
      </w:r>
      <w:r>
        <w:rPr>
          <w:rFonts w:ascii="Arial" w:hAnsi="Arial"/>
          <w:color w:val="FF0000"/>
          <w:spacing w:val="-284"/>
          <w:w w:val="127"/>
          <w:position w:val="1"/>
          <w:sz w:val="40"/>
        </w:rPr>
        <w:t>§</w:t>
      </w:r>
      <w:r>
        <w:rPr>
          <w:rFonts w:ascii="Arial" w:hAnsi="Arial"/>
          <w:spacing w:val="-284"/>
          <w:w w:val="272"/>
          <w:sz w:val="40"/>
        </w:rPr>
        <w:t>¦</w:t>
      </w:r>
      <w:r>
        <w:rPr>
          <w:rFonts w:ascii="Arial" w:hAnsi="Arial"/>
          <w:color w:val="0000FF"/>
          <w:spacing w:val="-209"/>
          <w:w w:val="212"/>
          <w:sz w:val="40"/>
        </w:rPr>
        <w:t>¨</w:t>
      </w:r>
      <w:r>
        <w:rPr>
          <w:rFonts w:ascii="Arial" w:hAnsi="Arial"/>
          <w:b/>
          <w:color w:val="FFFFFF"/>
          <w:spacing w:val="-4"/>
          <w:w w:val="105"/>
          <w:position w:val="10"/>
          <w:sz w:val="11"/>
        </w:rPr>
        <w:t>8</w:t>
      </w:r>
      <w:r>
        <w:rPr>
          <w:rFonts w:ascii="Arial" w:hAnsi="Arial"/>
          <w:b/>
          <w:color w:val="FFFFFF"/>
          <w:w w:val="105"/>
          <w:position w:val="10"/>
          <w:sz w:val="11"/>
        </w:rPr>
        <w:t>2</w:t>
      </w:r>
    </w:p>
    <w:p>
      <w:pPr>
        <w:pStyle w:val="BodyText"/>
        <w:rPr>
          <w:rFonts w:ascii="Arial"/>
          <w:b/>
          <w:sz w:val="26"/>
        </w:rPr>
      </w:pPr>
      <w:r>
        <w:rPr/>
        <w:br w:type="column"/>
      </w:r>
      <w:r>
        <w:rPr>
          <w:rFonts w:ascii="Arial"/>
          <w:b/>
          <w:sz w:val="26"/>
        </w:rPr>
      </w:r>
    </w:p>
    <w:p>
      <w:pPr>
        <w:pStyle w:val="BodyText"/>
        <w:rPr>
          <w:rFonts w:ascii="Arial"/>
          <w:b/>
          <w:sz w:val="26"/>
        </w:rPr>
      </w:pPr>
    </w:p>
    <w:p>
      <w:pPr>
        <w:pStyle w:val="BodyText"/>
        <w:spacing w:before="10"/>
        <w:rPr>
          <w:rFonts w:ascii="Arial"/>
          <w:b/>
          <w:sz w:val="25"/>
        </w:rPr>
      </w:pPr>
    </w:p>
    <w:p>
      <w:pPr>
        <w:spacing w:before="1"/>
        <w:ind w:left="1129" w:right="0" w:firstLine="0"/>
        <w:jc w:val="left"/>
        <w:rPr>
          <w:rFonts w:ascii="Arial"/>
          <w:sz w:val="24"/>
        </w:rPr>
      </w:pPr>
      <w:r>
        <w:rPr/>
        <w:pict>
          <v:shape style="position:absolute;margin-left:595.561658pt;margin-top:-57.979131pt;width:36.050pt;height:6.65pt;mso-position-horizontal-relative:page;mso-position-vertical-relative:paragraph;z-index:251759616;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536.930603pt;margin-top:-71.431847pt;width:10.55pt;height:29.8pt;mso-position-horizontal-relative:page;mso-position-vertical-relative:paragraph;z-index:251770880"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position w:val="1"/>
                      <w:sz w:val="13"/>
                    </w:rPr>
                    <w:t>Le</w:t>
                  </w:r>
                  <w:r>
                    <w:rPr>
                      <w:rFonts w:ascii="Century Gothic"/>
                      <w:b/>
                      <w:color w:val="4D4D4D"/>
                      <w:sz w:val="13"/>
                    </w:rPr>
                    <w:t>slie Rd</w:t>
                  </w:r>
                </w:p>
              </w:txbxContent>
            </v:textbox>
            <w10:wrap type="none"/>
          </v:shape>
        </w:pict>
      </w:r>
      <w:r>
        <w:rPr/>
        <w:pict>
          <v:shape style="position:absolute;margin-left:616.731567pt;margin-top:-78.307838pt;width:11.45pt;height:68.650pt;mso-position-horizontal-relative:page;mso-position-vertical-relative:paragraph;z-index:251772928" type="#_x0000_t202" filled="false" stroked="false">
            <v:textbox inset="0,0,0,0" style="layout-flow:vertical;mso-layout-flow-alt:bottom-to-top">
              <w:txbxContent>
                <w:p>
                  <w:pPr>
                    <w:tabs>
                      <w:tab w:pos="1351" w:val="left" w:leader="none"/>
                    </w:tabs>
                    <w:spacing w:before="48"/>
                    <w:ind w:left="20" w:right="0" w:firstLine="0"/>
                    <w:jc w:val="left"/>
                    <w:rPr>
                      <w:rFonts w:ascii="Century Gothic"/>
                      <w:b/>
                      <w:sz w:val="13"/>
                    </w:rPr>
                  </w:pPr>
                  <w:r>
                    <w:rPr>
                      <w:rFonts w:ascii="Century Gothic"/>
                      <w:b/>
                      <w:color w:val="4D4D4D"/>
                      <w:w w:val="102"/>
                      <w:sz w:val="13"/>
                      <w:u w:val="thick" w:color="B2B2B2"/>
                    </w:rPr>
                    <w:t> </w:t>
                  </w:r>
                  <w:r>
                    <w:rPr>
                      <w:rFonts w:ascii="Century Gothic"/>
                      <w:b/>
                      <w:color w:val="4D4D4D"/>
                      <w:sz w:val="13"/>
                      <w:u w:val="thick" w:color="B2B2B2"/>
                    </w:rPr>
                    <w:tab/>
                  </w:r>
                </w:p>
              </w:txbxContent>
            </v:textbox>
            <w10:wrap type="none"/>
          </v:shape>
        </w:pict>
      </w:r>
      <w:r>
        <w:rPr>
          <w:rFonts w:ascii="Arial"/>
          <w:emboss/>
          <w:color w:val="757576"/>
          <w:sz w:val="24"/>
        </w:rPr>
        <w:t>K</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w</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k</w:t>
      </w: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3"/>
        <w:rPr>
          <w:rFonts w:ascii="Arial"/>
          <w:sz w:val="33"/>
        </w:rPr>
      </w:pPr>
    </w:p>
    <w:p>
      <w:pPr>
        <w:spacing w:before="0"/>
        <w:ind w:left="1185" w:right="0" w:firstLine="0"/>
        <w:jc w:val="left"/>
        <w:rPr>
          <w:rFonts w:ascii="Century Gothic"/>
          <w:sz w:val="24"/>
        </w:rPr>
      </w:pPr>
      <w:r>
        <w:rPr>
          <w:rFonts w:ascii="Century Gothic"/>
          <w:sz w:val="24"/>
        </w:rPr>
        <w:t>February 24, 2017</w:t>
      </w:r>
    </w:p>
    <w:p>
      <w:pPr>
        <w:spacing w:after="0"/>
        <w:jc w:val="left"/>
        <w:rPr>
          <w:rFonts w:ascii="Century Gothic"/>
          <w:sz w:val="24"/>
        </w:rPr>
        <w:sectPr>
          <w:type w:val="continuous"/>
          <w:pgSz w:w="15840" w:h="24480"/>
          <w:pgMar w:top="1480" w:bottom="1320" w:left="0" w:right="0"/>
          <w:cols w:num="3" w:equalWidth="0">
            <w:col w:w="3298" w:space="4204"/>
            <w:col w:w="1371" w:space="3047"/>
            <w:col w:w="3920"/>
          </w:cols>
        </w:sectPr>
      </w:pPr>
    </w:p>
    <w:p>
      <w:pPr>
        <w:pStyle w:val="BodyText"/>
        <w:spacing w:before="8"/>
        <w:rPr>
          <w:rFonts w:ascii="Century Gothic"/>
          <w:sz w:val="13"/>
        </w:rPr>
      </w:pPr>
    </w:p>
    <w:p>
      <w:pPr>
        <w:spacing w:before="100"/>
        <w:ind w:left="3842" w:right="3837" w:firstLine="0"/>
        <w:jc w:val="center"/>
        <w:rPr>
          <w:rFonts w:ascii="Century Gothic"/>
          <w:b/>
          <w:sz w:val="72"/>
        </w:rPr>
      </w:pPr>
      <w:r>
        <w:rPr>
          <w:rFonts w:ascii="Century Gothic"/>
          <w:b/>
          <w:color w:val="004CA7"/>
          <w:sz w:val="72"/>
        </w:rPr>
        <w:t>City of Richland</w:t>
      </w:r>
    </w:p>
    <w:p>
      <w:pPr>
        <w:pStyle w:val="ListParagraph"/>
        <w:numPr>
          <w:ilvl w:val="1"/>
          <w:numId w:val="6"/>
        </w:numPr>
        <w:tabs>
          <w:tab w:pos="5606" w:val="left" w:leader="none"/>
        </w:tabs>
        <w:spacing w:line="240" w:lineRule="auto" w:before="47" w:after="0"/>
        <w:ind w:left="5605" w:right="0" w:hanging="5594"/>
        <w:jc w:val="left"/>
        <w:rPr>
          <w:rFonts w:ascii="Century Gothic"/>
          <w:b/>
          <w:sz w:val="40"/>
        </w:rPr>
      </w:pPr>
      <w:r>
        <w:rPr>
          <w:rFonts w:ascii="Century Gothic"/>
          <w:b/>
          <w:sz w:val="40"/>
        </w:rPr>
        <w:t>- Intersection Traffic</w:t>
      </w:r>
      <w:r>
        <w:rPr>
          <w:rFonts w:ascii="Century Gothic"/>
          <w:b/>
          <w:spacing w:val="8"/>
          <w:sz w:val="40"/>
        </w:rPr>
        <w:t> </w:t>
      </w:r>
      <w:r>
        <w:rPr>
          <w:rFonts w:ascii="Century Gothic"/>
          <w:b/>
          <w:sz w:val="40"/>
        </w:rPr>
        <w:t>Control</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5"/>
        <w:rPr>
          <w:rFonts w:ascii="Century Gothic"/>
          <w:b/>
          <w:sz w:val="18"/>
        </w:rPr>
      </w:pPr>
    </w:p>
    <w:p>
      <w:pPr>
        <w:spacing w:after="0"/>
        <w:rPr>
          <w:rFonts w:ascii="Century Gothic"/>
          <w:sz w:val="18"/>
        </w:rPr>
        <w:sectPr>
          <w:footerReference w:type="default" r:id="rId125"/>
          <w:pgSz w:w="15840" w:h="24480"/>
          <w:pgMar w:footer="0" w:header="0" w:top="760" w:bottom="280" w:left="0" w:right="0"/>
        </w:sectPr>
      </w:pPr>
    </w:p>
    <w:p>
      <w:pPr>
        <w:pStyle w:val="BodyText"/>
        <w:spacing w:before="7"/>
        <w:rPr>
          <w:rFonts w:ascii="Century Gothic"/>
          <w:b/>
          <w:sz w:val="39"/>
        </w:rPr>
      </w:pPr>
    </w:p>
    <w:p>
      <w:pPr>
        <w:spacing w:before="0"/>
        <w:ind w:left="0" w:right="0" w:firstLine="0"/>
        <w:jc w:val="right"/>
        <w:rPr>
          <w:rFonts w:ascii="Arial"/>
          <w:b/>
          <w:sz w:val="13"/>
        </w:rPr>
      </w:pPr>
      <w:r>
        <w:rPr>
          <w:rFonts w:ascii="Arial Black"/>
          <w:color w:val="FFFFFF"/>
          <w:spacing w:val="-271"/>
          <w:w w:val="101"/>
          <w:position w:val="-2"/>
          <w:sz w:val="32"/>
        </w:rPr>
        <w:t>U</w:t>
      </w:r>
      <w:r>
        <w:rPr>
          <w:rFonts w:ascii="Arial Black"/>
          <w:spacing w:val="-246"/>
          <w:w w:val="108"/>
          <w:position w:val="-2"/>
          <w:sz w:val="32"/>
        </w:rPr>
        <w:t>V</w:t>
      </w:r>
      <w:r>
        <w:rPr>
          <w:rFonts w:ascii="Arial"/>
          <w:b/>
          <w:spacing w:val="-2"/>
          <w:w w:val="102"/>
          <w:sz w:val="13"/>
        </w:rPr>
        <w:t>2</w:t>
      </w:r>
      <w:r>
        <w:rPr>
          <w:rFonts w:ascii="Arial"/>
          <w:b/>
          <w:spacing w:val="3"/>
          <w:w w:val="102"/>
          <w:sz w:val="13"/>
        </w:rPr>
        <w:t>4</w:t>
      </w:r>
      <w:r>
        <w:rPr>
          <w:rFonts w:ascii="Arial"/>
          <w:b/>
          <w:w w:val="102"/>
          <w:sz w:val="13"/>
        </w:rPr>
        <w:t>0</w:t>
      </w:r>
    </w:p>
    <w:p>
      <w:pPr>
        <w:pStyle w:val="BodyText"/>
        <w:rPr>
          <w:rFonts w:ascii="Arial"/>
          <w:b/>
          <w:sz w:val="30"/>
        </w:rPr>
      </w:pPr>
      <w:r>
        <w:rPr/>
        <w:br w:type="column"/>
      </w:r>
      <w:r>
        <w:rPr>
          <w:rFonts w:ascii="Arial"/>
          <w:b/>
          <w:sz w:val="30"/>
        </w:rPr>
      </w:r>
    </w:p>
    <w:p>
      <w:pPr>
        <w:pStyle w:val="BodyText"/>
        <w:rPr>
          <w:rFonts w:ascii="Arial"/>
          <w:b/>
          <w:sz w:val="30"/>
        </w:rPr>
      </w:pPr>
    </w:p>
    <w:p>
      <w:pPr>
        <w:pStyle w:val="BodyText"/>
        <w:spacing w:before="9"/>
        <w:rPr>
          <w:rFonts w:ascii="Arial"/>
          <w:b/>
          <w:sz w:val="44"/>
        </w:rPr>
      </w:pPr>
    </w:p>
    <w:p>
      <w:pPr>
        <w:spacing w:before="0"/>
        <w:ind w:left="0" w:right="0" w:firstLine="0"/>
        <w:jc w:val="right"/>
        <w:rPr>
          <w:rFonts w:ascii="Arial"/>
          <w:sz w:val="31"/>
        </w:rPr>
      </w:pPr>
      <w:r>
        <w:rPr/>
        <w:pict>
          <v:shape style="position:absolute;margin-left:232.788712pt;margin-top:-22.782919pt;width:10.7pt;height:51.35pt;mso-position-horizontal-relative:page;mso-position-vertical-relative:paragraph;z-index:-268238848"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position w:val="1"/>
                      <w:sz w:val="13"/>
                    </w:rPr>
                    <w:t>Twin Br</w:t>
                  </w:r>
                  <w:r>
                    <w:rPr>
                      <w:rFonts w:ascii="Century Gothic"/>
                      <w:b/>
                      <w:color w:val="4D4D4D"/>
                      <w:sz w:val="13"/>
                    </w:rPr>
                    <w:t>idges Rd</w:t>
                  </w:r>
                </w:p>
              </w:txbxContent>
            </v:textbox>
            <w10:wrap type="none"/>
          </v:shape>
        </w:pict>
      </w:r>
      <w:r>
        <w:rPr>
          <w:rFonts w:ascii="Arial"/>
          <w:color w:val="FFFFFF"/>
          <w:spacing w:val="-249"/>
          <w:w w:val="287"/>
          <w:sz w:val="31"/>
        </w:rPr>
        <w:t>!</w:t>
      </w:r>
      <w:r>
        <w:rPr>
          <w:rFonts w:ascii="Arial"/>
          <w:color w:val="CC2D31"/>
          <w:spacing w:val="-249"/>
          <w:w w:val="225"/>
          <w:sz w:val="31"/>
        </w:rPr>
        <w:t>"</w:t>
      </w:r>
      <w:r>
        <w:rPr>
          <w:rFonts w:ascii="Arial"/>
          <w:color w:val="FFFFFF"/>
          <w:w w:val="143"/>
          <w:sz w:val="31"/>
        </w:rPr>
        <w:t>$</w:t>
      </w:r>
    </w:p>
    <w:p>
      <w:pPr>
        <w:spacing w:before="153"/>
        <w:ind w:left="0" w:right="9" w:firstLine="0"/>
        <w:jc w:val="right"/>
        <w:rPr>
          <w:rFonts w:ascii="Arial"/>
          <w:sz w:val="31"/>
        </w:rPr>
      </w:pPr>
      <w:r>
        <w:rPr/>
        <w:br w:type="column"/>
      </w:r>
      <w:r>
        <w:rPr>
          <w:rFonts w:ascii="Arial"/>
          <w:color w:val="FFFFFF"/>
          <w:spacing w:val="-249"/>
          <w:w w:val="143"/>
          <w:sz w:val="31"/>
        </w:rPr>
        <w:t>$</w:t>
      </w:r>
      <w:r>
        <w:rPr>
          <w:rFonts w:ascii="Arial"/>
          <w:color w:val="CC2D31"/>
          <w:spacing w:val="-249"/>
          <w:w w:val="225"/>
          <w:sz w:val="31"/>
        </w:rPr>
        <w:t>"</w:t>
      </w:r>
      <w:r>
        <w:rPr>
          <w:rFonts w:ascii="Arial"/>
          <w:color w:val="FFFFFF"/>
          <w:w w:val="287"/>
          <w:sz w:val="31"/>
        </w:rPr>
        <w:t>!</w:t>
      </w:r>
    </w:p>
    <w:p>
      <w:pPr>
        <w:pStyle w:val="BodyText"/>
        <w:rPr>
          <w:rFonts w:ascii="Arial"/>
          <w:sz w:val="30"/>
        </w:rPr>
      </w:pPr>
    </w:p>
    <w:p>
      <w:pPr>
        <w:pStyle w:val="Heading8"/>
        <w:spacing w:before="174"/>
        <w:jc w:val="right"/>
      </w:pPr>
      <w:r>
        <w:rPr/>
        <w:pict>
          <v:shape style="position:absolute;margin-left:345.243408pt;margin-top:-9.27026pt;width:11.75pt;height:50.45pt;mso-position-horizontal-relative:page;mso-position-vertical-relative:paragraph;z-index:-268235776"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Kin</w:t>
                  </w:r>
                  <w:r>
                    <w:rPr>
                      <w:rFonts w:ascii="Century Gothic"/>
                      <w:b/>
                      <w:color w:val="4D4D4D"/>
                      <w:position w:val="1"/>
                      <w:sz w:val="13"/>
                    </w:rPr>
                    <w:t>gsga</w:t>
                  </w:r>
                  <w:r>
                    <w:rPr>
                      <w:rFonts w:ascii="Century Gothic"/>
                      <w:b/>
                      <w:color w:val="4D4D4D"/>
                      <w:position w:val="2"/>
                      <w:sz w:val="13"/>
                    </w:rPr>
                    <w:t>te W</w:t>
                  </w:r>
                  <w:r>
                    <w:rPr>
                      <w:rFonts w:ascii="Century Gothic"/>
                      <w:b/>
                      <w:color w:val="4D4D4D"/>
                      <w:position w:val="3"/>
                      <w:sz w:val="13"/>
                    </w:rPr>
                    <w:t>ay</w:t>
                  </w:r>
                </w:p>
              </w:txbxContent>
            </v:textbox>
            <w10:wrap type="none"/>
          </v:shape>
        </w:pict>
      </w:r>
      <w:r>
        <w:rPr>
          <w:color w:val="FFFFFF"/>
          <w:spacing w:val="-249"/>
          <w:w w:val="287"/>
        </w:rPr>
        <w:t>!</w:t>
      </w:r>
      <w:r>
        <w:rPr>
          <w:color w:val="FFFFFF"/>
          <w:spacing w:val="-249"/>
          <w:w w:val="143"/>
        </w:rPr>
        <w:t>$</w:t>
      </w:r>
      <w:r>
        <w:rPr>
          <w:color w:val="CC2D31"/>
          <w:w w:val="225"/>
        </w:rPr>
        <w:t>"</w:t>
      </w:r>
    </w:p>
    <w:p>
      <w:pPr>
        <w:pStyle w:val="BodyText"/>
        <w:spacing w:before="6"/>
        <w:rPr>
          <w:rFonts w:ascii="Arial"/>
          <w:sz w:val="13"/>
        </w:rPr>
      </w:pPr>
      <w:r>
        <w:rPr/>
        <w:br w:type="column"/>
      </w:r>
      <w:r>
        <w:rPr>
          <w:rFonts w:ascii="Arial"/>
          <w:sz w:val="13"/>
        </w:rPr>
      </w:r>
    </w:p>
    <w:p>
      <w:pPr>
        <w:spacing w:before="0"/>
        <w:ind w:left="641" w:right="0" w:firstLine="0"/>
        <w:jc w:val="left"/>
        <w:rPr>
          <w:rFonts w:ascii="Century Gothic"/>
          <w:b/>
          <w:sz w:val="13"/>
        </w:rPr>
      </w:pPr>
      <w:r>
        <w:rPr>
          <w:rFonts w:ascii="Century Gothic"/>
          <w:b/>
          <w:color w:val="4D4D4D"/>
          <w:sz w:val="13"/>
        </w:rPr>
        <w:t>Horn Rapids Rd</w:t>
      </w:r>
    </w:p>
    <w:p>
      <w:pPr>
        <w:pStyle w:val="BodyText"/>
        <w:rPr>
          <w:rFonts w:ascii="Century Gothic"/>
          <w:b/>
          <w:sz w:val="16"/>
        </w:rPr>
      </w:pPr>
    </w:p>
    <w:p>
      <w:pPr>
        <w:pStyle w:val="BodyText"/>
        <w:rPr>
          <w:rFonts w:ascii="Century Gothic"/>
          <w:b/>
          <w:sz w:val="16"/>
        </w:rPr>
      </w:pPr>
    </w:p>
    <w:p>
      <w:pPr>
        <w:pStyle w:val="BodyText"/>
        <w:spacing w:before="5"/>
        <w:rPr>
          <w:rFonts w:ascii="Century Gothic"/>
          <w:b/>
          <w:sz w:val="14"/>
        </w:rPr>
      </w:pPr>
    </w:p>
    <w:p>
      <w:pPr>
        <w:spacing w:before="0"/>
        <w:ind w:left="953" w:right="0" w:firstLine="0"/>
        <w:jc w:val="left"/>
        <w:rPr>
          <w:rFonts w:ascii="Century Gothic"/>
          <w:b/>
          <w:sz w:val="13"/>
        </w:rPr>
      </w:pPr>
      <w:r>
        <w:rPr>
          <w:rFonts w:ascii="Century Gothic"/>
          <w:b/>
          <w:color w:val="4D4D4D"/>
          <w:sz w:val="13"/>
        </w:rPr>
        <w:t>Battelle B</w:t>
      </w:r>
      <w:r>
        <w:rPr>
          <w:rFonts w:ascii="Century Gothic"/>
          <w:b/>
          <w:color w:val="4D4D4D"/>
          <w:position w:val="1"/>
          <w:sz w:val="13"/>
        </w:rPr>
        <w:t>lvd</w:t>
      </w:r>
    </w:p>
    <w:p>
      <w:pPr>
        <w:pStyle w:val="Heading8"/>
        <w:spacing w:line="511" w:lineRule="auto" w:before="142"/>
        <w:ind w:left="282" w:right="-20" w:hanging="50"/>
      </w:pPr>
      <w:r>
        <w:rPr/>
        <w:br w:type="column"/>
      </w:r>
      <w:r>
        <w:rPr>
          <w:spacing w:val="-232"/>
          <w:w w:val="134"/>
        </w:rPr>
        <w:t>è</w:t>
      </w:r>
      <w:r>
        <w:rPr>
          <w:color w:val="FFFFFF"/>
          <w:spacing w:val="-232"/>
          <w:w w:val="134"/>
        </w:rPr>
        <w:t>é</w:t>
      </w:r>
      <w:r>
        <w:rPr>
          <w:color w:val="CC2D31"/>
          <w:spacing w:val="-232"/>
          <w:w w:val="268"/>
        </w:rPr>
        <w:t>í</w:t>
      </w:r>
      <w:r>
        <w:rPr>
          <w:color w:val="FFFF00"/>
          <w:spacing w:val="-232"/>
          <w:w w:val="268"/>
        </w:rPr>
        <w:t>ì</w:t>
      </w:r>
      <w:r>
        <w:rPr>
          <w:color w:val="4CE500"/>
          <w:w w:val="134"/>
        </w:rPr>
        <w:t>ë </w:t>
      </w:r>
      <w:r>
        <w:rPr>
          <w:color w:val="4CE500"/>
          <w:spacing w:val="-232"/>
          <w:w w:val="134"/>
        </w:rPr>
        <w:t>ë</w:t>
      </w:r>
      <w:r>
        <w:rPr>
          <w:color w:val="FFFF00"/>
          <w:spacing w:val="-232"/>
          <w:w w:val="268"/>
        </w:rPr>
        <w:t>ì</w:t>
      </w:r>
      <w:r>
        <w:rPr>
          <w:color w:val="CC2D31"/>
          <w:spacing w:val="-232"/>
          <w:w w:val="268"/>
        </w:rPr>
        <w:t>í</w:t>
      </w:r>
      <w:r>
        <w:rPr>
          <w:color w:val="FFFFFF"/>
          <w:spacing w:val="-232"/>
          <w:w w:val="134"/>
        </w:rPr>
        <w:t>é</w:t>
      </w:r>
      <w:r>
        <w:rPr>
          <w:w w:val="134"/>
        </w:rPr>
        <w:t>è</w:t>
      </w:r>
    </w:p>
    <w:p>
      <w:pPr>
        <w:spacing w:before="120"/>
        <w:ind w:left="440" w:right="0" w:firstLine="0"/>
        <w:jc w:val="left"/>
        <w:rPr>
          <w:rFonts w:ascii="Arial"/>
          <w:sz w:val="31"/>
        </w:rPr>
      </w:pPr>
      <w:r>
        <w:rPr/>
        <w:br w:type="column"/>
      </w:r>
      <w:r>
        <w:rPr>
          <w:rFonts w:ascii="Arial"/>
          <w:color w:val="FFFFFF"/>
          <w:spacing w:val="-249"/>
          <w:w w:val="143"/>
          <w:sz w:val="31"/>
        </w:rPr>
        <w:t>$</w:t>
      </w:r>
      <w:r>
        <w:rPr>
          <w:rFonts w:ascii="Arial"/>
          <w:color w:val="CC2D31"/>
          <w:spacing w:val="-249"/>
          <w:w w:val="225"/>
          <w:sz w:val="31"/>
        </w:rPr>
        <w:t>"</w:t>
      </w:r>
      <w:r>
        <w:rPr>
          <w:rFonts w:ascii="Arial"/>
          <w:color w:val="FFFFFF"/>
          <w:w w:val="287"/>
          <w:sz w:val="31"/>
        </w:rPr>
        <w:t>!</w:t>
      </w:r>
    </w:p>
    <w:p>
      <w:pPr>
        <w:pStyle w:val="BodyText"/>
        <w:spacing w:before="11"/>
        <w:rPr>
          <w:rFonts w:ascii="Arial"/>
          <w:sz w:val="35"/>
        </w:rPr>
      </w:pPr>
    </w:p>
    <w:p>
      <w:pPr>
        <w:pStyle w:val="Heading8"/>
        <w:ind w:left="498"/>
      </w:pPr>
      <w:r>
        <w:rPr>
          <w:color w:val="CC2D31"/>
          <w:spacing w:val="-232"/>
          <w:w w:val="268"/>
        </w:rPr>
        <w:t>í</w:t>
      </w:r>
      <w:r>
        <w:rPr>
          <w:spacing w:val="-232"/>
          <w:w w:val="134"/>
        </w:rPr>
        <w:t>è</w:t>
      </w:r>
      <w:r>
        <w:rPr>
          <w:color w:val="FFFFFF"/>
          <w:spacing w:val="-232"/>
          <w:w w:val="134"/>
        </w:rPr>
        <w:t>é</w:t>
      </w:r>
      <w:r>
        <w:rPr>
          <w:color w:val="4CE500"/>
          <w:spacing w:val="-232"/>
          <w:w w:val="134"/>
        </w:rPr>
        <w:t>ë</w:t>
      </w:r>
      <w:r>
        <w:rPr>
          <w:color w:val="FFFF00"/>
          <w:w w:val="268"/>
        </w:rPr>
        <w:t>ì</w:t>
      </w:r>
    </w:p>
    <w:p>
      <w:pPr>
        <w:spacing w:after="0"/>
        <w:sectPr>
          <w:type w:val="continuous"/>
          <w:pgSz w:w="15840" w:h="24480"/>
          <w:pgMar w:top="1480" w:bottom="1320" w:left="0" w:right="0"/>
          <w:cols w:num="6" w:equalWidth="0">
            <w:col w:w="4168" w:space="40"/>
            <w:col w:w="802" w:space="39"/>
            <w:col w:w="2204" w:space="39"/>
            <w:col w:w="1741" w:space="39"/>
            <w:col w:w="514" w:space="40"/>
            <w:col w:w="6214"/>
          </w:cols>
        </w:sectPr>
      </w:pPr>
    </w:p>
    <w:p>
      <w:pPr>
        <w:pStyle w:val="BodyText"/>
        <w:spacing w:before="4"/>
        <w:rPr>
          <w:rFonts w:ascii="Arial"/>
          <w:sz w:val="20"/>
        </w:rPr>
      </w:pPr>
    </w:p>
    <w:p>
      <w:pPr>
        <w:spacing w:before="117"/>
        <w:ind w:left="3842" w:right="64" w:firstLine="0"/>
        <w:jc w:val="center"/>
        <w:rPr>
          <w:rFonts w:ascii="Century Gothic" w:hAnsi="Century Gothic"/>
          <w:b/>
          <w:sz w:val="13"/>
        </w:rPr>
      </w:pPr>
      <w:r>
        <w:rPr>
          <w:rFonts w:ascii="Arial" w:hAnsi="Arial"/>
          <w:color w:val="FFFFFF"/>
          <w:spacing w:val="-232"/>
          <w:w w:val="134"/>
          <w:position w:val="-14"/>
          <w:sz w:val="31"/>
        </w:rPr>
        <w:t>é</w:t>
      </w:r>
      <w:r>
        <w:rPr>
          <w:rFonts w:ascii="Arial" w:hAnsi="Arial"/>
          <w:color w:val="CC2D31"/>
          <w:spacing w:val="-232"/>
          <w:w w:val="268"/>
          <w:position w:val="-14"/>
          <w:sz w:val="31"/>
        </w:rPr>
        <w:t>í</w:t>
      </w:r>
      <w:r>
        <w:rPr>
          <w:rFonts w:ascii="Arial" w:hAnsi="Arial"/>
          <w:color w:val="FFFF00"/>
          <w:spacing w:val="-232"/>
          <w:w w:val="268"/>
          <w:position w:val="-14"/>
          <w:sz w:val="31"/>
        </w:rPr>
        <w:t>ì</w:t>
      </w:r>
      <w:r>
        <w:rPr>
          <w:rFonts w:ascii="Arial" w:hAnsi="Arial"/>
          <w:color w:val="4CE500"/>
          <w:spacing w:val="-232"/>
          <w:w w:val="134"/>
          <w:position w:val="-14"/>
          <w:sz w:val="31"/>
        </w:rPr>
        <w:t>ë</w:t>
      </w:r>
      <w:r>
        <w:rPr>
          <w:rFonts w:ascii="Arial" w:hAnsi="Arial"/>
          <w:spacing w:val="-126"/>
          <w:w w:val="134"/>
          <w:position w:val="-14"/>
          <w:sz w:val="31"/>
        </w:rPr>
        <w:t>è</w:t>
      </w:r>
      <w:r>
        <w:rPr>
          <w:rFonts w:ascii="Century Gothic" w:hAnsi="Century Gothic"/>
          <w:b/>
          <w:color w:val="4D4D4D"/>
          <w:spacing w:val="-5"/>
          <w:w w:val="102"/>
          <w:sz w:val="13"/>
        </w:rPr>
        <w:t>Un</w:t>
      </w:r>
      <w:r>
        <w:rPr>
          <w:rFonts w:ascii="Century Gothic" w:hAnsi="Century Gothic"/>
          <w:b/>
          <w:color w:val="4D4D4D"/>
          <w:spacing w:val="-1"/>
          <w:w w:val="102"/>
          <w:sz w:val="13"/>
        </w:rPr>
        <w:t>i</w:t>
      </w:r>
      <w:r>
        <w:rPr>
          <w:rFonts w:ascii="Century Gothic" w:hAnsi="Century Gothic"/>
          <w:b/>
          <w:color w:val="4D4D4D"/>
          <w:w w:val="102"/>
          <w:sz w:val="13"/>
        </w:rPr>
        <w:t>v</w:t>
      </w:r>
      <w:r>
        <w:rPr>
          <w:rFonts w:ascii="Century Gothic" w:hAnsi="Century Gothic"/>
          <w:b/>
          <w:color w:val="4D4D4D"/>
          <w:spacing w:val="-5"/>
          <w:w w:val="102"/>
          <w:sz w:val="13"/>
        </w:rPr>
        <w:t>e</w:t>
      </w:r>
      <w:r>
        <w:rPr>
          <w:rFonts w:ascii="Century Gothic" w:hAnsi="Century Gothic"/>
          <w:b/>
          <w:color w:val="4D4D4D"/>
          <w:spacing w:val="-1"/>
          <w:w w:val="102"/>
          <w:sz w:val="13"/>
        </w:rPr>
        <w:t>r</w:t>
      </w:r>
      <w:r>
        <w:rPr>
          <w:rFonts w:ascii="Century Gothic" w:hAnsi="Century Gothic"/>
          <w:b/>
          <w:color w:val="4D4D4D"/>
          <w:spacing w:val="-6"/>
          <w:w w:val="102"/>
          <w:position w:val="1"/>
          <w:sz w:val="13"/>
        </w:rPr>
        <w:t>s</w:t>
      </w:r>
      <w:r>
        <w:rPr>
          <w:rFonts w:ascii="Century Gothic" w:hAnsi="Century Gothic"/>
          <w:b/>
          <w:color w:val="4D4D4D"/>
          <w:spacing w:val="-1"/>
          <w:w w:val="102"/>
          <w:position w:val="1"/>
          <w:sz w:val="13"/>
        </w:rPr>
        <w:t>i</w:t>
      </w:r>
      <w:r>
        <w:rPr>
          <w:rFonts w:ascii="Century Gothic" w:hAnsi="Century Gothic"/>
          <w:b/>
          <w:color w:val="4D4D4D"/>
          <w:spacing w:val="-4"/>
          <w:w w:val="102"/>
          <w:position w:val="1"/>
          <w:sz w:val="13"/>
        </w:rPr>
        <w:t>t</w:t>
      </w:r>
      <w:r>
        <w:rPr>
          <w:rFonts w:ascii="Century Gothic" w:hAnsi="Century Gothic"/>
          <w:b/>
          <w:color w:val="4D4D4D"/>
          <w:w w:val="102"/>
          <w:position w:val="1"/>
          <w:sz w:val="13"/>
        </w:rPr>
        <w:t>y</w:t>
      </w:r>
      <w:r>
        <w:rPr>
          <w:rFonts w:ascii="Century Gothic" w:hAnsi="Century Gothic"/>
          <w:b/>
          <w:color w:val="4D4D4D"/>
          <w:spacing w:val="-2"/>
          <w:position w:val="1"/>
          <w:sz w:val="13"/>
        </w:rPr>
        <w:t> </w:t>
      </w:r>
      <w:r>
        <w:rPr>
          <w:rFonts w:ascii="Century Gothic" w:hAnsi="Century Gothic"/>
          <w:b/>
          <w:color w:val="4D4D4D"/>
          <w:spacing w:val="-55"/>
          <w:w w:val="102"/>
          <w:position w:val="1"/>
          <w:sz w:val="13"/>
        </w:rPr>
        <w:t>D</w:t>
      </w:r>
      <w:r>
        <w:rPr>
          <w:rFonts w:ascii="Arial" w:hAnsi="Arial"/>
          <w:color w:val="4CE500"/>
          <w:spacing w:val="-232"/>
          <w:w w:val="134"/>
          <w:position w:val="-13"/>
          <w:sz w:val="31"/>
        </w:rPr>
        <w:t>ë</w:t>
      </w:r>
      <w:r>
        <w:rPr>
          <w:rFonts w:ascii="Arial" w:hAnsi="Arial"/>
          <w:color w:val="FFFF00"/>
          <w:spacing w:val="-232"/>
          <w:w w:val="268"/>
          <w:position w:val="-13"/>
          <w:sz w:val="31"/>
        </w:rPr>
        <w:t>ì</w:t>
      </w:r>
      <w:r>
        <w:rPr>
          <w:rFonts w:ascii="Arial" w:hAnsi="Arial"/>
          <w:color w:val="CC2D31"/>
          <w:spacing w:val="-232"/>
          <w:w w:val="268"/>
          <w:position w:val="-13"/>
          <w:sz w:val="31"/>
        </w:rPr>
        <w:t>í</w:t>
      </w:r>
      <w:r>
        <w:rPr>
          <w:rFonts w:ascii="Arial" w:hAnsi="Arial"/>
          <w:spacing w:val="-232"/>
          <w:w w:val="134"/>
          <w:position w:val="-13"/>
          <w:sz w:val="31"/>
        </w:rPr>
        <w:t>è</w:t>
      </w:r>
      <w:r>
        <w:rPr>
          <w:rFonts w:ascii="Arial" w:hAnsi="Arial"/>
          <w:color w:val="FFFFFF"/>
          <w:spacing w:val="-176"/>
          <w:w w:val="134"/>
          <w:position w:val="-13"/>
          <w:sz w:val="31"/>
        </w:rPr>
        <w:t>é</w:t>
      </w:r>
      <w:r>
        <w:rPr>
          <w:rFonts w:ascii="Century Gothic" w:hAnsi="Century Gothic"/>
          <w:b/>
          <w:color w:val="4D4D4D"/>
          <w:w w:val="102"/>
          <w:position w:val="1"/>
          <w:sz w:val="13"/>
        </w:rPr>
        <w:t>r</w:t>
      </w:r>
    </w:p>
    <w:p>
      <w:pPr>
        <w:pStyle w:val="BodyText"/>
        <w:spacing w:before="12"/>
        <w:rPr>
          <w:rFonts w:ascii="Century Gothic"/>
          <w:b/>
          <w:sz w:val="26"/>
        </w:rPr>
      </w:pPr>
    </w:p>
    <w:p>
      <w:pPr>
        <w:spacing w:after="0"/>
        <w:rPr>
          <w:rFonts w:ascii="Century Gothic"/>
          <w:sz w:val="26"/>
        </w:rPr>
        <w:sectPr>
          <w:type w:val="continuous"/>
          <w:pgSz w:w="15840" w:h="24480"/>
          <w:pgMar w:top="1480" w:bottom="1320" w:left="0" w:right="0"/>
        </w:sectPr>
      </w:pPr>
    </w:p>
    <w:p>
      <w:pPr>
        <w:pStyle w:val="Heading8"/>
        <w:spacing w:before="119"/>
        <w:jc w:val="right"/>
      </w:pPr>
      <w:r>
        <w:rPr>
          <w:spacing w:val="-232"/>
          <w:w w:val="134"/>
        </w:rPr>
        <w:t>è</w:t>
      </w:r>
      <w:r>
        <w:rPr>
          <w:color w:val="CC2D31"/>
          <w:spacing w:val="-232"/>
          <w:w w:val="268"/>
        </w:rPr>
        <w:t>í</w:t>
      </w:r>
      <w:r>
        <w:rPr>
          <w:color w:val="FFFF00"/>
          <w:spacing w:val="-232"/>
          <w:w w:val="268"/>
        </w:rPr>
        <w:t>ì</w:t>
      </w:r>
      <w:r>
        <w:rPr>
          <w:color w:val="4CE500"/>
          <w:spacing w:val="-232"/>
          <w:w w:val="134"/>
        </w:rPr>
        <w:t>ë</w:t>
      </w:r>
      <w:r>
        <w:rPr>
          <w:color w:val="FFFFFF"/>
          <w:w w:val="134"/>
        </w:rPr>
        <w:t>é</w:t>
      </w:r>
    </w:p>
    <w:p>
      <w:pPr>
        <w:pStyle w:val="BodyText"/>
        <w:rPr>
          <w:rFonts w:ascii="Arial"/>
          <w:sz w:val="30"/>
        </w:rPr>
      </w:pPr>
      <w:r>
        <w:rPr/>
        <w:br w:type="column"/>
      </w:r>
      <w:r>
        <w:rPr>
          <w:rFonts w:ascii="Arial"/>
          <w:sz w:val="30"/>
        </w:rPr>
      </w:r>
    </w:p>
    <w:p>
      <w:pPr>
        <w:pStyle w:val="BodyText"/>
        <w:rPr>
          <w:rFonts w:ascii="Arial"/>
          <w:sz w:val="30"/>
        </w:rPr>
      </w:pPr>
    </w:p>
    <w:p>
      <w:pPr>
        <w:spacing w:before="188"/>
        <w:ind w:left="0" w:right="0" w:firstLine="0"/>
        <w:jc w:val="right"/>
        <w:rPr>
          <w:rFonts w:ascii="Arial"/>
          <w:sz w:val="31"/>
        </w:rPr>
      </w:pPr>
      <w:r>
        <w:rPr/>
        <w:pict>
          <v:shape style="position:absolute;margin-left:393.600909pt;margin-top:-5.906839pt;width:40.25pt;height:6.65pt;mso-position-horizontal-relative:page;mso-position-vertical-relative:paragraph;z-index:-268220416;rotation:306" type="#_x0000_t136" fillcolor="#4d4d4d" stroked="f">
            <o:extrusion v:ext="view" autorotationcenter="t"/>
            <v:textpath style="font-family:&quot;Century Gothic&quot;;font-size:6pt;v-text-kern:t;mso-text-shadow:auto;font-weight:bold" string="Logston Blvd"/>
            <w10:wrap type="none"/>
          </v:shape>
        </w:pict>
      </w:r>
      <w:r>
        <w:rPr>
          <w:rFonts w:ascii="Arial"/>
          <w:color w:val="FFFFFF"/>
          <w:spacing w:val="-249"/>
          <w:w w:val="287"/>
          <w:sz w:val="31"/>
        </w:rPr>
        <w:t>!</w:t>
      </w:r>
      <w:r>
        <w:rPr>
          <w:rFonts w:ascii="Arial"/>
          <w:color w:val="CC2D31"/>
          <w:spacing w:val="-249"/>
          <w:w w:val="225"/>
          <w:sz w:val="31"/>
        </w:rPr>
        <w:t>"</w:t>
      </w:r>
      <w:r>
        <w:rPr>
          <w:rFonts w:ascii="Arial"/>
          <w:color w:val="FFFFFF"/>
          <w:w w:val="143"/>
          <w:sz w:val="31"/>
        </w:rPr>
        <w:t>$</w:t>
      </w:r>
    </w:p>
    <w:p>
      <w:pPr>
        <w:pStyle w:val="BodyText"/>
        <w:rPr>
          <w:rFonts w:ascii="Arial"/>
          <w:sz w:val="30"/>
        </w:rPr>
      </w:pPr>
      <w:r>
        <w:rPr/>
        <w:br w:type="column"/>
      </w:r>
      <w:r>
        <w:rPr>
          <w:rFonts w:ascii="Arial"/>
          <w:sz w:val="30"/>
        </w:rPr>
      </w:r>
    </w:p>
    <w:p>
      <w:pPr>
        <w:pStyle w:val="BodyText"/>
        <w:rPr>
          <w:rFonts w:ascii="Arial"/>
          <w:sz w:val="30"/>
        </w:rPr>
      </w:pPr>
    </w:p>
    <w:p>
      <w:pPr>
        <w:pStyle w:val="BodyText"/>
        <w:rPr>
          <w:rFonts w:ascii="Arial"/>
          <w:sz w:val="30"/>
        </w:rPr>
      </w:pPr>
    </w:p>
    <w:p>
      <w:pPr>
        <w:pStyle w:val="BodyText"/>
        <w:spacing w:before="10"/>
        <w:rPr>
          <w:rFonts w:ascii="Arial"/>
          <w:sz w:val="23"/>
        </w:rPr>
      </w:pPr>
    </w:p>
    <w:p>
      <w:pPr>
        <w:spacing w:before="1"/>
        <w:ind w:left="334" w:right="0" w:firstLine="0"/>
        <w:jc w:val="left"/>
        <w:rPr>
          <w:rFonts w:ascii="Arial" w:hAnsi="Arial"/>
          <w:sz w:val="31"/>
        </w:rPr>
      </w:pPr>
      <w:r>
        <w:rPr/>
        <w:pict>
          <v:shape style="position:absolute;margin-left:412.456348pt;margin-top:-24.358428pt;width:40.75pt;height:6.65pt;mso-position-horizontal-relative:page;mso-position-vertical-relative:paragraph;z-index:251814912;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409.565027pt;margin-top:24.798108pt;width:31.7pt;height:6.65pt;mso-position-horizontal-relative:page;mso-position-vertical-relative:paragraph;z-index:251815936;rotation:282" type="#_x0000_t136" fillcolor="#4d4d4d" stroked="f">
            <o:extrusion v:ext="view" autorotationcenter="t"/>
            <v:textpath style="font-family:&quot;Century Gothic&quot;;font-size:6pt;v-text-kern:t;mso-text-shadow:auto;font-weight:bold" string="Hagen Rd"/>
            <w10:wrap type="none"/>
          </v:shape>
        </w:pic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CC2D31"/>
          <w:spacing w:val="-232"/>
          <w:w w:val="268"/>
          <w:sz w:val="31"/>
        </w:rPr>
        <w:t>í</w:t>
      </w:r>
      <w:r>
        <w:rPr>
          <w:rFonts w:ascii="Arial" w:hAnsi="Arial"/>
          <w:spacing w:val="-232"/>
          <w:w w:val="134"/>
          <w:sz w:val="31"/>
        </w:rPr>
        <w:t>è</w:t>
      </w:r>
      <w:r>
        <w:rPr>
          <w:rFonts w:ascii="Arial" w:hAnsi="Arial"/>
          <w:color w:val="FFFFFF"/>
          <w:w w:val="134"/>
          <w:sz w:val="31"/>
        </w:rPr>
        <w:t>é</w:t>
      </w:r>
    </w:p>
    <w:p>
      <w:pPr>
        <w:spacing w:line="456" w:lineRule="auto" w:before="180"/>
        <w:ind w:left="443" w:right="16" w:firstLine="11"/>
        <w:jc w:val="left"/>
        <w:rPr>
          <w:rFonts w:ascii="Arial" w:hAnsi="Arial"/>
          <w:sz w:val="31"/>
        </w:rPr>
      </w:pPr>
      <w:r>
        <w:rPr/>
        <w:br w:type="column"/>
      </w:r>
      <w:r>
        <w:rPr>
          <w:rFonts w:ascii="Arial" w:hAnsi="Arial"/>
          <w:color w:val="CC2D31"/>
          <w:spacing w:val="-232"/>
          <w:w w:val="268"/>
          <w:sz w:val="31"/>
        </w:rPr>
        <w:t>í</w:t>
      </w:r>
      <w:r>
        <w:rPr>
          <w:rFonts w:ascii="Arial" w:hAnsi="Arial"/>
          <w:color w:val="FFFFFF"/>
          <w:spacing w:val="-232"/>
          <w:w w:val="134"/>
          <w:sz w:val="31"/>
        </w:rPr>
        <w:t>é</w:t>
      </w:r>
      <w:r>
        <w:rPr>
          <w:rFonts w:ascii="Arial" w:hAnsi="Arial"/>
          <w:color w:val="FFFF00"/>
          <w:spacing w:val="-232"/>
          <w:w w:val="268"/>
          <w:sz w:val="31"/>
        </w:rPr>
        <w:t>ì</w:t>
      </w:r>
      <w:r>
        <w:rPr>
          <w:rFonts w:ascii="Arial" w:hAnsi="Arial"/>
          <w:color w:val="4CE500"/>
          <w:spacing w:val="-232"/>
          <w:w w:val="134"/>
          <w:sz w:val="31"/>
        </w:rPr>
        <w:t>ë</w:t>
      </w:r>
      <w:r>
        <w:rPr>
          <w:rFonts w:ascii="Arial" w:hAnsi="Arial"/>
          <w:w w:val="134"/>
          <w:sz w:val="31"/>
        </w:rPr>
        <w:t>è </w:t>
      </w:r>
      <w:r>
        <w:rPr>
          <w:rFonts w:ascii="Arial" w:hAnsi="Arial"/>
          <w:color w:val="FFFFFF"/>
          <w:spacing w:val="-232"/>
          <w:w w:val="134"/>
          <w:sz w:val="31"/>
        </w:rPr>
        <w:t>é</w:t>
      </w:r>
      <w:r>
        <w:rPr>
          <w:rFonts w:ascii="Arial" w:hAnsi="Arial"/>
          <w:color w:val="4CE500"/>
          <w:spacing w:val="-232"/>
          <w:w w:val="134"/>
          <w:sz w:val="31"/>
        </w:rPr>
        <w:t>ë</w:t>
      </w:r>
      <w:r>
        <w:rPr>
          <w:rFonts w:ascii="Arial" w:hAnsi="Arial"/>
          <w:spacing w:val="-232"/>
          <w:w w:val="134"/>
          <w:sz w:val="31"/>
        </w:rPr>
        <w:t>è</w:t>
      </w:r>
      <w:r>
        <w:rPr>
          <w:rFonts w:ascii="Arial" w:hAnsi="Arial"/>
          <w:color w:val="CC2D31"/>
          <w:spacing w:val="-232"/>
          <w:w w:val="268"/>
          <w:sz w:val="31"/>
        </w:rPr>
        <w:t>í</w:t>
      </w:r>
      <w:r>
        <w:rPr>
          <w:rFonts w:ascii="Arial" w:hAnsi="Arial"/>
          <w:color w:val="FFFF00"/>
          <w:w w:val="268"/>
          <w:sz w:val="31"/>
        </w:rPr>
        <w:t>ì</w:t>
      </w:r>
    </w:p>
    <w:p>
      <w:pPr>
        <w:spacing w:line="187" w:lineRule="auto" w:before="144"/>
        <w:ind w:left="310" w:right="44" w:firstLine="116"/>
        <w:jc w:val="left"/>
        <w:rPr>
          <w:rFonts w:ascii="Arial" w:hAnsi="Arial"/>
          <w:sz w:val="31"/>
        </w:rPr>
      </w:pPr>
      <w:r>
        <w:rPr/>
        <w:pict>
          <v:shape style="position:absolute;margin-left:448.586078pt;margin-top:-71.238956pt;width:33.25pt;height:6.65pt;mso-position-horizontal-relative:page;mso-position-vertical-relative:paragraph;z-index:251811840;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22.251764pt;margin-top:42.788882pt;width:40.7pt;height:6.65pt;mso-position-horizontal-relative:page;mso-position-vertical-relative:paragraph;z-index:251817984;rotation:312" type="#_x0000_t136" fillcolor="#4d4d4d" stroked="f">
            <o:extrusion v:ext="view" autorotationcenter="t"/>
            <v:textpath style="font-family:&quot;Century Gothic&quot;;font-size:6pt;v-text-kern:t;mso-text-shadow:auto;font-weight:bold" string="By-pass Hwy"/>
            <w10:wrap type="none"/>
          </v:shape>
        </w:pict>
      </w:r>
      <w:r>
        <w:rPr>
          <w:rFonts w:ascii="Arial" w:hAnsi="Arial"/>
          <w:color w:val="CC2D31"/>
          <w:spacing w:val="-232"/>
          <w:w w:val="268"/>
          <w:sz w:val="31"/>
        </w:rPr>
        <w:t>í</w:t>
      </w:r>
      <w:r>
        <w:rPr>
          <w:rFonts w:ascii="Arial" w:hAnsi="Arial"/>
          <w:spacing w:val="-232"/>
          <w:w w:val="134"/>
          <w:sz w:val="31"/>
        </w:rPr>
        <w:t>è</w:t>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w w:val="268"/>
          <w:sz w:val="31"/>
        </w:rPr>
        <w:t>ì </w:t>
      </w:r>
      <w:r>
        <w:rPr>
          <w:rFonts w:ascii="Arial" w:hAnsi="Arial"/>
          <w:color w:val="FFFF00"/>
          <w:spacing w:val="-232"/>
          <w:w w:val="268"/>
          <w:sz w:val="31"/>
        </w:rPr>
        <w:t>ì</w:t>
      </w:r>
      <w:r>
        <w:rPr>
          <w:rFonts w:ascii="Arial" w:hAnsi="Arial"/>
          <w:spacing w:val="-232"/>
          <w:w w:val="134"/>
          <w:sz w:val="31"/>
        </w:rPr>
        <w:t>è</w:t>
      </w:r>
      <w:r>
        <w:rPr>
          <w:rFonts w:ascii="Arial" w:hAnsi="Arial"/>
          <w:color w:val="CC2D31"/>
          <w:spacing w:val="-232"/>
          <w:w w:val="268"/>
          <w:sz w:val="31"/>
        </w:rPr>
        <w:t>í</w:t>
      </w:r>
      <w:r>
        <w:rPr>
          <w:rFonts w:ascii="Arial" w:hAnsi="Arial"/>
          <w:color w:val="FFFFFF"/>
          <w:spacing w:val="-232"/>
          <w:w w:val="134"/>
          <w:sz w:val="31"/>
        </w:rPr>
        <w:t>é</w:t>
      </w:r>
      <w:r>
        <w:rPr>
          <w:rFonts w:ascii="Arial" w:hAnsi="Arial"/>
          <w:color w:val="4CE500"/>
          <w:w w:val="134"/>
          <w:sz w:val="31"/>
        </w:rPr>
        <w:t>ë</w:t>
      </w:r>
    </w:p>
    <w:p>
      <w:pPr>
        <w:spacing w:before="133"/>
        <w:ind w:left="473" w:right="0" w:firstLine="0"/>
        <w:jc w:val="left"/>
        <w:rPr>
          <w:rFonts w:ascii="Arial"/>
          <w:sz w:val="31"/>
        </w:rPr>
      </w:pPr>
      <w:r>
        <w:rPr>
          <w:rFonts w:ascii="Arial"/>
          <w:color w:val="FFFFFF"/>
          <w:spacing w:val="-249"/>
          <w:w w:val="287"/>
          <w:sz w:val="31"/>
        </w:rPr>
        <w:t>!</w:t>
      </w:r>
      <w:r>
        <w:rPr>
          <w:rFonts w:ascii="Arial"/>
          <w:color w:val="FFFFFF"/>
          <w:spacing w:val="-249"/>
          <w:w w:val="143"/>
          <w:sz w:val="31"/>
        </w:rPr>
        <w:t>$</w:t>
      </w:r>
      <w:r>
        <w:rPr>
          <w:rFonts w:ascii="Arial"/>
          <w:color w:val="CC2D31"/>
          <w:w w:val="225"/>
          <w:sz w:val="31"/>
        </w:rPr>
        <w:t>"</w:t>
      </w:r>
    </w:p>
    <w:p>
      <w:pPr>
        <w:spacing w:line="388" w:lineRule="auto" w:before="263"/>
        <w:ind w:left="467" w:right="5443" w:firstLine="16"/>
        <w:jc w:val="left"/>
        <w:rPr>
          <w:rFonts w:ascii="Arial" w:hAnsi="Arial"/>
          <w:sz w:val="31"/>
        </w:rPr>
      </w:pPr>
      <w:r>
        <w:rPr/>
        <w:br w:type="column"/>
      </w:r>
      <w:r>
        <w:rPr>
          <w:rFonts w:ascii="Arial" w:hAnsi="Arial"/>
          <w:color w:val="FFFFFF"/>
          <w:spacing w:val="-232"/>
          <w:w w:val="134"/>
          <w:sz w:val="31"/>
        </w:rPr>
        <w:t>é</w:t>
      </w:r>
      <w:r>
        <w:rPr>
          <w:rFonts w:ascii="Arial" w:hAnsi="Arial"/>
          <w:spacing w:val="-232"/>
          <w:w w:val="134"/>
          <w:sz w:val="31"/>
        </w:rPr>
        <w:t>è</w: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CC2D31"/>
          <w:w w:val="268"/>
          <w:sz w:val="31"/>
        </w:rPr>
        <w:t>í </w: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FFFFFF"/>
          <w:spacing w:val="-232"/>
          <w:w w:val="134"/>
          <w:sz w:val="31"/>
        </w:rPr>
        <w:t>é</w:t>
      </w:r>
      <w:r>
        <w:rPr>
          <w:rFonts w:ascii="Arial" w:hAnsi="Arial"/>
          <w:spacing w:val="-232"/>
          <w:w w:val="134"/>
          <w:sz w:val="31"/>
        </w:rPr>
        <w:t>è</w:t>
      </w:r>
      <w:r>
        <w:rPr>
          <w:rFonts w:ascii="Arial" w:hAnsi="Arial"/>
          <w:color w:val="CC2D31"/>
          <w:w w:val="268"/>
          <w:sz w:val="31"/>
        </w:rPr>
        <w:t>í</w:t>
      </w:r>
    </w:p>
    <w:p>
      <w:pPr>
        <w:spacing w:line="338" w:lineRule="auto" w:before="186"/>
        <w:ind w:left="429" w:right="5481" w:firstLine="16"/>
        <w:jc w:val="left"/>
        <w:rPr>
          <w:rFonts w:ascii="Arial" w:hAnsi="Arial"/>
          <w:sz w:val="31"/>
        </w:rPr>
      </w:pPr>
      <w:r>
        <w:rPr/>
        <w:pict>
          <v:shape style="position:absolute;margin-left:466.730322pt;margin-top:-37.768614pt;width:80.6pt;height:6.65pt;mso-position-horizontal-relative:page;mso-position-vertical-relative:paragraph;z-index:-268223488;rotation:272" type="#_x0000_t136" fillcolor="#4d4d4d" stroked="f">
            <o:extrusion v:ext="view" autorotationcenter="t"/>
            <v:textpath style="font-family:&quot;Century Gothic&quot;;font-size:6pt;v-text-kern:t;mso-text-shadow:auto;font-weight:bold" string="George Washington Way"/>
            <w10:wrap type="none"/>
          </v:shape>
        </w:pict>
      </w:r>
      <w:r>
        <w:rPr>
          <w:rFonts w:ascii="Arial" w:hAnsi="Arial"/>
          <w:spacing w:val="-232"/>
          <w:w w:val="134"/>
          <w:sz w:val="31"/>
        </w:rPr>
        <w:t>è</w:t>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CC2D31"/>
          <w:w w:val="268"/>
          <w:sz w:val="31"/>
        </w:rPr>
        <w:t>í </w:t>
      </w:r>
      <w:r>
        <w:rPr>
          <w:rFonts w:ascii="Arial" w:hAnsi="Arial"/>
          <w:spacing w:val="-232"/>
          <w:w w:val="134"/>
          <w:sz w:val="31"/>
        </w:rPr>
        <w:t>è</w:t>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CC2D31"/>
          <w:w w:val="268"/>
          <w:sz w:val="31"/>
        </w:rPr>
        <w:t>í</w:t>
      </w:r>
    </w:p>
    <w:p>
      <w:pPr>
        <w:spacing w:after="0" w:line="338" w:lineRule="auto"/>
        <w:jc w:val="left"/>
        <w:rPr>
          <w:rFonts w:ascii="Arial" w:hAnsi="Arial"/>
          <w:sz w:val="31"/>
        </w:rPr>
        <w:sectPr>
          <w:type w:val="continuous"/>
          <w:pgSz w:w="15840" w:h="24480"/>
          <w:pgMar w:top="1480" w:bottom="1320" w:left="0" w:right="0"/>
          <w:cols w:num="5" w:equalWidth="0">
            <w:col w:w="7166" w:space="40"/>
            <w:col w:w="1049" w:space="39"/>
            <w:col w:w="567" w:space="40"/>
            <w:col w:w="722" w:space="39"/>
            <w:col w:w="6178"/>
          </w:cols>
        </w:sectPr>
      </w:pPr>
    </w:p>
    <w:p>
      <w:pPr>
        <w:spacing w:before="109"/>
        <w:ind w:left="0" w:right="0" w:firstLine="0"/>
        <w:jc w:val="right"/>
        <w:rPr>
          <w:rFonts w:ascii="Arial" w:hAnsi="Arial"/>
          <w:sz w:val="31"/>
        </w:rPr>
      </w:pPr>
      <w:r>
        <w:rPr/>
        <w:pict>
          <v:shape style="position:absolute;margin-left:328.539368pt;margin-top:3.218252pt;width:10.25pt;height:30.8pt;mso-position-horizontal-relative:page;mso-position-vertical-relative:paragraph;z-index:251800576"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Jones Rd</w:t>
                  </w:r>
                </w:p>
              </w:txbxContent>
            </v:textbox>
            <w10:wrap type="none"/>
          </v:shape>
        </w:pict>
      </w:r>
      <w:r>
        <w:rPr>
          <w:rFonts w:ascii="Arial" w:hAnsi="Arial"/>
          <w:color w:val="CC2D31"/>
          <w:spacing w:val="-232"/>
          <w:w w:val="268"/>
          <w:sz w:val="31"/>
        </w:rPr>
        <w:t>í</w:t>
      </w:r>
      <w:r>
        <w:rPr>
          <w:rFonts w:ascii="Arial" w:hAnsi="Arial"/>
          <w:color w:val="FFFF00"/>
          <w:spacing w:val="-232"/>
          <w:w w:val="268"/>
          <w:sz w:val="31"/>
        </w:rPr>
        <w:t>ì</w:t>
      </w:r>
      <w:r>
        <w:rPr>
          <w:rFonts w:ascii="Arial" w:hAnsi="Arial"/>
          <w:color w:val="4CE500"/>
          <w:spacing w:val="-232"/>
          <w:w w:val="134"/>
          <w:sz w:val="31"/>
        </w:rPr>
        <w:t>ë</w:t>
      </w:r>
      <w:r>
        <w:rPr>
          <w:rFonts w:ascii="Arial" w:hAnsi="Arial"/>
          <w:color w:val="FFFFFF"/>
          <w:spacing w:val="-232"/>
          <w:w w:val="134"/>
          <w:sz w:val="31"/>
        </w:rPr>
        <w:t>é</w:t>
      </w:r>
      <w:r>
        <w:rPr>
          <w:rFonts w:ascii="Arial" w:hAnsi="Arial"/>
          <w:w w:val="134"/>
          <w:sz w:val="31"/>
        </w:rPr>
        <w:t>è</w:t>
      </w:r>
    </w:p>
    <w:p>
      <w:pPr>
        <w:tabs>
          <w:tab w:pos="1423" w:val="left" w:leader="none"/>
        </w:tabs>
        <w:spacing w:before="21"/>
        <w:ind w:left="664" w:right="0" w:firstLine="0"/>
        <w:jc w:val="left"/>
        <w:rPr>
          <w:rFonts w:ascii="Arial" w:hAnsi="Arial"/>
          <w:sz w:val="31"/>
        </w:rPr>
      </w:pPr>
      <w:r>
        <w:rPr/>
        <w:br w:type="column"/>
      </w:r>
      <w:r>
        <w:rPr>
          <w:rFonts w:ascii="Arial" w:hAnsi="Arial"/>
          <w:color w:val="4CE500"/>
          <w:spacing w:val="-232"/>
          <w:w w:val="134"/>
          <w:sz w:val="31"/>
        </w:rPr>
        <w:t>ë</w:t>
      </w:r>
      <w:r>
        <w:rPr>
          <w:rFonts w:ascii="Arial" w:hAnsi="Arial"/>
          <w:color w:val="FFFFFF"/>
          <w:spacing w:val="-232"/>
          <w:w w:val="134"/>
          <w:sz w:val="31"/>
        </w:rPr>
        <w:t>é</w:t>
      </w:r>
      <w:r>
        <w:rPr>
          <w:rFonts w:ascii="Arial" w:hAnsi="Arial"/>
          <w:color w:val="FFFF00"/>
          <w:spacing w:val="-232"/>
          <w:w w:val="268"/>
          <w:sz w:val="31"/>
        </w:rPr>
        <w:t>ì</w:t>
      </w:r>
      <w:r>
        <w:rPr>
          <w:rFonts w:ascii="Arial" w:hAnsi="Arial"/>
          <w:color w:val="CC2D31"/>
          <w:spacing w:val="-232"/>
          <w:w w:val="268"/>
          <w:sz w:val="31"/>
        </w:rPr>
        <w:t>í</w:t>
      </w:r>
      <w:r>
        <w:rPr>
          <w:rFonts w:ascii="Arial" w:hAnsi="Arial"/>
          <w:spacing w:val="17"/>
          <w:w w:val="134"/>
          <w:sz w:val="31"/>
        </w:rPr>
        <w:t>è</w:t>
      </w:r>
      <w:r>
        <w:rPr>
          <w:rFonts w:ascii="Arial" w:hAnsi="Arial"/>
          <w:spacing w:val="-232"/>
          <w:w w:val="134"/>
          <w:sz w:val="31"/>
        </w:rPr>
        <w:t>è</w:t>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CC2D31"/>
          <w:w w:val="268"/>
          <w:sz w:val="31"/>
        </w:rPr>
        <w:t>í</w:t>
      </w:r>
      <w:r>
        <w:rPr>
          <w:rFonts w:ascii="Arial" w:hAnsi="Arial"/>
          <w:color w:val="CC2D31"/>
          <w:sz w:val="31"/>
        </w:rPr>
        <w:tab/>
      </w:r>
      <w:r>
        <w:rPr>
          <w:rFonts w:ascii="Arial" w:hAnsi="Arial"/>
          <w:spacing w:val="-232"/>
          <w:w w:val="134"/>
          <w:position w:val="1"/>
          <w:sz w:val="31"/>
        </w:rPr>
        <w:t>è</w:t>
      </w:r>
      <w:r>
        <w:rPr>
          <w:rFonts w:ascii="Arial" w:hAnsi="Arial"/>
          <w:color w:val="FFFFFF"/>
          <w:spacing w:val="-232"/>
          <w:w w:val="134"/>
          <w:position w:val="1"/>
          <w:sz w:val="31"/>
        </w:rPr>
        <w:t>é</w:t>
      </w:r>
      <w:r>
        <w:rPr>
          <w:rFonts w:ascii="Arial" w:hAnsi="Arial"/>
          <w:color w:val="CC2D31"/>
          <w:spacing w:val="-232"/>
          <w:w w:val="268"/>
          <w:position w:val="1"/>
          <w:sz w:val="31"/>
        </w:rPr>
        <w:t>í</w:t>
      </w:r>
      <w:r>
        <w:rPr>
          <w:rFonts w:ascii="Arial" w:hAnsi="Arial"/>
          <w:color w:val="FFFF00"/>
          <w:spacing w:val="-232"/>
          <w:w w:val="268"/>
          <w:position w:val="1"/>
          <w:sz w:val="31"/>
        </w:rPr>
        <w:t>ì</w:t>
      </w:r>
      <w:r>
        <w:rPr>
          <w:rFonts w:ascii="Arial" w:hAnsi="Arial"/>
          <w:color w:val="4CE500"/>
          <w:w w:val="134"/>
          <w:position w:val="1"/>
          <w:sz w:val="31"/>
        </w:rPr>
        <w:t>ë</w:t>
      </w:r>
    </w:p>
    <w:p>
      <w:pPr>
        <w:spacing w:after="0"/>
        <w:jc w:val="left"/>
        <w:rPr>
          <w:rFonts w:ascii="Arial" w:hAnsi="Arial"/>
          <w:sz w:val="31"/>
        </w:rPr>
        <w:sectPr>
          <w:type w:val="continuous"/>
          <w:pgSz w:w="15840" w:h="24480"/>
          <w:pgMar w:top="1480" w:bottom="1320" w:left="0" w:right="0"/>
          <w:cols w:num="2" w:equalWidth="0">
            <w:col w:w="8601" w:space="40"/>
            <w:col w:w="7199"/>
          </w:cols>
        </w:sectPr>
      </w:pPr>
    </w:p>
    <w:p>
      <w:pPr>
        <w:pStyle w:val="BodyText"/>
        <w:rPr>
          <w:rFonts w:ascii="Arial"/>
          <w:sz w:val="26"/>
        </w:rPr>
      </w:pPr>
    </w:p>
    <w:p>
      <w:pPr>
        <w:spacing w:line="181" w:lineRule="exact" w:before="207"/>
        <w:ind w:left="2243" w:right="0" w:firstLine="0"/>
        <w:jc w:val="left"/>
        <w:rPr>
          <w:rFonts w:ascii="Arial"/>
          <w:sz w:val="24"/>
        </w:rPr>
      </w:pPr>
      <w:r>
        <w:rPr>
          <w:rFonts w:ascii="Arial"/>
          <w:emboss/>
          <w:color w:val="757576"/>
          <w:sz w:val="24"/>
        </w:rPr>
        <w:t>W</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s</w:t>
      </w:r>
      <w:r>
        <w:rPr>
          <w:rFonts w:ascii="Arial"/>
          <w:shadow w:val="0"/>
          <w:color w:val="757576"/>
          <w:sz w:val="24"/>
        </w:rPr>
        <w:t> </w:t>
      </w:r>
      <w:r>
        <w:rPr>
          <w:rFonts w:ascii="Arial"/>
          <w:emboss/>
          <w:color w:val="757576"/>
          <w:sz w:val="24"/>
        </w:rPr>
        <w:t>t</w:t>
      </w:r>
      <w:r>
        <w:rPr>
          <w:rFonts w:ascii="Arial"/>
          <w:shadow w:val="0"/>
          <w:color w:val="757576"/>
          <w:sz w:val="24"/>
        </w:rPr>
        <w:t> </w:t>
      </w:r>
      <w:r>
        <w:rPr>
          <w:rFonts w:ascii="Arial"/>
          <w:emboss/>
          <w:color w:val="757576"/>
          <w:sz w:val="24"/>
        </w:rPr>
        <w:t>R</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h</w:t>
      </w:r>
      <w:r>
        <w:rPr>
          <w:rFonts w:ascii="Arial"/>
          <w:shadow w:val="0"/>
          <w:color w:val="757576"/>
          <w:sz w:val="24"/>
        </w:rPr>
        <w:t> </w:t>
      </w:r>
      <w:r>
        <w:rPr>
          <w:rFonts w:ascii="Arial"/>
          <w:emboss/>
          <w:color w:val="757576"/>
          <w:sz w:val="24"/>
        </w:rPr>
        <w:t>l</w:t>
      </w:r>
      <w:r>
        <w:rPr>
          <w:rFonts w:ascii="Arial"/>
          <w:shadow w:val="0"/>
          <w:color w:val="757576"/>
          <w:sz w:val="24"/>
        </w:rPr>
        <w:t> </w:t>
      </w:r>
      <w:r>
        <w:rPr>
          <w:rFonts w:ascii="Arial"/>
          <w:emboss/>
          <w:color w:val="757576"/>
          <w:sz w:val="24"/>
        </w:rPr>
        <w:t>a</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d</w:t>
      </w:r>
    </w:p>
    <w:p>
      <w:pPr>
        <w:pStyle w:val="BodyText"/>
        <w:spacing w:before="4"/>
        <w:rPr>
          <w:rFonts w:ascii="Arial"/>
          <w:sz w:val="24"/>
        </w:rPr>
      </w:pPr>
      <w:r>
        <w:rPr/>
        <w:br w:type="column"/>
      </w:r>
      <w:r>
        <w:rPr>
          <w:rFonts w:ascii="Arial"/>
          <w:sz w:val="24"/>
        </w:rPr>
      </w:r>
    </w:p>
    <w:p>
      <w:pPr>
        <w:spacing w:before="0"/>
        <w:ind w:left="0" w:right="0" w:firstLine="0"/>
        <w:jc w:val="right"/>
        <w:rPr>
          <w:rFonts w:ascii="Arial"/>
          <w:sz w:val="31"/>
        </w:rPr>
      </w:pPr>
      <w:r>
        <w:rPr>
          <w:rFonts w:ascii="Arial"/>
          <w:color w:val="FFFFFF"/>
          <w:spacing w:val="-249"/>
          <w:w w:val="143"/>
          <w:sz w:val="31"/>
        </w:rPr>
        <w:t>$</w:t>
      </w:r>
      <w:r>
        <w:rPr>
          <w:rFonts w:ascii="Arial"/>
          <w:color w:val="CC2D31"/>
          <w:spacing w:val="-249"/>
          <w:w w:val="225"/>
          <w:sz w:val="31"/>
        </w:rPr>
        <w:t>"</w:t>
      </w:r>
      <w:r>
        <w:rPr>
          <w:rFonts w:ascii="Arial"/>
          <w:color w:val="FFFFFF"/>
          <w:w w:val="287"/>
          <w:sz w:val="31"/>
        </w:rPr>
        <w:t>!</w:t>
      </w:r>
    </w:p>
    <w:p>
      <w:pPr>
        <w:pStyle w:val="BodyText"/>
        <w:spacing w:before="10"/>
        <w:rPr>
          <w:rFonts w:ascii="Arial"/>
          <w:sz w:val="29"/>
        </w:rPr>
      </w:pPr>
      <w:r>
        <w:rPr/>
        <w:br w:type="column"/>
      </w:r>
      <w:r>
        <w:rPr>
          <w:rFonts w:ascii="Arial"/>
          <w:sz w:val="29"/>
        </w:rPr>
      </w:r>
    </w:p>
    <w:p>
      <w:pPr>
        <w:spacing w:line="344" w:lineRule="exact" w:before="0"/>
        <w:ind w:left="838" w:right="0" w:firstLine="0"/>
        <w:jc w:val="left"/>
        <w:rPr>
          <w:rFonts w:ascii="Century Gothic" w:hAnsi="Century Gothic"/>
          <w:b/>
          <w:sz w:val="13"/>
        </w:rPr>
      </w:pPr>
      <w:r>
        <w:rPr>
          <w:rFonts w:ascii="Century Gothic" w:hAnsi="Century Gothic"/>
          <w:b/>
          <w:color w:val="4D4D4D"/>
          <w:spacing w:val="-6"/>
          <w:w w:val="102"/>
          <w:sz w:val="13"/>
        </w:rPr>
        <w:t>V</w:t>
      </w:r>
      <w:r>
        <w:rPr>
          <w:rFonts w:ascii="Century Gothic" w:hAnsi="Century Gothic"/>
          <w:b/>
          <w:color w:val="4D4D4D"/>
          <w:spacing w:val="-43"/>
          <w:w w:val="102"/>
          <w:sz w:val="13"/>
        </w:rPr>
        <w:t>a</w:t>
      </w:r>
      <w:r>
        <w:rPr>
          <w:rFonts w:ascii="Arial" w:hAnsi="Arial"/>
          <w:color w:val="FFFFFF"/>
          <w:spacing w:val="-232"/>
          <w:w w:val="134"/>
          <w:position w:val="-15"/>
          <w:sz w:val="31"/>
        </w:rPr>
        <w:t>é</w:t>
      </w:r>
      <w:r>
        <w:rPr>
          <w:rFonts w:ascii="Arial" w:hAnsi="Arial"/>
          <w:color w:val="FFFF00"/>
          <w:spacing w:val="-232"/>
          <w:w w:val="268"/>
          <w:position w:val="-15"/>
          <w:sz w:val="31"/>
        </w:rPr>
        <w:t>ì</w:t>
      </w:r>
      <w:r>
        <w:rPr>
          <w:rFonts w:ascii="Arial" w:hAnsi="Arial"/>
          <w:color w:val="CC2D31"/>
          <w:spacing w:val="-232"/>
          <w:w w:val="268"/>
          <w:position w:val="-15"/>
          <w:sz w:val="31"/>
        </w:rPr>
        <w:t>í</w:t>
      </w:r>
      <w:r>
        <w:rPr>
          <w:rFonts w:ascii="Arial" w:hAnsi="Arial"/>
          <w:color w:val="4CE500"/>
          <w:spacing w:val="-232"/>
          <w:w w:val="134"/>
          <w:position w:val="-15"/>
          <w:sz w:val="31"/>
        </w:rPr>
        <w:t>ë</w:t>
      </w:r>
      <w:r>
        <w:rPr>
          <w:rFonts w:ascii="Arial" w:hAnsi="Arial"/>
          <w:spacing w:val="-188"/>
          <w:w w:val="134"/>
          <w:position w:val="-15"/>
          <w:sz w:val="31"/>
        </w:rPr>
        <w:t>è</w:t>
      </w:r>
      <w:r>
        <w:rPr>
          <w:rFonts w:ascii="Century Gothic" w:hAnsi="Century Gothic"/>
          <w:b/>
          <w:color w:val="4D4D4D"/>
          <w:w w:val="102"/>
          <w:sz w:val="13"/>
        </w:rPr>
        <w:t>n</w:t>
      </w:r>
      <w:r>
        <w:rPr>
          <w:rFonts w:ascii="Century Gothic" w:hAnsi="Century Gothic"/>
          <w:b/>
          <w:color w:val="4D4D4D"/>
          <w:spacing w:val="5"/>
          <w:sz w:val="13"/>
        </w:rPr>
        <w:t> </w:t>
      </w:r>
      <w:r>
        <w:rPr>
          <w:rFonts w:ascii="Century Gothic" w:hAnsi="Century Gothic"/>
          <w:b/>
          <w:color w:val="4D4D4D"/>
          <w:spacing w:val="-2"/>
          <w:w w:val="102"/>
          <w:sz w:val="13"/>
        </w:rPr>
        <w:t>G</w:t>
      </w:r>
      <w:r>
        <w:rPr>
          <w:rFonts w:ascii="Century Gothic" w:hAnsi="Century Gothic"/>
          <w:b/>
          <w:color w:val="4D4D4D"/>
          <w:w w:val="102"/>
          <w:sz w:val="13"/>
        </w:rPr>
        <w:t>i</w:t>
      </w:r>
      <w:r>
        <w:rPr>
          <w:rFonts w:ascii="Century Gothic" w:hAnsi="Century Gothic"/>
          <w:b/>
          <w:color w:val="4D4D4D"/>
          <w:spacing w:val="-3"/>
          <w:w w:val="102"/>
          <w:sz w:val="13"/>
        </w:rPr>
        <w:t>e</w:t>
      </w:r>
      <w:r>
        <w:rPr>
          <w:rFonts w:ascii="Century Gothic" w:hAnsi="Century Gothic"/>
          <w:b/>
          <w:color w:val="4D4D4D"/>
          <w:spacing w:val="1"/>
          <w:w w:val="102"/>
          <w:sz w:val="13"/>
        </w:rPr>
        <w:t>s</w:t>
      </w:r>
      <w:r>
        <w:rPr>
          <w:rFonts w:ascii="Century Gothic" w:hAnsi="Century Gothic"/>
          <w:b/>
          <w:color w:val="4D4D4D"/>
          <w:spacing w:val="-35"/>
          <w:w w:val="102"/>
          <w:sz w:val="13"/>
        </w:rPr>
        <w:t>e</w:t>
      </w:r>
      <w:r>
        <w:rPr>
          <w:rFonts w:ascii="Arial" w:hAnsi="Arial"/>
          <w:spacing w:val="-232"/>
          <w:w w:val="134"/>
          <w:position w:val="-15"/>
          <w:sz w:val="31"/>
        </w:rPr>
        <w:t>è</w:t>
      </w:r>
      <w:r>
        <w:rPr>
          <w:rFonts w:ascii="Arial" w:hAnsi="Arial"/>
          <w:color w:val="FFFFFF"/>
          <w:spacing w:val="-232"/>
          <w:w w:val="134"/>
          <w:position w:val="-15"/>
          <w:sz w:val="31"/>
        </w:rPr>
        <w:t>é</w:t>
      </w:r>
      <w:r>
        <w:rPr>
          <w:rFonts w:ascii="Arial" w:hAnsi="Arial"/>
          <w:color w:val="CC2D31"/>
          <w:spacing w:val="-232"/>
          <w:w w:val="268"/>
          <w:position w:val="-15"/>
          <w:sz w:val="31"/>
        </w:rPr>
        <w:t>í</w:t>
      </w:r>
      <w:r>
        <w:rPr>
          <w:rFonts w:ascii="Arial" w:hAnsi="Arial"/>
          <w:color w:val="FFFF00"/>
          <w:spacing w:val="-232"/>
          <w:w w:val="268"/>
          <w:position w:val="-15"/>
          <w:sz w:val="31"/>
        </w:rPr>
        <w:t>ì</w:t>
      </w:r>
      <w:r>
        <w:rPr>
          <w:rFonts w:ascii="Arial" w:hAnsi="Arial"/>
          <w:color w:val="4CE500"/>
          <w:spacing w:val="-199"/>
          <w:w w:val="134"/>
          <w:position w:val="-15"/>
          <w:sz w:val="31"/>
        </w:rPr>
        <w:t>ë</w:t>
      </w:r>
      <w:r>
        <w:rPr>
          <w:rFonts w:ascii="Century Gothic" w:hAnsi="Century Gothic"/>
          <w:b/>
          <w:color w:val="4D4D4D"/>
          <w:w w:val="102"/>
          <w:sz w:val="13"/>
        </w:rPr>
        <w:t>n</w:t>
      </w:r>
      <w:r>
        <w:rPr>
          <w:rFonts w:ascii="Century Gothic" w:hAnsi="Century Gothic"/>
          <w:b/>
          <w:color w:val="4D4D4D"/>
          <w:spacing w:val="-1"/>
          <w:sz w:val="13"/>
        </w:rPr>
        <w:t> </w:t>
      </w:r>
      <w:r>
        <w:rPr>
          <w:rFonts w:ascii="Century Gothic" w:hAnsi="Century Gothic"/>
          <w:b/>
          <w:color w:val="4D4D4D"/>
          <w:spacing w:val="2"/>
          <w:w w:val="102"/>
          <w:sz w:val="13"/>
        </w:rPr>
        <w:t>S</w:t>
      </w:r>
      <w:r>
        <w:rPr>
          <w:rFonts w:ascii="Century Gothic" w:hAnsi="Century Gothic"/>
          <w:b/>
          <w:color w:val="4D4D4D"/>
          <w:w w:val="102"/>
          <w:sz w:val="13"/>
        </w:rPr>
        <w:t>t</w:t>
      </w:r>
    </w:p>
    <w:p>
      <w:pPr>
        <w:pStyle w:val="BodyText"/>
        <w:spacing w:before="5"/>
        <w:rPr>
          <w:rFonts w:ascii="Century Gothic"/>
          <w:b/>
          <w:sz w:val="27"/>
        </w:rPr>
      </w:pPr>
      <w:r>
        <w:rPr/>
        <w:br w:type="column"/>
      </w:r>
      <w:r>
        <w:rPr>
          <w:rFonts w:ascii="Century Gothic"/>
          <w:b/>
          <w:sz w:val="27"/>
        </w:rPr>
      </w:r>
    </w:p>
    <w:p>
      <w:pPr>
        <w:pStyle w:val="Heading8"/>
        <w:spacing w:line="352" w:lineRule="exact"/>
        <w:ind w:left="233"/>
      </w:pPr>
      <w:r>
        <w:rPr>
          <w:color w:val="FFFFFF"/>
          <w:spacing w:val="-249"/>
          <w:w w:val="287"/>
        </w:rPr>
        <w:t>!</w:t>
      </w:r>
      <w:r>
        <w:rPr>
          <w:color w:val="CC2D31"/>
          <w:spacing w:val="-249"/>
          <w:w w:val="225"/>
        </w:rPr>
        <w:t>"</w:t>
      </w:r>
      <w:r>
        <w:rPr>
          <w:color w:val="FFFFFF"/>
          <w:w w:val="143"/>
        </w:rPr>
        <w:t>$</w:t>
      </w:r>
    </w:p>
    <w:p>
      <w:pPr>
        <w:pStyle w:val="BodyText"/>
        <w:spacing w:before="2"/>
        <w:rPr>
          <w:rFonts w:ascii="Arial"/>
          <w:sz w:val="29"/>
        </w:rPr>
      </w:pPr>
      <w:r>
        <w:rPr/>
        <w:br w:type="column"/>
      </w:r>
      <w:r>
        <w:rPr>
          <w:rFonts w:ascii="Arial"/>
          <w:sz w:val="29"/>
        </w:rPr>
      </w:r>
    </w:p>
    <w:p>
      <w:pPr>
        <w:spacing w:line="352" w:lineRule="exact" w:before="0"/>
        <w:ind w:left="102" w:right="0" w:firstLine="0"/>
        <w:jc w:val="left"/>
        <w:rPr>
          <w:rFonts w:ascii="Arial" w:hAnsi="Arial"/>
          <w:sz w:val="31"/>
        </w:rPr>
      </w:pPr>
      <w:r>
        <w:rPr/>
        <w:pict>
          <v:shape style="position:absolute;margin-left:461.041168pt;margin-top:-13.498309pt;width:10.6pt;height:35.25pt;mso-position-horizontal-relative:page;mso-position-vertical-relative:paragraph;z-index:-268231680"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Steven</w:t>
                  </w:r>
                  <w:r>
                    <w:rPr>
                      <w:rFonts w:ascii="Century Gothic"/>
                      <w:b/>
                      <w:color w:val="4D4D4D"/>
                      <w:position w:val="1"/>
                      <w:sz w:val="13"/>
                    </w:rPr>
                    <w:t>s Dr</w:t>
                  </w:r>
                </w:p>
              </w:txbxContent>
            </v:textbox>
            <w10:wrap type="none"/>
          </v:shape>
        </w:pict>
      </w:r>
      <w:r>
        <w:rPr>
          <w:rFonts w:ascii="Arial" w:hAnsi="Arial"/>
          <w:spacing w:val="-232"/>
          <w:w w:val="134"/>
          <w:sz w:val="31"/>
        </w:rPr>
        <w:t>è</w:t>
      </w:r>
      <w:r>
        <w:rPr>
          <w:rFonts w:ascii="Arial" w:hAnsi="Arial"/>
          <w:color w:val="FFFF00"/>
          <w:spacing w:val="-232"/>
          <w:w w:val="268"/>
          <w:sz w:val="31"/>
        </w:rPr>
        <w:t>ì</w:t>
      </w:r>
      <w:r>
        <w:rPr>
          <w:rFonts w:ascii="Arial" w:hAnsi="Arial"/>
          <w:color w:val="4CE500"/>
          <w:spacing w:val="-232"/>
          <w:w w:val="134"/>
          <w:sz w:val="31"/>
        </w:rPr>
        <w:t>ë</w:t>
      </w:r>
      <w:r>
        <w:rPr>
          <w:rFonts w:ascii="Arial" w:hAnsi="Arial"/>
          <w:color w:val="CC2D31"/>
          <w:spacing w:val="-232"/>
          <w:w w:val="268"/>
          <w:sz w:val="31"/>
        </w:rPr>
        <w:t>í</w:t>
      </w:r>
      <w:r>
        <w:rPr>
          <w:rFonts w:ascii="Arial" w:hAnsi="Arial"/>
          <w:color w:val="FFFFFF"/>
          <w:w w:val="134"/>
          <w:sz w:val="31"/>
        </w:rPr>
        <w:t>é</w:t>
      </w:r>
    </w:p>
    <w:p>
      <w:pPr>
        <w:spacing w:line="292" w:lineRule="exact" w:before="192"/>
        <w:ind w:left="94" w:right="0" w:firstLine="0"/>
        <w:jc w:val="left"/>
        <w:rPr>
          <w:rFonts w:ascii="Arial" w:hAnsi="Arial"/>
          <w:sz w:val="31"/>
        </w:rPr>
      </w:pPr>
      <w:r>
        <w:rPr/>
        <w:br w:type="column"/>
      </w:r>
      <w:r>
        <w:rPr>
          <w:rFonts w:ascii="Arial" w:hAnsi="Arial"/>
          <w:color w:val="FFFF00"/>
          <w:spacing w:val="-232"/>
          <w:w w:val="268"/>
          <w:sz w:val="31"/>
        </w:rPr>
        <w:t>ì</w:t>
      </w:r>
      <w:r>
        <w:rPr>
          <w:rFonts w:ascii="Arial" w:hAnsi="Arial"/>
          <w:color w:val="CC2D31"/>
          <w:spacing w:val="-232"/>
          <w:w w:val="268"/>
          <w:sz w:val="31"/>
        </w:rPr>
        <w:t>í</w:t>
      </w:r>
      <w:r>
        <w:rPr>
          <w:rFonts w:ascii="Arial" w:hAnsi="Arial"/>
          <w:color w:val="4CE500"/>
          <w:spacing w:val="-232"/>
          <w:w w:val="134"/>
          <w:sz w:val="31"/>
        </w:rPr>
        <w:t>ë</w:t>
      </w:r>
      <w:r>
        <w:rPr>
          <w:rFonts w:ascii="Arial" w:hAnsi="Arial"/>
          <w:color w:val="FFFFFF"/>
          <w:spacing w:val="-232"/>
          <w:w w:val="134"/>
          <w:sz w:val="31"/>
        </w:rPr>
        <w:t>é</w:t>
      </w:r>
      <w:r>
        <w:rPr>
          <w:rFonts w:ascii="Arial" w:hAnsi="Arial"/>
          <w:w w:val="134"/>
          <w:sz w:val="31"/>
        </w:rPr>
        <w:t>è</w:t>
      </w:r>
    </w:p>
    <w:p>
      <w:pPr>
        <w:spacing w:line="258" w:lineRule="exact" w:before="0"/>
        <w:ind w:left="193" w:right="0" w:firstLine="0"/>
        <w:jc w:val="left"/>
        <w:rPr>
          <w:rFonts w:ascii="Arial" w:hAnsi="Arial"/>
          <w:sz w:val="31"/>
        </w:rPr>
      </w:pPr>
      <w:r>
        <w:rPr/>
        <w:pict>
          <v:shape style="position:absolute;margin-left:478.482635pt;margin-top:-5.229231pt;width:37.9pt;height:6.65pt;mso-position-horizontal-relative:page;mso-position-vertical-relative:paragraph;z-index:251796480;rotation:69" type="#_x0000_t136" fillcolor="#4d4d4d" stroked="f">
            <o:extrusion v:ext="view" autorotationcenter="t"/>
            <v:textpath style="font-family:&quot;Century Gothic&quot;;font-size:6pt;v-text-kern:t;mso-text-shadow:auto;font-weight:bold" string="Jadwin Ave"/>
            <w10:wrap type="none"/>
          </v:shape>
        </w:pict>
      </w:r>
      <w:r>
        <w:rPr>
          <w:rFonts w:ascii="Arial" w:hAnsi="Arial"/>
          <w:color w:val="FFFFFF"/>
          <w:spacing w:val="-232"/>
          <w:w w:val="134"/>
          <w:sz w:val="31"/>
        </w:rPr>
        <w:t>é</w:t>
      </w:r>
      <w:r>
        <w:rPr>
          <w:rFonts w:ascii="Arial" w:hAnsi="Arial"/>
          <w:spacing w:val="-232"/>
          <w:w w:val="134"/>
          <w:sz w:val="31"/>
        </w:rPr>
        <w:t>è</w:t>
      </w:r>
      <w:r>
        <w:rPr>
          <w:rFonts w:ascii="Arial" w:hAnsi="Arial"/>
          <w:color w:val="FFFF00"/>
          <w:spacing w:val="-232"/>
          <w:w w:val="268"/>
          <w:sz w:val="31"/>
        </w:rPr>
        <w:t>ì</w:t>
      </w:r>
      <w:r>
        <w:rPr>
          <w:rFonts w:ascii="Arial" w:hAnsi="Arial"/>
          <w:color w:val="CC2D31"/>
          <w:spacing w:val="-232"/>
          <w:w w:val="268"/>
          <w:sz w:val="31"/>
        </w:rPr>
        <w:t>í</w:t>
      </w:r>
      <w:r>
        <w:rPr>
          <w:rFonts w:ascii="Arial" w:hAnsi="Arial"/>
          <w:color w:val="4CE500"/>
          <w:spacing w:val="-154"/>
          <w:w w:val="134"/>
          <w:sz w:val="31"/>
        </w:rPr>
        <w:t>ë</w:t>
      </w:r>
    </w:p>
    <w:p>
      <w:pPr>
        <w:spacing w:line="54" w:lineRule="exact" w:before="0"/>
        <w:ind w:left="0" w:right="52" w:firstLine="0"/>
        <w:jc w:val="right"/>
        <w:rPr>
          <w:rFonts w:ascii="Arial" w:hAnsi="Arial"/>
          <w:sz w:val="31"/>
        </w:rPr>
      </w:pPr>
      <w:r>
        <w:rPr>
          <w:rFonts w:ascii="Arial" w:hAnsi="Arial"/>
          <w:spacing w:val="-232"/>
          <w:w w:val="134"/>
          <w:sz w:val="31"/>
        </w:rPr>
        <w:t>è</w:t>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spacing w:val="-232"/>
          <w:w w:val="268"/>
          <w:sz w:val="31"/>
        </w:rPr>
        <w:t>ì</w:t>
      </w:r>
    </w:p>
    <w:p>
      <w:pPr>
        <w:spacing w:line="480" w:lineRule="atLeast" w:before="46"/>
        <w:ind w:left="132" w:right="5503" w:hanging="12"/>
        <w:jc w:val="left"/>
        <w:rPr>
          <w:rFonts w:ascii="Arial" w:hAnsi="Arial"/>
          <w:sz w:val="31"/>
        </w:rPr>
      </w:pPr>
      <w:r>
        <w:rPr/>
        <w:br w:type="column"/>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CC2D31"/>
          <w:spacing w:val="-232"/>
          <w:w w:val="268"/>
          <w:sz w:val="31"/>
        </w:rPr>
        <w:t>í</w:t>
      </w:r>
      <w:r>
        <w:rPr>
          <w:rFonts w:ascii="Arial" w:hAnsi="Arial"/>
          <w:w w:val="134"/>
          <w:sz w:val="31"/>
        </w:rPr>
        <w:t>è </w:t>
      </w:r>
      <w:r>
        <w:rPr>
          <w:rFonts w:ascii="Arial" w:hAnsi="Arial"/>
          <w:spacing w:val="-232"/>
          <w:w w:val="134"/>
          <w:sz w:val="31"/>
        </w:rPr>
        <w:t>è</w:t>
      </w:r>
      <w:r>
        <w:rPr>
          <w:rFonts w:ascii="Arial" w:hAnsi="Arial"/>
          <w:color w:val="FFFFFF"/>
          <w:spacing w:val="-232"/>
          <w:w w:val="134"/>
          <w:sz w:val="31"/>
        </w:rPr>
        <w:t>é</w:t>
      </w:r>
      <w:r>
        <w:rPr>
          <w:rFonts w:ascii="Arial" w:hAnsi="Arial"/>
          <w:color w:val="CC2D31"/>
          <w:spacing w:val="-232"/>
          <w:w w:val="268"/>
          <w:sz w:val="31"/>
        </w:rPr>
        <w:t>í</w:t>
      </w:r>
      <w:r>
        <w:rPr>
          <w:rFonts w:ascii="Arial" w:hAnsi="Arial"/>
          <w:color w:val="4CE500"/>
          <w:spacing w:val="-232"/>
          <w:w w:val="134"/>
          <w:sz w:val="31"/>
        </w:rPr>
        <w:t>ë</w:t>
      </w:r>
      <w:r>
        <w:rPr>
          <w:rFonts w:ascii="Arial" w:hAnsi="Arial"/>
          <w:color w:val="FFFF00"/>
          <w:w w:val="268"/>
          <w:sz w:val="31"/>
        </w:rPr>
        <w:t>ì</w:t>
      </w:r>
    </w:p>
    <w:p>
      <w:pPr>
        <w:spacing w:after="0" w:line="480" w:lineRule="atLeast"/>
        <w:jc w:val="left"/>
        <w:rPr>
          <w:rFonts w:ascii="Arial" w:hAnsi="Arial"/>
          <w:sz w:val="31"/>
        </w:rPr>
        <w:sectPr>
          <w:type w:val="continuous"/>
          <w:pgSz w:w="15840" w:h="24480"/>
          <w:pgMar w:top="1480" w:bottom="1320" w:left="0" w:right="0"/>
          <w:cols w:num="7" w:equalWidth="0">
            <w:col w:w="4497" w:space="40"/>
            <w:col w:w="2339" w:space="39"/>
            <w:col w:w="1738" w:space="40"/>
            <w:col w:w="482" w:space="39"/>
            <w:col w:w="334" w:space="39"/>
            <w:col w:w="326" w:space="40"/>
            <w:col w:w="5887"/>
          </w:cols>
        </w:sectPr>
      </w:pPr>
    </w:p>
    <w:p>
      <w:pPr>
        <w:spacing w:before="73"/>
        <w:ind w:left="0" w:right="0" w:firstLine="0"/>
        <w:jc w:val="right"/>
        <w:rPr>
          <w:rFonts w:ascii="Century Gothic" w:hAnsi="Century Gothic"/>
          <w:b/>
          <w:sz w:val="13"/>
        </w:rPr>
      </w:pPr>
      <w:r>
        <w:rPr/>
        <w:pict>
          <v:shape style="position:absolute;margin-left:414.476715pt;margin-top:-2.911538pt;width:10.65pt;height:36.85pt;mso-position-horizontal-relative:page;mso-position-vertical-relative:paragraph;z-index:251803648"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sz w:val="13"/>
                    </w:rPr>
                    <w:t>Wrigh</w:t>
                  </w:r>
                  <w:r>
                    <w:rPr>
                      <w:rFonts w:ascii="Century Gothic"/>
                      <w:b/>
                      <w:color w:val="4D4D4D"/>
                      <w:position w:val="1"/>
                      <w:sz w:val="13"/>
                    </w:rPr>
                    <w:t>t Ave</w:t>
                  </w:r>
                </w:p>
              </w:txbxContent>
            </v:textbox>
            <w10:wrap type="none"/>
          </v:shape>
        </w:pict>
      </w:r>
      <w:r>
        <w:rPr/>
        <w:pict>
          <v:shape style="position:absolute;margin-left:442.228058pt;margin-top:26.215216pt;width:10.55pt;height:32.2pt;mso-position-horizontal-relative:page;mso-position-vertical-relative:paragraph;z-index:-268232704" type="#_x0000_t202" filled="false" stroked="false">
            <v:textbox inset="0,0,0,0" style="layout-flow:vertical;mso-layout-flow-alt:bottom-to-top">
              <w:txbxContent>
                <w:p>
                  <w:pPr>
                    <w:spacing w:before="20"/>
                    <w:ind w:left="20" w:right="0" w:firstLine="0"/>
                    <w:jc w:val="left"/>
                    <w:rPr>
                      <w:rFonts w:ascii="Century Gothic"/>
                      <w:b/>
                      <w:sz w:val="13"/>
                    </w:rPr>
                  </w:pPr>
                  <w:r>
                    <w:rPr>
                      <w:rFonts w:ascii="Century Gothic"/>
                      <w:b/>
                      <w:color w:val="4D4D4D"/>
                      <w:sz w:val="13"/>
                    </w:rPr>
                    <w:t>Thayer </w:t>
                  </w:r>
                  <w:r>
                    <w:rPr>
                      <w:rFonts w:ascii="Century Gothic"/>
                      <w:b/>
                      <w:color w:val="4D4D4D"/>
                      <w:position w:val="1"/>
                      <w:sz w:val="13"/>
                    </w:rPr>
                    <w:t>Dr</w:t>
                  </w:r>
                </w:p>
              </w:txbxContent>
            </v:textbox>
            <w10:wrap type="none"/>
          </v:shape>
        </w:pict>
      </w:r>
      <w:r>
        <w:rPr>
          <w:rFonts w:ascii="Century Gothic" w:hAnsi="Century Gothic"/>
          <w:b/>
          <w:color w:val="4D4D4D"/>
          <w:spacing w:val="-6"/>
          <w:w w:val="102"/>
          <w:sz w:val="13"/>
        </w:rPr>
        <w:t>W</w:t>
      </w:r>
      <w:r>
        <w:rPr>
          <w:rFonts w:ascii="Century Gothic" w:hAnsi="Century Gothic"/>
          <w:b/>
          <w:color w:val="4D4D4D"/>
          <w:spacing w:val="-1"/>
          <w:w w:val="102"/>
          <w:sz w:val="13"/>
        </w:rPr>
        <w:t>ill</w:t>
      </w:r>
      <w:r>
        <w:rPr>
          <w:rFonts w:ascii="Century Gothic" w:hAnsi="Century Gothic"/>
          <w:b/>
          <w:color w:val="4D4D4D"/>
          <w:spacing w:val="-7"/>
          <w:w w:val="102"/>
          <w:sz w:val="13"/>
        </w:rPr>
        <w:t>i</w:t>
      </w:r>
      <w:r>
        <w:rPr>
          <w:rFonts w:ascii="Century Gothic" w:hAnsi="Century Gothic"/>
          <w:b/>
          <w:color w:val="4D4D4D"/>
          <w:spacing w:val="-2"/>
          <w:w w:val="102"/>
          <w:sz w:val="13"/>
        </w:rPr>
        <w:t>am</w:t>
      </w:r>
      <w:r>
        <w:rPr>
          <w:rFonts w:ascii="Century Gothic" w:hAnsi="Century Gothic"/>
          <w:b/>
          <w:color w:val="4D4D4D"/>
          <w:spacing w:val="-46"/>
          <w:w w:val="102"/>
          <w:position w:val="1"/>
          <w:sz w:val="13"/>
        </w:rPr>
        <w:t>s</w:t>
      </w:r>
      <w:r>
        <w:rPr>
          <w:rFonts w:ascii="Arial" w:hAnsi="Arial"/>
          <w:spacing w:val="-232"/>
          <w:w w:val="134"/>
          <w:position w:val="-16"/>
          <w:sz w:val="31"/>
        </w:rPr>
        <w:t>è</w:t>
      </w:r>
      <w:r>
        <w:rPr>
          <w:rFonts w:ascii="Arial" w:hAnsi="Arial"/>
          <w:color w:val="FFFFFF"/>
          <w:spacing w:val="-232"/>
          <w:w w:val="134"/>
          <w:position w:val="-16"/>
          <w:sz w:val="31"/>
        </w:rPr>
        <w:t>é</w:t>
      </w:r>
      <w:r>
        <w:rPr>
          <w:rFonts w:ascii="Arial" w:hAnsi="Arial"/>
          <w:color w:val="4CE500"/>
          <w:spacing w:val="-232"/>
          <w:w w:val="134"/>
          <w:position w:val="-16"/>
          <w:sz w:val="31"/>
        </w:rPr>
        <w:t>ë</w:t>
      </w:r>
      <w:r>
        <w:rPr>
          <w:rFonts w:ascii="Arial" w:hAnsi="Arial"/>
          <w:color w:val="FFFF00"/>
          <w:spacing w:val="-232"/>
          <w:w w:val="268"/>
          <w:position w:val="-16"/>
          <w:sz w:val="31"/>
        </w:rPr>
        <w:t>ì</w:t>
      </w:r>
      <w:r>
        <w:rPr>
          <w:rFonts w:ascii="Arial" w:hAnsi="Arial"/>
          <w:color w:val="CC2D31"/>
          <w:spacing w:val="-151"/>
          <w:w w:val="268"/>
          <w:position w:val="-16"/>
          <w:sz w:val="31"/>
        </w:rPr>
        <w:t>í</w:t>
      </w:r>
      <w:r>
        <w:rPr>
          <w:rFonts w:ascii="Century Gothic" w:hAnsi="Century Gothic"/>
          <w:b/>
          <w:color w:val="4D4D4D"/>
          <w:spacing w:val="-2"/>
          <w:w w:val="102"/>
          <w:position w:val="1"/>
          <w:sz w:val="13"/>
        </w:rPr>
        <w:t>B</w:t>
      </w:r>
      <w:r>
        <w:rPr>
          <w:rFonts w:ascii="Century Gothic" w:hAnsi="Century Gothic"/>
          <w:b/>
          <w:color w:val="4D4D4D"/>
          <w:spacing w:val="-1"/>
          <w:w w:val="102"/>
          <w:position w:val="1"/>
          <w:sz w:val="13"/>
        </w:rPr>
        <w:t>l</w:t>
      </w:r>
      <w:r>
        <w:rPr>
          <w:rFonts w:ascii="Century Gothic" w:hAnsi="Century Gothic"/>
          <w:b/>
          <w:color w:val="4D4D4D"/>
          <w:spacing w:val="1"/>
          <w:w w:val="102"/>
          <w:position w:val="1"/>
          <w:sz w:val="13"/>
        </w:rPr>
        <w:t>v</w:t>
      </w:r>
      <w:r>
        <w:rPr>
          <w:rFonts w:ascii="Century Gothic" w:hAnsi="Century Gothic"/>
          <w:b/>
          <w:color w:val="4D4D4D"/>
          <w:w w:val="102"/>
          <w:position w:val="1"/>
          <w:sz w:val="13"/>
        </w:rPr>
        <w:t>d</w:t>
      </w:r>
    </w:p>
    <w:p>
      <w:pPr>
        <w:spacing w:line="58" w:lineRule="exact" w:before="0"/>
        <w:ind w:left="138" w:right="0" w:firstLine="0"/>
        <w:jc w:val="left"/>
        <w:rPr>
          <w:rFonts w:ascii="Arial" w:hAnsi="Arial"/>
          <w:sz w:val="31"/>
        </w:rPr>
      </w:pPr>
      <w:r>
        <w:rPr/>
        <w:br w:type="column"/>
      </w:r>
      <w:r>
        <w:rPr>
          <w:rFonts w:ascii="Arial" w:hAnsi="Arial"/>
          <w:color w:val="CC2D31"/>
          <w:w w:val="270"/>
          <w:sz w:val="31"/>
        </w:rPr>
        <w:t>í</w:t>
      </w:r>
    </w:p>
    <w:p>
      <w:pPr>
        <w:pStyle w:val="Heading8"/>
        <w:spacing w:before="25"/>
        <w:ind w:left="110"/>
      </w:pPr>
      <w:r>
        <w:rPr>
          <w:spacing w:val="-232"/>
          <w:w w:val="134"/>
        </w:rPr>
        <w:t>è</w:t>
      </w:r>
      <w:r>
        <w:rPr>
          <w:color w:val="CC2D31"/>
          <w:spacing w:val="-232"/>
          <w:w w:val="268"/>
        </w:rPr>
        <w:t>í</w:t>
      </w:r>
      <w:r>
        <w:rPr>
          <w:color w:val="FFFF00"/>
          <w:spacing w:val="-232"/>
          <w:w w:val="268"/>
        </w:rPr>
        <w:t>ì</w:t>
      </w:r>
      <w:r>
        <w:rPr>
          <w:color w:val="4CE500"/>
          <w:spacing w:val="-232"/>
          <w:w w:val="134"/>
        </w:rPr>
        <w:t>ë</w:t>
      </w:r>
      <w:r>
        <w:rPr>
          <w:color w:val="FFFFFF"/>
          <w:w w:val="134"/>
        </w:rPr>
        <w:t>é</w:t>
      </w:r>
      <w:r>
        <w:rPr>
          <w:color w:val="FFFFFF"/>
          <w:spacing w:val="-52"/>
        </w:rPr>
        <w:t> </w:t>
      </w:r>
      <w:r>
        <w:rPr>
          <w:color w:val="FFFFFF"/>
          <w:spacing w:val="-232"/>
          <w:w w:val="134"/>
        </w:rPr>
        <w:t>é</w:t>
      </w:r>
      <w:r>
        <w:rPr>
          <w:color w:val="4CE500"/>
          <w:spacing w:val="-232"/>
          <w:w w:val="134"/>
        </w:rPr>
        <w:t>ë</w:t>
      </w:r>
      <w:r>
        <w:rPr>
          <w:color w:val="FFFF00"/>
          <w:spacing w:val="-232"/>
          <w:w w:val="268"/>
        </w:rPr>
        <w:t>ì</w:t>
      </w:r>
      <w:r>
        <w:rPr>
          <w:color w:val="CC2D31"/>
          <w:spacing w:val="-232"/>
          <w:w w:val="268"/>
        </w:rPr>
        <w:t>í</w:t>
      </w:r>
      <w:r>
        <w:rPr>
          <w:w w:val="134"/>
        </w:rPr>
        <w:t>è</w:t>
      </w:r>
    </w:p>
    <w:p>
      <w:pPr>
        <w:spacing w:after="0"/>
        <w:sectPr>
          <w:type w:val="continuous"/>
          <w:pgSz w:w="15840" w:h="24480"/>
          <w:pgMar w:top="1480" w:bottom="1320" w:left="0" w:right="0"/>
          <w:cols w:num="2" w:equalWidth="0">
            <w:col w:w="9681" w:space="40"/>
            <w:col w:w="6119"/>
          </w:cols>
        </w:sectPr>
      </w:pPr>
    </w:p>
    <w:p>
      <w:pPr>
        <w:pStyle w:val="BodyText"/>
        <w:spacing w:before="4"/>
        <w:rPr>
          <w:rFonts w:ascii="Arial"/>
          <w:sz w:val="33"/>
        </w:rPr>
      </w:pPr>
    </w:p>
    <w:p>
      <w:pPr>
        <w:spacing w:line="88" w:lineRule="auto" w:before="1"/>
        <w:ind w:left="0" w:right="0" w:firstLine="0"/>
        <w:jc w:val="right"/>
        <w:rPr>
          <w:rFonts w:ascii="Century Gothic" w:hAnsi="Century Gothic"/>
          <w:b/>
          <w:sz w:val="13"/>
        </w:rPr>
      </w:pPr>
      <w:r>
        <w:rPr/>
        <w:pict>
          <v:shape style="position:absolute;margin-left:382.898438pt;margin-top:-19.890236pt;width:10.65pt;height:42.8pt;mso-position-horizontal-relative:page;mso-position-vertical-relative:paragraph;z-index:-268234752"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sz w:val="13"/>
                    </w:rPr>
                    <w:t>By-pas</w:t>
                  </w:r>
                  <w:r>
                    <w:rPr>
                      <w:rFonts w:ascii="Century Gothic"/>
                      <w:b/>
                      <w:color w:val="4D4D4D"/>
                      <w:position w:val="1"/>
                      <w:sz w:val="13"/>
                    </w:rPr>
                    <w:t>s Hwy</w:t>
                  </w:r>
                </w:p>
              </w:txbxContent>
            </v:textbox>
            <w10:wrap type="none"/>
          </v:shape>
        </w:pict>
      </w:r>
      <w:r>
        <w:rPr>
          <w:rFonts w:ascii="Arial" w:hAnsi="Arial"/>
          <w:color w:val="4CE500"/>
          <w:spacing w:val="-232"/>
          <w:w w:val="134"/>
          <w:position w:val="-19"/>
          <w:sz w:val="31"/>
        </w:rPr>
        <w:t>ë</w:t>
      </w:r>
      <w:r>
        <w:rPr>
          <w:rFonts w:ascii="Arial" w:hAnsi="Arial"/>
          <w:color w:val="CC2D31"/>
          <w:spacing w:val="-232"/>
          <w:w w:val="268"/>
          <w:position w:val="-19"/>
          <w:sz w:val="31"/>
        </w:rPr>
        <w:t>í</w:t>
      </w:r>
      <w:r>
        <w:rPr>
          <w:rFonts w:ascii="Arial" w:hAnsi="Arial"/>
          <w:color w:val="FFFF00"/>
          <w:spacing w:val="-232"/>
          <w:w w:val="268"/>
          <w:position w:val="-19"/>
          <w:sz w:val="31"/>
        </w:rPr>
        <w:t>ì</w:t>
      </w:r>
      <w:r>
        <w:rPr>
          <w:rFonts w:ascii="Arial" w:hAnsi="Arial"/>
          <w:color w:val="FFFFFF"/>
          <w:spacing w:val="-232"/>
          <w:w w:val="134"/>
          <w:position w:val="-19"/>
          <w:sz w:val="31"/>
        </w:rPr>
        <w:t>é</w:t>
      </w:r>
      <w:r>
        <w:rPr>
          <w:rFonts w:ascii="Arial" w:hAnsi="Arial"/>
          <w:spacing w:val="-93"/>
          <w:w w:val="134"/>
          <w:position w:val="-19"/>
          <w:sz w:val="31"/>
        </w:rPr>
        <w:t>è</w:t>
      </w:r>
      <w:r>
        <w:rPr>
          <w:rFonts w:ascii="Century Gothic" w:hAnsi="Century Gothic"/>
          <w:b/>
          <w:color w:val="4D4D4D"/>
          <w:spacing w:val="-6"/>
          <w:w w:val="102"/>
          <w:sz w:val="13"/>
        </w:rPr>
        <w:t>S</w:t>
      </w:r>
      <w:r>
        <w:rPr>
          <w:rFonts w:ascii="Century Gothic" w:hAnsi="Century Gothic"/>
          <w:b/>
          <w:color w:val="4D4D4D"/>
          <w:spacing w:val="-4"/>
          <w:w w:val="102"/>
          <w:sz w:val="13"/>
        </w:rPr>
        <w:t>w</w:t>
      </w:r>
      <w:r>
        <w:rPr>
          <w:rFonts w:ascii="Century Gothic" w:hAnsi="Century Gothic"/>
          <w:b/>
          <w:color w:val="4D4D4D"/>
          <w:spacing w:val="-2"/>
          <w:w w:val="102"/>
          <w:sz w:val="13"/>
        </w:rPr>
        <w:t>i</w:t>
      </w:r>
      <w:r>
        <w:rPr>
          <w:rFonts w:ascii="Century Gothic" w:hAnsi="Century Gothic"/>
          <w:b/>
          <w:color w:val="4D4D4D"/>
          <w:spacing w:val="-1"/>
          <w:w w:val="102"/>
          <w:sz w:val="13"/>
        </w:rPr>
        <w:t>f</w:t>
      </w:r>
      <w:r>
        <w:rPr>
          <w:rFonts w:ascii="Century Gothic" w:hAnsi="Century Gothic"/>
          <w:b/>
          <w:color w:val="4D4D4D"/>
          <w:w w:val="102"/>
          <w:sz w:val="13"/>
        </w:rPr>
        <w:t>t</w:t>
      </w:r>
      <w:r>
        <w:rPr>
          <w:rFonts w:ascii="Century Gothic" w:hAnsi="Century Gothic"/>
          <w:b/>
          <w:color w:val="4D4D4D"/>
          <w:spacing w:val="-2"/>
          <w:sz w:val="13"/>
        </w:rPr>
        <w:t> </w:t>
      </w:r>
      <w:r>
        <w:rPr>
          <w:rFonts w:ascii="Century Gothic" w:hAnsi="Century Gothic"/>
          <w:b/>
          <w:color w:val="4D4D4D"/>
          <w:spacing w:val="-3"/>
          <w:w w:val="102"/>
          <w:position w:val="1"/>
          <w:sz w:val="13"/>
        </w:rPr>
        <w:t>B</w:t>
      </w:r>
      <w:r>
        <w:rPr>
          <w:rFonts w:ascii="Century Gothic" w:hAnsi="Century Gothic"/>
          <w:b/>
          <w:color w:val="4D4D4D"/>
          <w:spacing w:val="-2"/>
          <w:w w:val="102"/>
          <w:position w:val="1"/>
          <w:sz w:val="13"/>
        </w:rPr>
        <w:t>l</w:t>
      </w:r>
      <w:r>
        <w:rPr>
          <w:rFonts w:ascii="Century Gothic" w:hAnsi="Century Gothic"/>
          <w:b/>
          <w:color w:val="4D4D4D"/>
          <w:spacing w:val="-19"/>
          <w:w w:val="102"/>
          <w:position w:val="1"/>
          <w:sz w:val="13"/>
        </w:rPr>
        <w:t>v</w:t>
      </w:r>
      <w:r>
        <w:rPr>
          <w:rFonts w:ascii="Arial" w:hAnsi="Arial"/>
          <w:color w:val="CC2D31"/>
          <w:spacing w:val="-249"/>
          <w:w w:val="225"/>
          <w:position w:val="-18"/>
          <w:sz w:val="31"/>
        </w:rPr>
        <w:t>"</w:t>
      </w:r>
      <w:r>
        <w:rPr>
          <w:rFonts w:ascii="Arial" w:hAnsi="Arial"/>
          <w:color w:val="FFFFFF"/>
          <w:spacing w:val="-249"/>
          <w:w w:val="143"/>
          <w:position w:val="-18"/>
          <w:sz w:val="31"/>
        </w:rPr>
        <w:t>$</w:t>
      </w:r>
      <w:r>
        <w:rPr>
          <w:rFonts w:ascii="Arial" w:hAnsi="Arial"/>
          <w:color w:val="FFFFFF"/>
          <w:spacing w:val="-235"/>
          <w:w w:val="287"/>
          <w:position w:val="-18"/>
          <w:sz w:val="31"/>
        </w:rPr>
        <w:t>!</w:t>
      </w:r>
      <w:r>
        <w:rPr>
          <w:rFonts w:ascii="Century Gothic" w:hAnsi="Century Gothic"/>
          <w:b/>
          <w:color w:val="4D4D4D"/>
          <w:w w:val="102"/>
          <w:position w:val="1"/>
          <w:sz w:val="13"/>
        </w:rPr>
        <w:t>d</w:t>
      </w:r>
    </w:p>
    <w:p>
      <w:pPr>
        <w:pStyle w:val="Heading8"/>
        <w:spacing w:before="182"/>
        <w:ind w:left="412" w:right="-29"/>
      </w:pPr>
      <w:r>
        <w:rPr/>
        <w:br w:type="column"/>
      </w:r>
      <w:r>
        <w:rPr>
          <w:spacing w:val="-232"/>
          <w:w w:val="134"/>
        </w:rPr>
        <w:t>è</w:t>
      </w:r>
      <w:r>
        <w:rPr>
          <w:color w:val="FFFFFF"/>
          <w:spacing w:val="-232"/>
          <w:w w:val="134"/>
        </w:rPr>
        <w:t>é</w:t>
      </w:r>
      <w:r>
        <w:rPr>
          <w:color w:val="CC2D31"/>
          <w:spacing w:val="-232"/>
          <w:w w:val="268"/>
        </w:rPr>
        <w:t>í</w:t>
      </w:r>
      <w:r>
        <w:rPr>
          <w:color w:val="FFFF00"/>
          <w:spacing w:val="-232"/>
          <w:w w:val="268"/>
        </w:rPr>
        <w:t>ì</w:t>
      </w:r>
      <w:r>
        <w:rPr>
          <w:color w:val="4CE500"/>
          <w:w w:val="134"/>
        </w:rPr>
        <w:t>ë</w:t>
      </w:r>
    </w:p>
    <w:p>
      <w:pPr>
        <w:spacing w:before="187"/>
        <w:ind w:left="829" w:right="0" w:firstLine="0"/>
        <w:jc w:val="left"/>
        <w:rPr>
          <w:rFonts w:ascii="Arial" w:hAnsi="Arial"/>
          <w:sz w:val="31"/>
        </w:rPr>
      </w:pPr>
      <w:r>
        <w:rPr/>
        <w:br w:type="column"/>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CC2D31"/>
          <w:spacing w:val="-232"/>
          <w:w w:val="268"/>
          <w:sz w:val="31"/>
        </w:rPr>
        <w:t>í</w:t>
      </w:r>
      <w:r>
        <w:rPr>
          <w:rFonts w:ascii="Arial" w:hAnsi="Arial"/>
          <w:spacing w:val="-121"/>
          <w:w w:val="134"/>
          <w:sz w:val="31"/>
        </w:rPr>
        <w:t>è</w:t>
      </w:r>
    </w:p>
    <w:p>
      <w:pPr>
        <w:spacing w:after="0"/>
        <w:jc w:val="left"/>
        <w:rPr>
          <w:rFonts w:ascii="Arial" w:hAnsi="Arial"/>
          <w:sz w:val="31"/>
        </w:rPr>
        <w:sectPr>
          <w:type w:val="continuous"/>
          <w:pgSz w:w="15840" w:h="24480"/>
          <w:pgMar w:top="1480" w:bottom="1320" w:left="0" w:right="0"/>
          <w:cols w:num="3" w:equalWidth="0">
            <w:col w:w="8499" w:space="40"/>
            <w:col w:w="629" w:space="39"/>
            <w:col w:w="6633"/>
          </w:cols>
        </w:sectPr>
      </w:pPr>
    </w:p>
    <w:p>
      <w:pPr>
        <w:spacing w:line="190" w:lineRule="exact" w:before="35"/>
        <w:ind w:left="0" w:right="0" w:firstLine="0"/>
        <w:jc w:val="right"/>
        <w:rPr>
          <w:rFonts w:ascii="Arial"/>
          <w:sz w:val="31"/>
        </w:rPr>
      </w:pPr>
      <w:r>
        <w:rPr>
          <w:rFonts w:ascii="Arial"/>
          <w:color w:val="FFFFFF"/>
          <w:spacing w:val="-249"/>
          <w:w w:val="287"/>
          <w:sz w:val="31"/>
        </w:rPr>
        <w:t>!</w:t>
      </w:r>
      <w:r>
        <w:rPr>
          <w:rFonts w:ascii="Arial"/>
          <w:color w:val="CC2D31"/>
          <w:spacing w:val="-249"/>
          <w:w w:val="225"/>
          <w:sz w:val="31"/>
        </w:rPr>
        <w:t>"</w:t>
      </w:r>
      <w:r>
        <w:rPr>
          <w:rFonts w:ascii="Arial"/>
          <w:color w:val="FFFFFF"/>
          <w:w w:val="143"/>
          <w:sz w:val="31"/>
        </w:rPr>
        <w:t>$</w:t>
      </w:r>
    </w:p>
    <w:p>
      <w:pPr>
        <w:spacing w:line="179" w:lineRule="exact" w:before="35"/>
        <w:ind w:left="268" w:right="0" w:firstLine="0"/>
        <w:jc w:val="left"/>
        <w:rPr>
          <w:rFonts w:ascii="Arial" w:hAnsi="Arial"/>
          <w:sz w:val="31"/>
        </w:rPr>
      </w:pPr>
      <w:r>
        <w:rPr/>
        <w:br w:type="column"/>
      </w:r>
      <w:r>
        <w:rPr>
          <w:rFonts w:ascii="Arial" w:hAnsi="Arial"/>
          <w:spacing w:val="-232"/>
          <w:w w:val="134"/>
          <w:sz w:val="31"/>
        </w:rPr>
        <w:t>è</w:t>
      </w:r>
      <w:r>
        <w:rPr>
          <w:rFonts w:ascii="Arial" w:hAnsi="Arial"/>
          <w:color w:val="CC2D31"/>
          <w:spacing w:val="-232"/>
          <w:w w:val="268"/>
          <w:sz w:val="31"/>
        </w:rPr>
        <w:t>í</w:t>
      </w:r>
      <w:r>
        <w:rPr>
          <w:rFonts w:ascii="Arial" w:hAnsi="Arial"/>
          <w:color w:val="FFFF00"/>
          <w:spacing w:val="-232"/>
          <w:w w:val="268"/>
          <w:sz w:val="31"/>
        </w:rPr>
        <w:t>ì</w:t>
      </w:r>
      <w:r>
        <w:rPr>
          <w:rFonts w:ascii="Arial" w:hAnsi="Arial"/>
          <w:color w:val="4CE500"/>
          <w:spacing w:val="-232"/>
          <w:w w:val="134"/>
          <w:sz w:val="31"/>
        </w:rPr>
        <w:t>ë</w:t>
      </w:r>
      <w:r>
        <w:rPr>
          <w:rFonts w:ascii="Arial" w:hAnsi="Arial"/>
          <w:color w:val="FFFFFF"/>
          <w:spacing w:val="-81"/>
          <w:w w:val="134"/>
          <w:sz w:val="31"/>
        </w:rPr>
        <w:t>é</w:t>
      </w:r>
      <w:r>
        <w:rPr>
          <w:rFonts w:ascii="Century Gothic" w:hAnsi="Century Gothic"/>
          <w:b/>
          <w:color w:val="4D4D4D"/>
          <w:spacing w:val="-5"/>
          <w:w w:val="102"/>
          <w:position w:val="14"/>
          <w:sz w:val="13"/>
        </w:rPr>
        <w:t>L</w:t>
      </w:r>
      <w:r>
        <w:rPr>
          <w:rFonts w:ascii="Century Gothic" w:hAnsi="Century Gothic"/>
          <w:b/>
          <w:color w:val="4D4D4D"/>
          <w:spacing w:val="2"/>
          <w:w w:val="102"/>
          <w:position w:val="14"/>
          <w:sz w:val="13"/>
        </w:rPr>
        <w:t>e</w:t>
      </w:r>
      <w:r>
        <w:rPr>
          <w:rFonts w:ascii="Century Gothic" w:hAnsi="Century Gothic"/>
          <w:b/>
          <w:color w:val="4D4D4D"/>
          <w:w w:val="102"/>
          <w:position w:val="14"/>
          <w:sz w:val="13"/>
        </w:rPr>
        <w:t>e</w:t>
      </w:r>
      <w:r>
        <w:rPr>
          <w:rFonts w:ascii="Arial" w:hAnsi="Arial"/>
          <w:color w:val="FFFF00"/>
          <w:spacing w:val="-232"/>
          <w:w w:val="268"/>
          <w:sz w:val="31"/>
        </w:rPr>
        <w:t>ì</w:t>
      </w:r>
      <w:r>
        <w:rPr>
          <w:rFonts w:ascii="Arial" w:hAnsi="Arial"/>
          <w:color w:val="FFFFFF"/>
          <w:spacing w:val="-232"/>
          <w:w w:val="134"/>
          <w:sz w:val="31"/>
        </w:rPr>
        <w:t>é</w:t>
      </w:r>
      <w:r>
        <w:rPr>
          <w:rFonts w:ascii="Arial" w:hAnsi="Arial"/>
          <w:color w:val="4CE500"/>
          <w:spacing w:val="-232"/>
          <w:w w:val="134"/>
          <w:sz w:val="31"/>
        </w:rPr>
        <w:t>ë</w:t>
      </w:r>
      <w:r>
        <w:rPr>
          <w:rFonts w:ascii="Arial" w:hAnsi="Arial"/>
          <w:spacing w:val="-232"/>
          <w:w w:val="134"/>
          <w:sz w:val="31"/>
        </w:rPr>
        <w:t>è</w:t>
      </w:r>
      <w:r>
        <w:rPr>
          <w:rFonts w:ascii="Arial" w:hAnsi="Arial"/>
          <w:color w:val="CC2D31"/>
          <w:spacing w:val="-197"/>
          <w:w w:val="268"/>
          <w:sz w:val="31"/>
        </w:rPr>
        <w:t>í</w:t>
      </w:r>
      <w:r>
        <w:rPr>
          <w:rFonts w:ascii="Century Gothic" w:hAnsi="Century Gothic"/>
          <w:b/>
          <w:color w:val="4D4D4D"/>
          <w:spacing w:val="-1"/>
          <w:w w:val="102"/>
          <w:position w:val="14"/>
          <w:sz w:val="13"/>
        </w:rPr>
        <w:t>Bl</w:t>
      </w:r>
      <w:r>
        <w:rPr>
          <w:rFonts w:ascii="Century Gothic" w:hAnsi="Century Gothic"/>
          <w:b/>
          <w:color w:val="4D4D4D"/>
          <w:spacing w:val="-6"/>
          <w:w w:val="102"/>
          <w:position w:val="14"/>
          <w:sz w:val="13"/>
        </w:rPr>
        <w:t>v</w:t>
      </w:r>
      <w:r>
        <w:rPr>
          <w:rFonts w:ascii="Century Gothic" w:hAnsi="Century Gothic"/>
          <w:b/>
          <w:color w:val="4D4D4D"/>
          <w:spacing w:val="-84"/>
          <w:w w:val="102"/>
          <w:position w:val="14"/>
          <w:sz w:val="13"/>
        </w:rPr>
        <w:t>d</w:t>
      </w:r>
      <w:r>
        <w:rPr>
          <w:rFonts w:ascii="Arial" w:hAnsi="Arial"/>
          <w:color w:val="FFFF00"/>
          <w:spacing w:val="-232"/>
          <w:w w:val="268"/>
          <w:sz w:val="31"/>
        </w:rPr>
        <w:t>ì</w:t>
      </w:r>
      <w:r>
        <w:rPr>
          <w:rFonts w:ascii="Arial" w:hAnsi="Arial"/>
          <w:color w:val="CC2D31"/>
          <w:spacing w:val="-232"/>
          <w:w w:val="268"/>
          <w:sz w:val="31"/>
        </w:rPr>
        <w:t>í</w:t>
      </w:r>
      <w:r>
        <w:rPr>
          <w:rFonts w:ascii="Arial" w:hAnsi="Arial"/>
          <w:color w:val="FFFFFF"/>
          <w:spacing w:val="-232"/>
          <w:w w:val="134"/>
          <w:sz w:val="31"/>
        </w:rPr>
        <w:t>é</w:t>
      </w:r>
      <w:r>
        <w:rPr>
          <w:rFonts w:ascii="Arial" w:hAnsi="Arial"/>
          <w:spacing w:val="-232"/>
          <w:w w:val="134"/>
          <w:sz w:val="31"/>
        </w:rPr>
        <w:t>è</w:t>
      </w:r>
      <w:r>
        <w:rPr>
          <w:rFonts w:ascii="Arial" w:hAnsi="Arial"/>
          <w:color w:val="4CE500"/>
          <w:spacing w:val="-113"/>
          <w:w w:val="134"/>
          <w:sz w:val="31"/>
        </w:rPr>
        <w:t>ë</w:t>
      </w:r>
    </w:p>
    <w:p>
      <w:pPr>
        <w:pStyle w:val="Heading8"/>
        <w:spacing w:line="15" w:lineRule="exact" w:before="20"/>
        <w:ind w:left="433"/>
      </w:pPr>
      <w:r>
        <w:rPr/>
        <w:br w:type="column"/>
      </w:r>
      <w:r>
        <w:rPr>
          <w:color w:val="FFFFFF"/>
          <w:spacing w:val="-232"/>
          <w:w w:val="134"/>
        </w:rPr>
        <w:t>é</w:t>
      </w:r>
      <w:r>
        <w:rPr>
          <w:spacing w:val="-232"/>
          <w:w w:val="134"/>
        </w:rPr>
        <w:t>è</w:t>
      </w:r>
      <w:r>
        <w:rPr>
          <w:color w:val="CC2D31"/>
          <w:spacing w:val="-232"/>
          <w:w w:val="268"/>
        </w:rPr>
        <w:t>í</w:t>
      </w:r>
      <w:r>
        <w:rPr>
          <w:color w:val="FFFF00"/>
          <w:spacing w:val="-232"/>
          <w:w w:val="268"/>
        </w:rPr>
        <w:t>ì</w:t>
      </w:r>
      <w:r>
        <w:rPr>
          <w:color w:val="4CE500"/>
          <w:w w:val="134"/>
        </w:rPr>
        <w:t>ë</w:t>
      </w:r>
    </w:p>
    <w:p>
      <w:pPr>
        <w:spacing w:after="0" w:line="15" w:lineRule="exact"/>
        <w:sectPr>
          <w:type w:val="continuous"/>
          <w:pgSz w:w="15840" w:h="24480"/>
          <w:pgMar w:top="1480" w:bottom="1320" w:left="0" w:right="0"/>
          <w:cols w:num="3" w:equalWidth="0">
            <w:col w:w="8648" w:space="40"/>
            <w:col w:w="992" w:space="39"/>
            <w:col w:w="6121"/>
          </w:cols>
        </w:sectPr>
      </w:pPr>
    </w:p>
    <w:p>
      <w:pPr>
        <w:pStyle w:val="BodyText"/>
        <w:rPr>
          <w:rFonts w:ascii="Arial"/>
          <w:sz w:val="30"/>
        </w:rPr>
      </w:pPr>
    </w:p>
    <w:p>
      <w:pPr>
        <w:pStyle w:val="BodyText"/>
        <w:rPr>
          <w:rFonts w:ascii="Arial"/>
          <w:sz w:val="35"/>
        </w:rPr>
      </w:pPr>
    </w:p>
    <w:p>
      <w:pPr>
        <w:spacing w:before="0"/>
        <w:ind w:left="0" w:right="0" w:firstLine="0"/>
        <w:jc w:val="right"/>
        <w:rPr>
          <w:rFonts w:ascii="Arial" w:hAnsi="Arial"/>
          <w:sz w:val="31"/>
        </w:rPr>
      </w:pPr>
      <w:r>
        <w:rPr/>
        <w:pict>
          <v:shape style="position:absolute;margin-left:388.879413pt;margin-top:.616086pt;width:36.5pt;height:6.65pt;mso-position-horizontal-relative:page;mso-position-vertical-relative:paragraph;z-index:-268218368;rotation:312" type="#_x0000_t136" fillcolor="#4d4d4d" stroked="f">
            <o:extrusion v:ext="view" autorotationcenter="t"/>
            <v:textpath style="font-family:&quot;Century Gothic&quot;;font-size:6pt;v-text-kern:t;mso-text-shadow:auto;font-weight:bold" string="Duportail St"/>
            <w10:wrap type="none"/>
          </v:shape>
        </w:pict>
      </w:r>
      <w:r>
        <w:rPr>
          <w:rFonts w:ascii="Arial" w:hAnsi="Arial"/>
          <w:color w:val="CC2D31"/>
          <w:spacing w:val="-232"/>
          <w:w w:val="268"/>
          <w:sz w:val="31"/>
        </w:rPr>
        <w:t>í</w:t>
      </w:r>
      <w:r>
        <w:rPr>
          <w:rFonts w:ascii="Arial" w:hAnsi="Arial"/>
          <w:color w:val="FFFFFF"/>
          <w:spacing w:val="-232"/>
          <w:w w:val="134"/>
          <w:sz w:val="31"/>
        </w:rPr>
        <w:t>é</w:t>
      </w:r>
      <w:r>
        <w:rPr>
          <w:rFonts w:ascii="Arial" w:hAnsi="Arial"/>
          <w:color w:val="4CE500"/>
          <w:spacing w:val="-232"/>
          <w:w w:val="134"/>
          <w:sz w:val="31"/>
        </w:rPr>
        <w:t>ë</w:t>
      </w:r>
      <w:r>
        <w:rPr>
          <w:rFonts w:ascii="Arial" w:hAnsi="Arial"/>
          <w:spacing w:val="-232"/>
          <w:w w:val="134"/>
          <w:sz w:val="31"/>
        </w:rPr>
        <w:t>è</w:t>
      </w:r>
      <w:r>
        <w:rPr>
          <w:rFonts w:ascii="Arial" w:hAnsi="Arial"/>
          <w:color w:val="FFFF00"/>
          <w:w w:val="268"/>
          <w:sz w:val="31"/>
        </w:rPr>
        <w:t>ì</w:t>
      </w:r>
    </w:p>
    <w:p>
      <w:pPr>
        <w:pStyle w:val="BodyText"/>
        <w:spacing w:before="2"/>
        <w:rPr>
          <w:rFonts w:ascii="Arial"/>
          <w:sz w:val="34"/>
        </w:rPr>
      </w:pPr>
      <w:r>
        <w:rPr/>
        <w:br w:type="column"/>
      </w:r>
      <w:r>
        <w:rPr>
          <w:rFonts w:ascii="Arial"/>
          <w:sz w:val="34"/>
        </w:rPr>
      </w:r>
    </w:p>
    <w:p>
      <w:pPr>
        <w:spacing w:before="0"/>
        <w:ind w:left="110" w:right="0" w:firstLine="0"/>
        <w:jc w:val="left"/>
        <w:rPr>
          <w:rFonts w:ascii="Arial"/>
          <w:sz w:val="16"/>
        </w:rPr>
      </w:pPr>
      <w:r>
        <w:rPr>
          <w:rFonts w:ascii="Arial Black"/>
          <w:spacing w:val="-244"/>
          <w:w w:val="104"/>
          <w:sz w:val="36"/>
        </w:rPr>
        <w:t>2</w:t>
      </w:r>
      <w:r>
        <w:rPr>
          <w:rFonts w:ascii="Arial"/>
          <w:color w:val="FFAA00"/>
          <w:spacing w:val="-177"/>
          <w:w w:val="254"/>
          <w:position w:val="1"/>
          <w:sz w:val="34"/>
        </w:rPr>
        <w:t>!</w:t>
      </w:r>
      <w:r>
        <w:rPr>
          <w:rFonts w:ascii="Arial"/>
          <w:color w:val="FFFFFF"/>
          <w:w w:val="252"/>
          <w:position w:val="7"/>
          <w:sz w:val="16"/>
        </w:rPr>
        <w:t>!</w:t>
      </w:r>
    </w:p>
    <w:p>
      <w:pPr>
        <w:pStyle w:val="BodyText"/>
        <w:spacing w:before="4"/>
        <w:rPr>
          <w:rFonts w:ascii="Arial"/>
          <w:sz w:val="43"/>
        </w:rPr>
      </w:pPr>
      <w:r>
        <w:rPr/>
        <w:br w:type="column"/>
      </w:r>
      <w:r>
        <w:rPr>
          <w:rFonts w:ascii="Arial"/>
          <w:sz w:val="43"/>
        </w:rPr>
      </w:r>
    </w:p>
    <w:p>
      <w:pPr>
        <w:spacing w:line="456" w:lineRule="exact" w:before="0"/>
        <w:ind w:left="262" w:right="0" w:firstLine="0"/>
        <w:jc w:val="left"/>
        <w:rPr>
          <w:rFonts w:ascii="Arial"/>
          <w:sz w:val="16"/>
        </w:rPr>
      </w:pPr>
      <w:r>
        <w:rPr>
          <w:rFonts w:ascii="Arial Black"/>
          <w:spacing w:val="-244"/>
          <w:w w:val="104"/>
          <w:sz w:val="36"/>
        </w:rPr>
        <w:t>2</w:t>
      </w:r>
      <w:r>
        <w:rPr>
          <w:rFonts w:ascii="Arial"/>
          <w:color w:val="FFAA00"/>
          <w:spacing w:val="-177"/>
          <w:w w:val="254"/>
          <w:position w:val="1"/>
          <w:sz w:val="34"/>
        </w:rPr>
        <w:t>!</w:t>
      </w:r>
      <w:r>
        <w:rPr>
          <w:rFonts w:ascii="Arial"/>
          <w:color w:val="FFFFFF"/>
          <w:w w:val="252"/>
          <w:position w:val="7"/>
          <w:sz w:val="16"/>
        </w:rPr>
        <w:t>!</w:t>
      </w:r>
    </w:p>
    <w:p>
      <w:pPr>
        <w:pStyle w:val="Heading8"/>
        <w:spacing w:line="305" w:lineRule="exact"/>
        <w:ind w:left="271"/>
      </w:pPr>
      <w:r>
        <w:rPr>
          <w:color w:val="FFFFFF"/>
          <w:spacing w:val="-249"/>
          <w:w w:val="143"/>
        </w:rPr>
        <w:t>$</w:t>
      </w:r>
      <w:r>
        <w:rPr>
          <w:color w:val="FFFFFF"/>
          <w:spacing w:val="-249"/>
          <w:w w:val="287"/>
        </w:rPr>
        <w:t>!</w:t>
      </w:r>
      <w:r>
        <w:rPr>
          <w:color w:val="CC2D31"/>
          <w:w w:val="225"/>
        </w:rPr>
        <w:t>"</w:t>
      </w:r>
    </w:p>
    <w:p>
      <w:pPr>
        <w:pStyle w:val="BodyText"/>
        <w:spacing w:before="7"/>
        <w:rPr>
          <w:rFonts w:ascii="Arial"/>
          <w:sz w:val="36"/>
        </w:rPr>
      </w:pPr>
      <w:r>
        <w:rPr/>
        <w:br w:type="column"/>
      </w:r>
      <w:r>
        <w:rPr>
          <w:rFonts w:ascii="Arial"/>
          <w:sz w:val="36"/>
        </w:rPr>
      </w:r>
    </w:p>
    <w:p>
      <w:pPr>
        <w:spacing w:before="0"/>
        <w:ind w:left="96" w:right="0" w:firstLine="0"/>
        <w:jc w:val="left"/>
        <w:rPr>
          <w:rFonts w:ascii="Arial" w:hAnsi="Arial"/>
          <w:sz w:val="31"/>
        </w:rPr>
      </w:pPr>
      <w:r>
        <w:rPr>
          <w:rFonts w:ascii="Arial" w:hAnsi="Arial"/>
          <w:spacing w:val="-232"/>
          <w:w w:val="134"/>
          <w:sz w:val="31"/>
        </w:rPr>
        <w:t>è</w:t>
      </w:r>
      <w:r>
        <w:rPr>
          <w:rFonts w:ascii="Arial" w:hAnsi="Arial"/>
          <w:color w:val="FFFFFF"/>
          <w:spacing w:val="-232"/>
          <w:w w:val="134"/>
          <w:sz w:val="31"/>
        </w:rPr>
        <w:t>é</w:t>
      </w:r>
      <w:r>
        <w:rPr>
          <w:rFonts w:ascii="Arial" w:hAnsi="Arial"/>
          <w:color w:val="FFFF00"/>
          <w:spacing w:val="-232"/>
          <w:w w:val="268"/>
          <w:sz w:val="31"/>
        </w:rPr>
        <w:t>ì</w:t>
      </w:r>
      <w:r>
        <w:rPr>
          <w:rFonts w:ascii="Arial" w:hAnsi="Arial"/>
          <w:color w:val="4CE500"/>
          <w:spacing w:val="-232"/>
          <w:w w:val="134"/>
          <w:sz w:val="31"/>
        </w:rPr>
        <w:t>ë</w:t>
      </w:r>
      <w:r>
        <w:rPr>
          <w:rFonts w:ascii="Arial" w:hAnsi="Arial"/>
          <w:color w:val="CC2D31"/>
          <w:w w:val="268"/>
          <w:sz w:val="31"/>
        </w:rPr>
        <w:t>í</w:t>
      </w:r>
    </w:p>
    <w:p>
      <w:pPr>
        <w:pStyle w:val="BodyText"/>
        <w:spacing w:before="9"/>
        <w:rPr>
          <w:rFonts w:ascii="Arial"/>
          <w:sz w:val="27"/>
        </w:rPr>
      </w:pPr>
    </w:p>
    <w:p>
      <w:pPr>
        <w:spacing w:line="252" w:lineRule="exact" w:before="0"/>
        <w:ind w:left="94" w:right="0" w:firstLine="0"/>
        <w:jc w:val="left"/>
        <w:rPr>
          <w:rFonts w:ascii="Arial"/>
          <w:sz w:val="31"/>
        </w:rPr>
      </w:pPr>
      <w:r>
        <w:rPr/>
        <w:pict>
          <v:shape style="position:absolute;margin-left:462.055511pt;margin-top:-38.07156pt;width:10.75pt;height:44.5pt;mso-position-horizontal-relative:page;mso-position-vertical-relative:paragraph;z-index:-268230656"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Wellsi</w:t>
                  </w:r>
                  <w:r>
                    <w:rPr>
                      <w:rFonts w:ascii="Century Gothic"/>
                      <w:b/>
                      <w:color w:val="4D4D4D"/>
                      <w:position w:val="1"/>
                      <w:sz w:val="13"/>
                    </w:rPr>
                    <w:t>an Way</w:t>
                  </w:r>
                </w:p>
              </w:txbxContent>
            </v:textbox>
            <w10:wrap type="none"/>
          </v:shape>
        </w:pict>
      </w:r>
      <w:r>
        <w:rPr>
          <w:rFonts w:ascii="Arial"/>
          <w:color w:val="FFFFFF"/>
          <w:spacing w:val="-249"/>
          <w:w w:val="287"/>
          <w:sz w:val="31"/>
        </w:rPr>
        <w:t>!</w:t>
      </w:r>
      <w:r>
        <w:rPr>
          <w:rFonts w:ascii="Arial"/>
          <w:color w:val="FFFFFF"/>
          <w:spacing w:val="-249"/>
          <w:w w:val="143"/>
          <w:sz w:val="31"/>
        </w:rPr>
        <w:t>$</w:t>
      </w:r>
      <w:r>
        <w:rPr>
          <w:rFonts w:ascii="Arial"/>
          <w:color w:val="CC2D31"/>
          <w:w w:val="225"/>
          <w:sz w:val="31"/>
        </w:rPr>
        <w:t>"</w:t>
      </w:r>
    </w:p>
    <w:p>
      <w:pPr>
        <w:spacing w:line="-50" w:lineRule="auto" w:before="0"/>
        <w:ind w:left="90" w:right="0" w:firstLine="0"/>
        <w:jc w:val="left"/>
        <w:rPr>
          <w:rFonts w:ascii="Century Gothic"/>
          <w:b/>
          <w:sz w:val="13"/>
        </w:rPr>
      </w:pPr>
      <w:r>
        <w:rPr/>
        <w:br w:type="column"/>
      </w:r>
      <w:r>
        <w:rPr>
          <w:rFonts w:ascii="Century Gothic"/>
          <w:b/>
          <w:color w:val="4D4D4D"/>
          <w:spacing w:val="-3"/>
          <w:sz w:val="13"/>
        </w:rPr>
        <w:t>Knigh</w:t>
      </w:r>
      <w:r>
        <w:rPr>
          <w:rFonts w:ascii="Century Gothic"/>
          <w:b/>
          <w:color w:val="4D4D4D"/>
          <w:spacing w:val="-3"/>
          <w:position w:val="1"/>
          <w:sz w:val="13"/>
        </w:rPr>
        <w:t>t</w:t>
      </w:r>
      <w:r>
        <w:rPr>
          <w:rFonts w:ascii="Century Gothic"/>
          <w:b/>
          <w:color w:val="4D4D4D"/>
          <w:spacing w:val="9"/>
          <w:position w:val="1"/>
          <w:sz w:val="13"/>
        </w:rPr>
        <w:t> </w:t>
      </w:r>
      <w:r>
        <w:rPr>
          <w:rFonts w:ascii="Century Gothic"/>
          <w:b/>
          <w:color w:val="4D4D4D"/>
          <w:position w:val="1"/>
          <w:sz w:val="13"/>
        </w:rPr>
        <w:t>St</w:t>
      </w:r>
    </w:p>
    <w:p>
      <w:pPr>
        <w:pStyle w:val="BodyText"/>
        <w:spacing w:before="2"/>
        <w:rPr>
          <w:rFonts w:ascii="Century Gothic"/>
          <w:b/>
          <w:sz w:val="12"/>
        </w:rPr>
      </w:pPr>
    </w:p>
    <w:p>
      <w:pPr>
        <w:pStyle w:val="Heading8"/>
        <w:spacing w:line="122" w:lineRule="auto"/>
        <w:ind w:left="412" w:right="452"/>
        <w:jc w:val="center"/>
      </w:pPr>
      <w:r>
        <w:rPr>
          <w:color w:val="FFFF00"/>
          <w:spacing w:val="-232"/>
          <w:w w:val="268"/>
        </w:rPr>
        <w:t>ì</w:t>
      </w:r>
      <w:r>
        <w:rPr>
          <w:spacing w:val="-232"/>
          <w:w w:val="134"/>
        </w:rPr>
        <w:t>è</w:t>
      </w:r>
      <w:r>
        <w:rPr>
          <w:color w:val="FFFFFF"/>
          <w:spacing w:val="-232"/>
          <w:w w:val="134"/>
        </w:rPr>
        <w:t>é</w:t>
      </w:r>
      <w:r>
        <w:rPr>
          <w:color w:val="4CE500"/>
          <w:spacing w:val="-232"/>
          <w:w w:val="134"/>
        </w:rPr>
        <w:t>ë</w:t>
      </w:r>
      <w:r>
        <w:rPr>
          <w:color w:val="CC2D31"/>
          <w:spacing w:val="-127"/>
          <w:w w:val="268"/>
        </w:rPr>
        <w:t>í</w:t>
      </w:r>
      <w:r>
        <w:rPr>
          <w:spacing w:val="-232"/>
          <w:w w:val="134"/>
        </w:rPr>
        <w:t>è</w:t>
      </w:r>
      <w:r>
        <w:rPr>
          <w:color w:val="CC2D31"/>
          <w:spacing w:val="-232"/>
          <w:w w:val="268"/>
        </w:rPr>
        <w:t>í</w:t>
      </w:r>
      <w:r>
        <w:rPr>
          <w:color w:val="FFFF00"/>
          <w:spacing w:val="-232"/>
          <w:w w:val="268"/>
        </w:rPr>
        <w:t>ì</w:t>
      </w:r>
      <w:r>
        <w:rPr>
          <w:color w:val="4CE500"/>
          <w:spacing w:val="-232"/>
          <w:w w:val="134"/>
        </w:rPr>
        <w:t>ë</w:t>
      </w:r>
      <w:r>
        <w:rPr>
          <w:color w:val="FFFFFF"/>
          <w:w w:val="134"/>
        </w:rPr>
        <w:t>é </w:t>
      </w:r>
      <w:r>
        <w:rPr>
          <w:spacing w:val="-232"/>
          <w:w w:val="134"/>
        </w:rPr>
        <w:t>è</w:t>
      </w:r>
      <w:r>
        <w:rPr>
          <w:color w:val="FFFFFF"/>
          <w:spacing w:val="-232"/>
          <w:w w:val="134"/>
        </w:rPr>
        <w:t>é</w:t>
      </w:r>
      <w:r>
        <w:rPr>
          <w:color w:val="4CE500"/>
          <w:spacing w:val="-232"/>
          <w:w w:val="134"/>
        </w:rPr>
        <w:t>ë</w:t>
      </w:r>
      <w:r>
        <w:rPr>
          <w:color w:val="FFFF00"/>
          <w:spacing w:val="-232"/>
          <w:w w:val="268"/>
        </w:rPr>
        <w:t>ì</w:t>
      </w:r>
      <w:r>
        <w:rPr>
          <w:color w:val="CC2D31"/>
          <w:spacing w:val="-121"/>
          <w:w w:val="268"/>
        </w:rPr>
        <w:t>í</w:t>
      </w:r>
    </w:p>
    <w:p>
      <w:pPr>
        <w:spacing w:line="216" w:lineRule="exact" w:before="0"/>
        <w:ind w:left="351" w:right="0" w:firstLine="0"/>
        <w:jc w:val="center"/>
        <w:rPr>
          <w:rFonts w:ascii="Arial" w:hAnsi="Arial"/>
          <w:sz w:val="31"/>
        </w:rPr>
      </w:pPr>
      <w:r>
        <w:rPr/>
        <w:pict>
          <v:shape style="position:absolute;margin-left:479.536377pt;margin-top:4.122414pt;width:10.7pt;height:39.7pt;mso-position-horizontal-relative:page;mso-position-vertical-relative:paragraph;z-index:251807744"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sz w:val="13"/>
                    </w:rPr>
                    <w:t>Goeth</w:t>
                  </w:r>
                  <w:r>
                    <w:rPr>
                      <w:rFonts w:ascii="Century Gothic"/>
                      <w:b/>
                      <w:color w:val="4D4D4D"/>
                      <w:position w:val="1"/>
                      <w:sz w:val="13"/>
                    </w:rPr>
                    <w:t>als Dr</w:t>
                  </w:r>
                </w:p>
              </w:txbxContent>
            </v:textbox>
            <w10:wrap type="none"/>
          </v:shape>
        </w:pict>
      </w:r>
      <w:r>
        <w:rPr>
          <w:rFonts w:ascii="Arial" w:hAnsi="Arial"/>
          <w:color w:val="FFFFFF"/>
          <w:spacing w:val="-232"/>
          <w:w w:val="134"/>
          <w:sz w:val="31"/>
        </w:rPr>
        <w:t>é</w:t>
      </w:r>
      <w:r>
        <w:rPr>
          <w:rFonts w:ascii="Arial" w:hAnsi="Arial"/>
          <w:color w:val="4CE500"/>
          <w:spacing w:val="-232"/>
          <w:w w:val="134"/>
          <w:sz w:val="31"/>
        </w:rPr>
        <w:t>ë</w:t>
      </w:r>
      <w:r>
        <w:rPr>
          <w:rFonts w:ascii="Arial" w:hAnsi="Arial"/>
          <w:spacing w:val="-232"/>
          <w:w w:val="134"/>
          <w:sz w:val="31"/>
        </w:rPr>
        <w:t>è</w:t>
      </w:r>
      <w:r>
        <w:rPr>
          <w:rFonts w:ascii="Arial" w:hAnsi="Arial"/>
          <w:color w:val="FFFF00"/>
          <w:spacing w:val="-232"/>
          <w:w w:val="268"/>
          <w:sz w:val="31"/>
        </w:rPr>
        <w:t>ì</w:t>
      </w:r>
      <w:r>
        <w:rPr>
          <w:rFonts w:ascii="Arial" w:hAnsi="Arial"/>
          <w:color w:val="CC2D31"/>
          <w:w w:val="268"/>
          <w:sz w:val="31"/>
        </w:rPr>
        <w:t>í</w:t>
      </w:r>
    </w:p>
    <w:p>
      <w:pPr>
        <w:spacing w:line="355" w:lineRule="exact" w:before="15"/>
        <w:ind w:left="661" w:right="0" w:firstLine="0"/>
        <w:jc w:val="center"/>
        <w:rPr>
          <w:rFonts w:ascii="Arial" w:hAnsi="Arial"/>
          <w:sz w:val="31"/>
        </w:rPr>
      </w:pPr>
      <w:r>
        <w:rPr/>
        <w:pict>
          <v:shape style="position:absolute;margin-left:492.68277pt;margin-top:15.561925pt;width:40.25pt;height:6.65pt;mso-position-horizontal-relative:page;mso-position-vertical-relative:paragraph;z-index:-268216320;rotation:354" type="#_x0000_t136" fillcolor="#4d4d4d" stroked="f">
            <o:extrusion v:ext="view" autorotationcenter="t"/>
            <v:textpath style="font-family:&quot;Century Gothic&quot;;font-size:6pt;v-text-kern:t;mso-text-shadow:auto;font-weight:bold" string="Comstock St"/>
            <w10:wrap type="none"/>
          </v:shape>
        </w:pict>
      </w:r>
      <w:r>
        <w:rPr>
          <w:rFonts w:ascii="Arial" w:hAnsi="Arial"/>
          <w:spacing w:val="-232"/>
          <w:w w:val="134"/>
          <w:sz w:val="31"/>
        </w:rPr>
        <w:t>è</w:t>
      </w:r>
      <w:r>
        <w:rPr>
          <w:rFonts w:ascii="Arial" w:hAnsi="Arial"/>
          <w:color w:val="FFFFFF"/>
          <w:spacing w:val="-232"/>
          <w:w w:val="134"/>
          <w:sz w:val="31"/>
        </w:rPr>
        <w:t>é</w:t>
      </w:r>
      <w:r>
        <w:rPr>
          <w:rFonts w:ascii="Arial" w:hAnsi="Arial"/>
          <w:color w:val="4CE500"/>
          <w:spacing w:val="-232"/>
          <w:w w:val="134"/>
          <w:sz w:val="31"/>
        </w:rPr>
        <w:t>ë</w:t>
      </w:r>
      <w:r>
        <w:rPr>
          <w:rFonts w:ascii="Arial" w:hAnsi="Arial"/>
          <w:color w:val="CC2D31"/>
          <w:spacing w:val="-232"/>
          <w:w w:val="268"/>
          <w:sz w:val="31"/>
        </w:rPr>
        <w:t>í</w:t>
      </w:r>
      <w:r>
        <w:rPr>
          <w:rFonts w:ascii="Arial" w:hAnsi="Arial"/>
          <w:color w:val="FFFF00"/>
          <w:w w:val="268"/>
          <w:sz w:val="31"/>
        </w:rPr>
        <w:t>ì</w:t>
      </w:r>
    </w:p>
    <w:p>
      <w:pPr>
        <w:spacing w:line="273" w:lineRule="exact" w:before="0"/>
        <w:ind w:left="971" w:right="0" w:firstLine="0"/>
        <w:jc w:val="center"/>
        <w:rPr>
          <w:rFonts w:ascii="Arial" w:hAnsi="Arial"/>
          <w:sz w:val="31"/>
        </w:rPr>
      </w:pPr>
      <w:r>
        <w:rPr>
          <w:rFonts w:ascii="Arial" w:hAnsi="Arial"/>
          <w:spacing w:val="-232"/>
          <w:w w:val="134"/>
          <w:sz w:val="31"/>
        </w:rPr>
        <w:t>è</w:t>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CC2D31"/>
          <w:w w:val="268"/>
          <w:sz w:val="31"/>
        </w:rPr>
        <w:t>í</w:t>
      </w:r>
    </w:p>
    <w:p>
      <w:pPr>
        <w:pStyle w:val="BodyText"/>
        <w:spacing w:before="10"/>
        <w:rPr>
          <w:rFonts w:ascii="Arial"/>
          <w:sz w:val="54"/>
        </w:rPr>
      </w:pPr>
      <w:r>
        <w:rPr/>
        <w:br w:type="column"/>
      </w:r>
      <w:r>
        <w:rPr>
          <w:rFonts w:ascii="Arial"/>
          <w:sz w:val="54"/>
        </w:rPr>
      </w:r>
    </w:p>
    <w:p>
      <w:pPr>
        <w:spacing w:before="1"/>
        <w:ind w:left="1856" w:right="2827" w:firstLine="0"/>
        <w:jc w:val="center"/>
        <w:rPr>
          <w:rFonts w:ascii="Arial" w:hAnsi="Arial"/>
          <w:b/>
          <w:sz w:val="11"/>
        </w:rPr>
      </w:pPr>
      <w:r>
        <w:rPr>
          <w:rFonts w:ascii="Arial" w:hAnsi="Arial"/>
          <w:color w:val="FF0000"/>
          <w:spacing w:val="-284"/>
          <w:w w:val="127"/>
          <w:position w:val="-8"/>
          <w:sz w:val="40"/>
        </w:rPr>
        <w:t>§</w:t>
      </w:r>
      <w:r>
        <w:rPr>
          <w:rFonts w:ascii="Arial" w:hAnsi="Arial"/>
          <w:color w:val="0000FF"/>
          <w:spacing w:val="-284"/>
          <w:w w:val="212"/>
          <w:position w:val="-9"/>
          <w:sz w:val="40"/>
        </w:rPr>
        <w:t>¨</w:t>
      </w:r>
      <w:r>
        <w:rPr>
          <w:rFonts w:ascii="Arial" w:hAnsi="Arial"/>
          <w:spacing w:val="-236"/>
          <w:w w:val="27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spacing w:after="0"/>
        <w:jc w:val="center"/>
        <w:rPr>
          <w:rFonts w:ascii="Arial" w:hAnsi="Arial"/>
          <w:sz w:val="11"/>
        </w:rPr>
        <w:sectPr>
          <w:type w:val="continuous"/>
          <w:pgSz w:w="15840" w:h="24480"/>
          <w:pgMar w:top="1480" w:bottom="1320" w:left="0" w:right="0"/>
          <w:cols w:num="6" w:equalWidth="0">
            <w:col w:w="8318" w:space="40"/>
            <w:col w:w="296" w:space="39"/>
            <w:col w:w="520" w:space="40"/>
            <w:col w:w="343" w:space="39"/>
            <w:col w:w="1204" w:space="39"/>
            <w:col w:w="4962"/>
          </w:cols>
        </w:sectPr>
      </w:pPr>
    </w:p>
    <w:p>
      <w:pPr>
        <w:pStyle w:val="Heading8"/>
        <w:spacing w:line="208" w:lineRule="exact" w:before="19"/>
        <w:jc w:val="right"/>
      </w:pPr>
      <w:r>
        <w:rPr/>
        <w:pict>
          <v:shape style="position:absolute;margin-left:388.109027pt;margin-top:45.817618pt;width:48.75pt;height:6.65pt;mso-position-horizontal-relative:page;mso-position-vertical-relative:paragraph;z-index:-268241920;rotation:64" type="#_x0000_t136" fillcolor="#4d4d4d" stroked="f">
            <o:extrusion v:ext="view" autorotationcenter="t"/>
            <v:textpath style="font-family:&quot;Century Gothic&quot;;font-size:6pt;v-text-kern:t;mso-text-shadow:auto;font-weight:bold" string="Queensgate Dr"/>
            <w10:wrap type="none"/>
          </v:shape>
        </w:pict>
      </w:r>
      <w:r>
        <w:rPr>
          <w:color w:val="FFFFFF"/>
          <w:spacing w:val="-249"/>
          <w:w w:val="143"/>
        </w:rPr>
        <w:t>$</w:t>
      </w:r>
      <w:r>
        <w:rPr>
          <w:color w:val="CC2D31"/>
          <w:spacing w:val="-249"/>
          <w:w w:val="225"/>
        </w:rPr>
        <w:t>"</w:t>
      </w:r>
      <w:r>
        <w:rPr>
          <w:color w:val="FFFFFF"/>
          <w:spacing w:val="-174"/>
          <w:w w:val="287"/>
        </w:rPr>
        <w:t>!</w:t>
      </w:r>
    </w:p>
    <w:p>
      <w:pPr>
        <w:spacing w:line="63" w:lineRule="exact" w:before="164"/>
        <w:ind w:left="159" w:right="0" w:firstLine="0"/>
        <w:jc w:val="left"/>
        <w:rPr>
          <w:rFonts w:ascii="Century Gothic" w:hAnsi="Century Gothic"/>
          <w:b/>
          <w:sz w:val="13"/>
        </w:rPr>
      </w:pPr>
      <w:r>
        <w:rPr/>
        <w:br w:type="column"/>
      </w:r>
      <w:r>
        <w:rPr>
          <w:rFonts w:ascii="Arial" w:hAnsi="Arial"/>
          <w:color w:val="CC2D31"/>
          <w:spacing w:val="-232"/>
          <w:w w:val="268"/>
          <w:sz w:val="31"/>
        </w:rPr>
        <w:t>í</w:t>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spacing w:val="-232"/>
          <w:w w:val="268"/>
          <w:sz w:val="31"/>
        </w:rPr>
        <w:t>ì</w:t>
      </w:r>
      <w:r>
        <w:rPr>
          <w:rFonts w:ascii="Arial" w:hAnsi="Arial"/>
          <w:spacing w:val="-2"/>
          <w:w w:val="134"/>
          <w:sz w:val="31"/>
        </w:rPr>
        <w:t>è</w:t>
      </w:r>
      <w:r>
        <w:rPr>
          <w:rFonts w:ascii="Arial" w:hAnsi="Arial"/>
          <w:color w:val="FFFFFF"/>
          <w:spacing w:val="-249"/>
          <w:w w:val="143"/>
          <w:position w:val="1"/>
          <w:sz w:val="31"/>
        </w:rPr>
        <w:t>$</w:t>
      </w:r>
      <w:r>
        <w:rPr>
          <w:rFonts w:ascii="Arial" w:hAnsi="Arial"/>
          <w:color w:val="FFFFFF"/>
          <w:spacing w:val="-249"/>
          <w:w w:val="287"/>
          <w:position w:val="1"/>
          <w:sz w:val="31"/>
        </w:rPr>
        <w:t>!</w:t>
      </w:r>
      <w:r>
        <w:rPr>
          <w:rFonts w:ascii="Arial" w:hAnsi="Arial"/>
          <w:color w:val="CC2D31"/>
          <w:spacing w:val="-71"/>
          <w:w w:val="225"/>
          <w:position w:val="1"/>
          <w:sz w:val="31"/>
        </w:rPr>
        <w:t>"</w:t>
      </w:r>
      <w:r>
        <w:rPr>
          <w:rFonts w:ascii="Century Gothic" w:hAnsi="Century Gothic"/>
          <w:b/>
          <w:color w:val="4D4D4D"/>
          <w:spacing w:val="-7"/>
          <w:w w:val="102"/>
          <w:position w:val="17"/>
          <w:sz w:val="13"/>
        </w:rPr>
        <w:t>A</w:t>
      </w:r>
      <w:r>
        <w:rPr>
          <w:rFonts w:ascii="Century Gothic" w:hAnsi="Century Gothic"/>
          <w:b/>
          <w:color w:val="4D4D4D"/>
          <w:spacing w:val="-2"/>
          <w:w w:val="102"/>
          <w:position w:val="17"/>
          <w:sz w:val="13"/>
        </w:rPr>
        <w:t>a</w:t>
      </w:r>
      <w:r>
        <w:rPr>
          <w:rFonts w:ascii="Century Gothic" w:hAnsi="Century Gothic"/>
          <w:b/>
          <w:color w:val="4D4D4D"/>
          <w:spacing w:val="-1"/>
          <w:w w:val="102"/>
          <w:position w:val="17"/>
          <w:sz w:val="13"/>
        </w:rPr>
        <w:t>r</w:t>
      </w:r>
      <w:r>
        <w:rPr>
          <w:rFonts w:ascii="Century Gothic" w:hAnsi="Century Gothic"/>
          <w:b/>
          <w:color w:val="4D4D4D"/>
          <w:spacing w:val="-5"/>
          <w:w w:val="102"/>
          <w:position w:val="17"/>
          <w:sz w:val="13"/>
        </w:rPr>
        <w:t>o</w:t>
      </w:r>
      <w:r>
        <w:rPr>
          <w:rFonts w:ascii="Century Gothic" w:hAnsi="Century Gothic"/>
          <w:b/>
          <w:color w:val="4D4D4D"/>
          <w:w w:val="102"/>
          <w:position w:val="17"/>
          <w:sz w:val="13"/>
        </w:rPr>
        <w:t>n</w:t>
      </w:r>
      <w:r>
        <w:rPr>
          <w:rFonts w:ascii="Century Gothic" w:hAnsi="Century Gothic"/>
          <w:b/>
          <w:color w:val="4D4D4D"/>
          <w:spacing w:val="3"/>
          <w:position w:val="17"/>
          <w:sz w:val="13"/>
        </w:rPr>
        <w:t> </w:t>
      </w:r>
      <w:r>
        <w:rPr>
          <w:rFonts w:ascii="Century Gothic" w:hAnsi="Century Gothic"/>
          <w:b/>
          <w:color w:val="4D4D4D"/>
          <w:spacing w:val="-2"/>
          <w:w w:val="102"/>
          <w:position w:val="17"/>
          <w:sz w:val="13"/>
        </w:rPr>
        <w:t>D</w:t>
      </w:r>
      <w:r>
        <w:rPr>
          <w:rFonts w:ascii="Century Gothic" w:hAnsi="Century Gothic"/>
          <w:b/>
          <w:color w:val="4D4D4D"/>
          <w:w w:val="102"/>
          <w:position w:val="17"/>
          <w:sz w:val="13"/>
        </w:rPr>
        <w:t>r</w:t>
      </w:r>
    </w:p>
    <w:p>
      <w:pPr>
        <w:spacing w:after="0" w:line="63" w:lineRule="exact"/>
        <w:jc w:val="left"/>
        <w:rPr>
          <w:rFonts w:ascii="Century Gothic" w:hAnsi="Century Gothic"/>
          <w:sz w:val="13"/>
        </w:rPr>
        <w:sectPr>
          <w:type w:val="continuous"/>
          <w:pgSz w:w="15840" w:h="24480"/>
          <w:pgMar w:top="1480" w:bottom="1320" w:left="0" w:right="0"/>
          <w:cols w:num="2" w:equalWidth="0">
            <w:col w:w="9162" w:space="40"/>
            <w:col w:w="6638"/>
          </w:cols>
        </w:sectPr>
      </w:pPr>
    </w:p>
    <w:p>
      <w:pPr>
        <w:pStyle w:val="BodyText"/>
        <w:rPr>
          <w:rFonts w:ascii="Century Gothic"/>
          <w:b/>
          <w:sz w:val="40"/>
        </w:rPr>
      </w:pPr>
    </w:p>
    <w:p>
      <w:pPr>
        <w:pStyle w:val="BodyText"/>
        <w:rPr>
          <w:rFonts w:ascii="Century Gothic"/>
          <w:b/>
          <w:sz w:val="40"/>
        </w:rPr>
      </w:pPr>
    </w:p>
    <w:p>
      <w:pPr>
        <w:pStyle w:val="BodyText"/>
        <w:rPr>
          <w:rFonts w:ascii="Century Gothic"/>
          <w:b/>
          <w:sz w:val="35"/>
        </w:rPr>
      </w:pPr>
    </w:p>
    <w:p>
      <w:pPr>
        <w:spacing w:before="0"/>
        <w:ind w:left="0" w:right="0" w:firstLine="0"/>
        <w:jc w:val="right"/>
        <w:rPr>
          <w:rFonts w:ascii="Arial" w:hAnsi="Arial"/>
          <w:b/>
          <w:sz w:val="11"/>
        </w:rPr>
      </w:pPr>
      <w:r>
        <w:rPr>
          <w:rFonts w:ascii="Arial" w:hAnsi="Arial"/>
          <w:color w:val="FF0000"/>
          <w:spacing w:val="-284"/>
          <w:w w:val="127"/>
          <w:position w:val="-8"/>
          <w:sz w:val="40"/>
        </w:rPr>
        <w:t>§</w:t>
      </w:r>
      <w:r>
        <w:rPr>
          <w:rFonts w:ascii="Arial" w:hAnsi="Arial"/>
          <w:spacing w:val="-284"/>
          <w:w w:val="272"/>
          <w:position w:val="-9"/>
          <w:sz w:val="40"/>
        </w:rPr>
        <w:t>¦</w:t>
      </w:r>
      <w:r>
        <w:rPr>
          <w:rFonts w:ascii="Arial" w:hAnsi="Arial"/>
          <w:color w:val="0000FF"/>
          <w:spacing w:val="-242"/>
          <w:w w:val="21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pStyle w:val="BodyText"/>
        <w:rPr>
          <w:rFonts w:ascii="Arial"/>
          <w:b/>
          <w:sz w:val="30"/>
        </w:rPr>
      </w:pPr>
      <w:r>
        <w:rPr/>
        <w:br w:type="column"/>
      </w:r>
      <w:r>
        <w:rPr>
          <w:rFonts w:ascii="Arial"/>
          <w:b/>
          <w:sz w:val="30"/>
        </w:rPr>
      </w:r>
    </w:p>
    <w:p>
      <w:pPr>
        <w:pStyle w:val="BodyText"/>
        <w:spacing w:before="11"/>
        <w:rPr>
          <w:rFonts w:ascii="Arial"/>
          <w:b/>
          <w:sz w:val="30"/>
        </w:rPr>
      </w:pPr>
    </w:p>
    <w:p>
      <w:pPr>
        <w:pStyle w:val="Heading8"/>
        <w:jc w:val="right"/>
      </w:pPr>
      <w:r>
        <w:rPr/>
        <w:pict>
          <v:shape style="position:absolute;margin-left:340.231781pt;margin-top:-7.991748pt;width:36.450pt;height:6.65pt;mso-position-horizontal-relative:page;mso-position-vertical-relative:paragraph;z-index:-268217344;rotation:334" type="#_x0000_t136" fillcolor="#4d4d4d" stroked="f">
            <o:extrusion v:ext="view" autorotationcenter="t"/>
            <v:textpath style="font-family:&quot;Century Gothic&quot;;font-size:6pt;v-text-kern:t;mso-text-shadow:auto;font-weight:bold" string="Duportail St"/>
            <w10:wrap type="none"/>
          </v:shape>
        </w:pict>
      </w:r>
      <w:r>
        <w:rPr>
          <w:color w:val="CC2D31"/>
          <w:spacing w:val="-232"/>
          <w:w w:val="268"/>
        </w:rPr>
        <w:t>í</w:t>
      </w:r>
      <w:r>
        <w:rPr>
          <w:color w:val="FFFF00"/>
          <w:spacing w:val="-232"/>
          <w:w w:val="268"/>
        </w:rPr>
        <w:t>ì</w:t>
      </w:r>
      <w:r>
        <w:rPr>
          <w:color w:val="4CE500"/>
          <w:spacing w:val="-232"/>
          <w:w w:val="134"/>
        </w:rPr>
        <w:t>ë</w:t>
      </w:r>
      <w:r>
        <w:rPr>
          <w:spacing w:val="-232"/>
          <w:w w:val="134"/>
        </w:rPr>
        <w:t>è</w:t>
      </w:r>
      <w:r>
        <w:rPr>
          <w:color w:val="FFFFFF"/>
          <w:w w:val="134"/>
        </w:rPr>
        <w:t>é</w:t>
      </w:r>
    </w:p>
    <w:p>
      <w:pPr>
        <w:pStyle w:val="BodyText"/>
        <w:spacing w:before="8"/>
        <w:rPr>
          <w:rFonts w:ascii="Arial"/>
          <w:sz w:val="39"/>
        </w:rPr>
      </w:pPr>
      <w:r>
        <w:rPr/>
        <w:br w:type="column"/>
      </w:r>
      <w:r>
        <w:rPr>
          <w:rFonts w:ascii="Arial"/>
          <w:sz w:val="39"/>
        </w:rPr>
      </w:r>
    </w:p>
    <w:p>
      <w:pPr>
        <w:spacing w:before="1"/>
        <w:ind w:left="74" w:right="0" w:firstLine="0"/>
        <w:jc w:val="left"/>
        <w:rPr>
          <w:rFonts w:ascii="Arial"/>
          <w:sz w:val="31"/>
        </w:rPr>
      </w:pPr>
      <w:r>
        <w:rPr/>
        <w:pict>
          <v:shape style="position:absolute;margin-left:319.687775pt;margin-top:-9.981589pt;width:39.050pt;height:6.65pt;mso-position-horizontal-relative:page;mso-position-vertical-relative:paragraph;z-index:251789312;rotation:13" type="#_x0000_t136" fillcolor="#4d4d4d" stroked="f">
            <o:extrusion v:ext="view" autorotationcenter="t"/>
            <v:textpath style="font-family:&quot;Century Gothic&quot;;font-size:6pt;v-text-kern:t;mso-text-shadow:auto;font-weight:bold" string="Kennedy Rd"/>
            <w10:wrap type="none"/>
          </v:shape>
        </w:pict>
      </w:r>
      <w:r>
        <w:rPr>
          <w:rFonts w:ascii="Arial"/>
          <w:color w:val="CC2D31"/>
          <w:spacing w:val="-249"/>
          <w:w w:val="225"/>
          <w:sz w:val="31"/>
        </w:rPr>
        <w:t>"</w:t>
      </w:r>
      <w:r>
        <w:rPr>
          <w:rFonts w:ascii="Arial"/>
          <w:color w:val="FFFFFF"/>
          <w:spacing w:val="-249"/>
          <w:w w:val="287"/>
          <w:sz w:val="31"/>
        </w:rPr>
        <w:t>!</w:t>
      </w:r>
      <w:r>
        <w:rPr>
          <w:rFonts w:ascii="Arial"/>
          <w:color w:val="FFFFFF"/>
          <w:w w:val="143"/>
          <w:sz w:val="31"/>
        </w:rPr>
        <w:t>$</w:t>
      </w:r>
    </w:p>
    <w:p>
      <w:pPr>
        <w:spacing w:before="169"/>
        <w:ind w:left="202" w:right="0" w:firstLine="0"/>
        <w:jc w:val="left"/>
        <w:rPr>
          <w:rFonts w:ascii="Arial" w:hAnsi="Arial"/>
          <w:sz w:val="31"/>
        </w:rPr>
      </w:pPr>
      <w:r>
        <w:rPr/>
        <w:br w:type="column"/>
      </w:r>
      <w:r>
        <w:rPr>
          <w:rFonts w:ascii="Arial" w:hAnsi="Arial"/>
          <w:color w:val="FFFF00"/>
          <w:spacing w:val="-232"/>
          <w:w w:val="268"/>
          <w:sz w:val="31"/>
        </w:rPr>
        <w:t>ì</w:t>
      </w:r>
      <w:r>
        <w:rPr>
          <w:rFonts w:ascii="Arial" w:hAnsi="Arial"/>
          <w:color w:val="4CE500"/>
          <w:spacing w:val="-232"/>
          <w:w w:val="134"/>
          <w:sz w:val="31"/>
        </w:rPr>
        <w:t>ë</w:t>
      </w:r>
      <w:r>
        <w:rPr>
          <w:rFonts w:ascii="Arial" w:hAnsi="Arial"/>
          <w:color w:val="FFFFFF"/>
          <w:spacing w:val="-232"/>
          <w:w w:val="134"/>
          <w:sz w:val="31"/>
        </w:rPr>
        <w:t>é</w:t>
      </w:r>
      <w:r>
        <w:rPr>
          <w:rFonts w:ascii="Arial" w:hAnsi="Arial"/>
          <w:color w:val="CC2D31"/>
          <w:spacing w:val="-232"/>
          <w:w w:val="268"/>
          <w:sz w:val="31"/>
        </w:rPr>
        <w:t>í</w:t>
      </w:r>
      <w:r>
        <w:rPr>
          <w:rFonts w:ascii="Arial" w:hAnsi="Arial"/>
          <w:w w:val="134"/>
          <w:sz w:val="31"/>
        </w:rPr>
        <w:t>è</w:t>
      </w:r>
    </w:p>
    <w:p>
      <w:pPr>
        <w:spacing w:before="20"/>
        <w:ind w:left="0" w:right="0" w:firstLine="0"/>
        <w:jc w:val="right"/>
        <w:rPr>
          <w:rFonts w:ascii="Arial" w:hAnsi="Arial"/>
          <w:sz w:val="31"/>
        </w:rPr>
      </w:pPr>
      <w:r>
        <w:rPr/>
        <w:br w:type="column"/>
      </w:r>
      <w:r>
        <w:rPr>
          <w:rFonts w:ascii="Arial" w:hAnsi="Arial"/>
          <w:w w:val="130"/>
          <w:sz w:val="31"/>
        </w:rPr>
        <w:t>è</w:t>
      </w:r>
    </w:p>
    <w:p>
      <w:pPr>
        <w:pStyle w:val="BodyText"/>
        <w:spacing w:before="7"/>
        <w:rPr>
          <w:rFonts w:ascii="Arial"/>
          <w:sz w:val="29"/>
        </w:rPr>
      </w:pPr>
    </w:p>
    <w:p>
      <w:pPr>
        <w:pStyle w:val="Heading8"/>
        <w:spacing w:line="249" w:lineRule="auto"/>
        <w:ind w:left="116" w:right="997" w:firstLine="16"/>
      </w:pPr>
      <w:r>
        <w:rPr>
          <w:color w:val="4CE500"/>
          <w:spacing w:val="-232"/>
          <w:w w:val="134"/>
        </w:rPr>
        <w:t>ë</w:t>
      </w:r>
      <w:r>
        <w:rPr>
          <w:color w:val="FFFFFF"/>
          <w:spacing w:val="-232"/>
          <w:w w:val="134"/>
        </w:rPr>
        <w:t>é</w:t>
      </w:r>
      <w:r>
        <w:rPr>
          <w:spacing w:val="-232"/>
          <w:w w:val="134"/>
        </w:rPr>
        <w:t>è</w:t>
      </w:r>
      <w:r>
        <w:rPr>
          <w:color w:val="CC2D31"/>
          <w:spacing w:val="-232"/>
          <w:w w:val="268"/>
        </w:rPr>
        <w:t>í</w:t>
      </w:r>
      <w:r>
        <w:rPr>
          <w:color w:val="FFFF00"/>
          <w:spacing w:val="-168"/>
          <w:w w:val="268"/>
        </w:rPr>
        <w:t>ì</w:t>
      </w:r>
      <w:r>
        <w:rPr>
          <w:color w:val="FFFFFF"/>
          <w:spacing w:val="-249"/>
          <w:w w:val="143"/>
          <w:position w:val="-15"/>
        </w:rPr>
        <w:t>$</w:t>
      </w:r>
      <w:r>
        <w:rPr>
          <w:color w:val="CC2D31"/>
          <w:spacing w:val="-249"/>
          <w:w w:val="225"/>
          <w:position w:val="-15"/>
        </w:rPr>
        <w:t>"</w:t>
      </w:r>
      <w:r>
        <w:rPr>
          <w:color w:val="FFFFFF"/>
          <w:w w:val="287"/>
          <w:position w:val="-15"/>
        </w:rPr>
        <w:t>! </w:t>
      </w:r>
      <w:r>
        <w:rPr>
          <w:color w:val="FFFF00"/>
          <w:spacing w:val="-232"/>
          <w:w w:val="268"/>
        </w:rPr>
        <w:t>ì</w:t>
      </w:r>
      <w:r>
        <w:rPr>
          <w:color w:val="CC2D31"/>
          <w:spacing w:val="-232"/>
          <w:w w:val="268"/>
        </w:rPr>
        <w:t>í</w:t>
      </w:r>
      <w:r>
        <w:rPr>
          <w:color w:val="FFFFFF"/>
          <w:spacing w:val="-232"/>
          <w:w w:val="134"/>
        </w:rPr>
        <w:t>é</w:t>
      </w:r>
      <w:r>
        <w:rPr>
          <w:spacing w:val="-232"/>
          <w:w w:val="134"/>
        </w:rPr>
        <w:t>è</w:t>
      </w:r>
      <w:r>
        <w:rPr>
          <w:color w:val="4CE500"/>
          <w:w w:val="134"/>
        </w:rPr>
        <w:t>ë</w:t>
      </w:r>
    </w:p>
    <w:p>
      <w:pPr>
        <w:spacing w:before="172"/>
        <w:ind w:left="94" w:right="0" w:firstLine="0"/>
        <w:jc w:val="left"/>
        <w:rPr>
          <w:rFonts w:ascii="Arial" w:hAnsi="Arial"/>
          <w:sz w:val="31"/>
        </w:rPr>
      </w:pPr>
      <w:r>
        <w:rPr/>
        <w:pict>
          <v:shape style="position:absolute;margin-left:446.434021pt;margin-top:19.843143pt;width:31.05pt;height:6.65pt;mso-position-horizontal-relative:page;mso-position-vertical-relative:paragraph;z-index:-268243968;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438.859766pt;margin-top:28.626416pt;width:22.2pt;height:6.65pt;mso-position-horizontal-relative:page;mso-position-vertical-relative:paragraph;z-index:-268242944;rotation:48" type="#_x0000_t136" fillcolor="#4d4d4d" stroked="f">
            <o:extrusion v:ext="view" autorotationcenter="t"/>
            <v:textpath style="font-family:&quot;Century Gothic&quot;;font-size:6pt;v-text-kern:t;mso-text-shadow:auto;font-weight:bold" string="Fuji Wy"/>
            <w10:wrap type="none"/>
          </v:shape>
        </w:pict>
      </w:r>
      <w:r>
        <w:rPr>
          <w:rFonts w:ascii="Century Gothic" w:hAnsi="Century Gothic"/>
          <w:b/>
          <w:color w:val="4D4D4D"/>
          <w:spacing w:val="-5"/>
          <w:w w:val="102"/>
          <w:sz w:val="13"/>
        </w:rPr>
        <w:t>S</w:t>
      </w:r>
      <w:r>
        <w:rPr>
          <w:rFonts w:ascii="Century Gothic" w:hAnsi="Century Gothic"/>
          <w:b/>
          <w:color w:val="4D4D4D"/>
          <w:spacing w:val="1"/>
          <w:w w:val="102"/>
          <w:sz w:val="13"/>
        </w:rPr>
        <w:t>h</w:t>
      </w:r>
      <w:r>
        <w:rPr>
          <w:rFonts w:ascii="Century Gothic" w:hAnsi="Century Gothic"/>
          <w:b/>
          <w:color w:val="4D4D4D"/>
          <w:spacing w:val="-4"/>
          <w:w w:val="102"/>
          <w:sz w:val="13"/>
        </w:rPr>
        <w:t>oc</w:t>
      </w:r>
      <w:r>
        <w:rPr>
          <w:rFonts w:ascii="Century Gothic" w:hAnsi="Century Gothic"/>
          <w:b/>
          <w:color w:val="4D4D4D"/>
          <w:spacing w:val="-2"/>
          <w:w w:val="102"/>
          <w:sz w:val="13"/>
        </w:rPr>
        <w:t>k</w:t>
      </w:r>
      <w:r>
        <w:rPr>
          <w:rFonts w:ascii="Century Gothic" w:hAnsi="Century Gothic"/>
          <w:b/>
          <w:color w:val="4D4D4D"/>
          <w:spacing w:val="-1"/>
          <w:w w:val="102"/>
          <w:sz w:val="13"/>
        </w:rPr>
        <w:t>l</w:t>
      </w:r>
      <w:r>
        <w:rPr>
          <w:rFonts w:ascii="Century Gothic" w:hAnsi="Century Gothic"/>
          <w:b/>
          <w:color w:val="4D4D4D"/>
          <w:spacing w:val="1"/>
          <w:w w:val="102"/>
          <w:position w:val="1"/>
          <w:sz w:val="13"/>
        </w:rPr>
        <w:t>e</w:t>
      </w:r>
      <w:r>
        <w:rPr>
          <w:rFonts w:ascii="Century Gothic" w:hAnsi="Century Gothic"/>
          <w:b/>
          <w:color w:val="4D4D4D"/>
          <w:w w:val="102"/>
          <w:position w:val="1"/>
          <w:sz w:val="13"/>
        </w:rPr>
        <w:t>y</w:t>
      </w:r>
      <w:r>
        <w:rPr>
          <w:rFonts w:ascii="Century Gothic" w:hAnsi="Century Gothic"/>
          <w:b/>
          <w:color w:val="4D4D4D"/>
          <w:spacing w:val="-5"/>
          <w:position w:val="1"/>
          <w:sz w:val="13"/>
        </w:rPr>
        <w:t> </w:t>
      </w:r>
      <w:r>
        <w:rPr>
          <w:rFonts w:ascii="Century Gothic" w:hAnsi="Century Gothic"/>
          <w:b/>
          <w:color w:val="4D4D4D"/>
          <w:spacing w:val="-4"/>
          <w:w w:val="102"/>
          <w:position w:val="1"/>
          <w:sz w:val="13"/>
        </w:rPr>
        <w:t>R</w:t>
      </w:r>
      <w:r>
        <w:rPr>
          <w:rFonts w:ascii="Century Gothic" w:hAnsi="Century Gothic"/>
          <w:b/>
          <w:color w:val="4D4D4D"/>
          <w:spacing w:val="-78"/>
          <w:w w:val="102"/>
          <w:position w:val="1"/>
          <w:sz w:val="13"/>
        </w:rPr>
        <w:t>d</w:t>
      </w:r>
      <w:r>
        <w:rPr>
          <w:rFonts w:ascii="Arial" w:hAnsi="Arial"/>
          <w:color w:val="4CE500"/>
          <w:spacing w:val="-232"/>
          <w:w w:val="134"/>
          <w:position w:val="-6"/>
          <w:sz w:val="31"/>
        </w:rPr>
        <w:t>ë</w:t>
      </w:r>
      <w:r>
        <w:rPr>
          <w:rFonts w:ascii="Arial" w:hAnsi="Arial"/>
          <w:color w:val="CC2D31"/>
          <w:spacing w:val="-232"/>
          <w:w w:val="268"/>
          <w:position w:val="-6"/>
          <w:sz w:val="31"/>
        </w:rPr>
        <w:t>í</w:t>
      </w:r>
      <w:r>
        <w:rPr>
          <w:rFonts w:ascii="Arial" w:hAnsi="Arial"/>
          <w:color w:val="FFFF00"/>
          <w:spacing w:val="-232"/>
          <w:w w:val="268"/>
          <w:position w:val="-6"/>
          <w:sz w:val="31"/>
        </w:rPr>
        <w:t>ì</w:t>
      </w:r>
      <w:r>
        <w:rPr>
          <w:rFonts w:ascii="Arial" w:hAnsi="Arial"/>
          <w:spacing w:val="-232"/>
          <w:w w:val="134"/>
          <w:position w:val="-6"/>
          <w:sz w:val="31"/>
        </w:rPr>
        <w:t>è</w:t>
      </w:r>
      <w:r>
        <w:rPr>
          <w:rFonts w:ascii="Arial" w:hAnsi="Arial"/>
          <w:color w:val="FFFFFF"/>
          <w:w w:val="134"/>
          <w:position w:val="-6"/>
          <w:sz w:val="31"/>
        </w:rPr>
        <w:t>é</w:t>
      </w:r>
    </w:p>
    <w:p>
      <w:pPr>
        <w:pStyle w:val="BodyText"/>
        <w:rPr>
          <w:rFonts w:ascii="Arial"/>
          <w:sz w:val="30"/>
        </w:rPr>
      </w:pPr>
      <w:r>
        <w:rPr/>
        <w:br w:type="column"/>
      </w:r>
      <w:r>
        <w:rPr>
          <w:rFonts w:ascii="Arial"/>
          <w:sz w:val="30"/>
        </w:rPr>
      </w:r>
    </w:p>
    <w:p>
      <w:pPr>
        <w:pStyle w:val="BodyText"/>
        <w:rPr>
          <w:rFonts w:ascii="Arial"/>
          <w:sz w:val="30"/>
        </w:rPr>
      </w:pPr>
    </w:p>
    <w:p>
      <w:pPr>
        <w:pStyle w:val="BodyText"/>
        <w:rPr>
          <w:rFonts w:ascii="Arial"/>
          <w:sz w:val="30"/>
        </w:rPr>
      </w:pPr>
    </w:p>
    <w:p>
      <w:pPr>
        <w:pStyle w:val="BodyText"/>
        <w:rPr>
          <w:rFonts w:ascii="Arial"/>
          <w:sz w:val="30"/>
        </w:rPr>
      </w:pPr>
    </w:p>
    <w:p>
      <w:pPr>
        <w:pStyle w:val="BodyText"/>
        <w:spacing w:before="1"/>
        <w:rPr>
          <w:rFonts w:ascii="Arial"/>
          <w:sz w:val="41"/>
        </w:rPr>
      </w:pPr>
    </w:p>
    <w:p>
      <w:pPr>
        <w:pStyle w:val="Heading8"/>
        <w:jc w:val="right"/>
      </w:pPr>
      <w:r>
        <w:rPr/>
        <w:pict>
          <v:shape style="position:absolute;margin-left:560.044678pt;margin-top:5.829714pt;width:56.3pt;height:6.65pt;mso-position-horizontal-relative:page;mso-position-vertical-relative:paragraph;z-index:-268247040;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482.537903pt;margin-top:17.82534pt;width:44.65pt;height:6.65pt;mso-position-horizontal-relative:page;mso-position-vertical-relative:paragraph;z-index:251822080;rotation:358" type="#_x0000_t136" fillcolor="#4d4d4d" stroked="f">
            <o:extrusion v:ext="view" autorotationcenter="t"/>
            <v:textpath style="font-family:&quot;Century Gothic&quot;;font-size:6pt;v-text-kern:t;mso-text-shadow:auto;font-weight:bold" string="Englewood Dr"/>
            <w10:wrap type="none"/>
          </v:shape>
        </w:pict>
      </w:r>
      <w:r>
        <w:rPr>
          <w:color w:val="CC2D31"/>
          <w:spacing w:val="-249"/>
          <w:w w:val="225"/>
        </w:rPr>
        <w:t>"</w:t>
      </w:r>
      <w:r>
        <w:rPr>
          <w:color w:val="FFFFFF"/>
          <w:spacing w:val="-249"/>
          <w:w w:val="287"/>
        </w:rPr>
        <w:t>!</w:t>
      </w:r>
      <w:r>
        <w:rPr>
          <w:color w:val="FFFFFF"/>
          <w:w w:val="143"/>
        </w:rPr>
        <w:t>$</w:t>
      </w:r>
    </w:p>
    <w:p>
      <w:pPr>
        <w:pStyle w:val="BodyText"/>
        <w:rPr>
          <w:rFonts w:ascii="Arial"/>
          <w:sz w:val="36"/>
        </w:rPr>
      </w:pPr>
      <w:r>
        <w:rPr/>
        <w:br w:type="column"/>
      </w:r>
      <w:r>
        <w:rPr>
          <w:rFonts w:ascii="Arial"/>
          <w:sz w:val="36"/>
        </w:rPr>
      </w:r>
    </w:p>
    <w:p>
      <w:pPr>
        <w:pStyle w:val="BodyText"/>
        <w:rPr>
          <w:rFonts w:ascii="Arial"/>
          <w:sz w:val="36"/>
        </w:rPr>
      </w:pPr>
    </w:p>
    <w:p>
      <w:pPr>
        <w:pStyle w:val="BodyText"/>
        <w:spacing w:before="3"/>
        <w:rPr>
          <w:rFonts w:ascii="Arial"/>
          <w:sz w:val="33"/>
        </w:rPr>
      </w:pPr>
    </w:p>
    <w:p>
      <w:pPr>
        <w:spacing w:before="0"/>
        <w:ind w:left="193" w:right="0" w:firstLine="0"/>
        <w:jc w:val="left"/>
        <w:rPr>
          <w:rFonts w:ascii="Arial"/>
          <w:b/>
          <w:sz w:val="13"/>
        </w:rPr>
      </w:pPr>
      <w:r>
        <w:rPr>
          <w:rFonts w:ascii="Arial Black"/>
          <w:spacing w:val="-271"/>
          <w:w w:val="108"/>
          <w:position w:val="-2"/>
          <w:sz w:val="32"/>
        </w:rPr>
        <w:t>V</w:t>
      </w:r>
      <w:r>
        <w:rPr>
          <w:rFonts w:ascii="Arial Black"/>
          <w:color w:val="FFFFFF"/>
          <w:spacing w:val="-252"/>
          <w:w w:val="101"/>
          <w:position w:val="-2"/>
          <w:sz w:val="32"/>
        </w:rPr>
        <w:t>U</w:t>
      </w:r>
      <w:r>
        <w:rPr>
          <w:rFonts w:ascii="Arial"/>
          <w:b/>
          <w:spacing w:val="-2"/>
          <w:w w:val="102"/>
          <w:sz w:val="13"/>
        </w:rPr>
        <w:t>2</w:t>
      </w:r>
      <w:r>
        <w:rPr>
          <w:rFonts w:ascii="Arial"/>
          <w:b/>
          <w:spacing w:val="3"/>
          <w:w w:val="102"/>
          <w:sz w:val="13"/>
        </w:rPr>
        <w:t>4</w:t>
      </w:r>
      <w:r>
        <w:rPr>
          <w:rFonts w:ascii="Arial"/>
          <w:b/>
          <w:w w:val="102"/>
          <w:sz w:val="13"/>
        </w:rPr>
        <w:t>0</w:t>
      </w:r>
    </w:p>
    <w:p>
      <w:pPr>
        <w:pStyle w:val="BodyText"/>
        <w:rPr>
          <w:rFonts w:ascii="Arial"/>
          <w:b/>
          <w:sz w:val="36"/>
        </w:rPr>
      </w:pPr>
      <w:r>
        <w:rPr/>
        <w:br w:type="column"/>
      </w:r>
      <w:r>
        <w:rPr>
          <w:rFonts w:ascii="Arial"/>
          <w:b/>
          <w:sz w:val="36"/>
        </w:rPr>
      </w:r>
    </w:p>
    <w:p>
      <w:pPr>
        <w:pStyle w:val="BodyText"/>
        <w:rPr>
          <w:rFonts w:ascii="Arial"/>
          <w:b/>
          <w:sz w:val="36"/>
        </w:rPr>
      </w:pPr>
    </w:p>
    <w:p>
      <w:pPr>
        <w:pStyle w:val="BodyText"/>
        <w:rPr>
          <w:rFonts w:ascii="Arial"/>
          <w:b/>
          <w:sz w:val="36"/>
        </w:rPr>
      </w:pPr>
    </w:p>
    <w:p>
      <w:pPr>
        <w:pStyle w:val="BodyText"/>
        <w:rPr>
          <w:rFonts w:ascii="Arial"/>
          <w:b/>
          <w:sz w:val="36"/>
        </w:rPr>
      </w:pPr>
    </w:p>
    <w:p>
      <w:pPr>
        <w:pStyle w:val="BodyText"/>
        <w:spacing w:before="10"/>
        <w:rPr>
          <w:rFonts w:ascii="Arial"/>
          <w:b/>
          <w:sz w:val="34"/>
        </w:rPr>
      </w:pPr>
    </w:p>
    <w:p>
      <w:pPr>
        <w:spacing w:line="330" w:lineRule="exact" w:before="1"/>
        <w:ind w:left="179" w:right="0" w:firstLine="0"/>
        <w:jc w:val="left"/>
        <w:rPr>
          <w:rFonts w:ascii="Arial"/>
          <w:sz w:val="16"/>
        </w:rPr>
      </w:pPr>
      <w:r>
        <w:rPr>
          <w:rFonts w:ascii="Arial Black"/>
          <w:spacing w:val="-244"/>
          <w:w w:val="104"/>
          <w:sz w:val="36"/>
        </w:rPr>
        <w:t>2</w:t>
      </w:r>
      <w:r>
        <w:rPr>
          <w:rFonts w:ascii="Arial"/>
          <w:color w:val="FFAA00"/>
          <w:spacing w:val="-177"/>
          <w:w w:val="254"/>
          <w:position w:val="1"/>
          <w:sz w:val="34"/>
        </w:rPr>
        <w:t>!</w:t>
      </w:r>
      <w:r>
        <w:rPr>
          <w:rFonts w:ascii="Arial"/>
          <w:color w:val="FFFFFF"/>
          <w:w w:val="252"/>
          <w:position w:val="7"/>
          <w:sz w:val="16"/>
        </w:rPr>
        <w:t>!</w:t>
      </w:r>
    </w:p>
    <w:p>
      <w:pPr>
        <w:pStyle w:val="BodyText"/>
        <w:rPr>
          <w:rFonts w:ascii="Arial"/>
          <w:sz w:val="30"/>
        </w:rPr>
      </w:pPr>
      <w:r>
        <w:rPr/>
        <w:br w:type="column"/>
      </w:r>
      <w:r>
        <w:rPr>
          <w:rFonts w:ascii="Arial"/>
          <w:sz w:val="30"/>
        </w:rPr>
      </w:r>
    </w:p>
    <w:p>
      <w:pPr>
        <w:pStyle w:val="BodyText"/>
        <w:rPr>
          <w:rFonts w:ascii="Arial"/>
          <w:sz w:val="30"/>
        </w:rPr>
      </w:pPr>
    </w:p>
    <w:p>
      <w:pPr>
        <w:pStyle w:val="BodyText"/>
        <w:rPr>
          <w:rFonts w:ascii="Arial"/>
          <w:sz w:val="30"/>
        </w:rPr>
      </w:pPr>
    </w:p>
    <w:p>
      <w:pPr>
        <w:pStyle w:val="BodyText"/>
        <w:rPr>
          <w:rFonts w:ascii="Arial"/>
          <w:sz w:val="30"/>
        </w:rPr>
      </w:pPr>
    </w:p>
    <w:p>
      <w:pPr>
        <w:pStyle w:val="BodyText"/>
        <w:rPr>
          <w:rFonts w:ascii="Arial"/>
          <w:sz w:val="30"/>
        </w:rPr>
      </w:pPr>
    </w:p>
    <w:p>
      <w:pPr>
        <w:pStyle w:val="BodyText"/>
        <w:spacing w:before="5"/>
        <w:rPr>
          <w:rFonts w:ascii="Arial"/>
          <w:sz w:val="42"/>
        </w:rPr>
      </w:pPr>
    </w:p>
    <w:p>
      <w:pPr>
        <w:pStyle w:val="Heading8"/>
        <w:spacing w:line="174" w:lineRule="exact"/>
        <w:ind w:left="315"/>
      </w:pPr>
      <w:r>
        <w:rPr/>
        <w:pict>
          <v:shape style="position:absolute;margin-left:615.745056pt;margin-top:21.394676pt;width:10.8pt;height:34.050pt;mso-position-horizontal-relative:page;mso-position-vertical-relative:paragraph;z-index:-268227584"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Step</w:t>
                  </w:r>
                  <w:r>
                    <w:rPr>
                      <w:rFonts w:ascii="Century Gothic"/>
                      <w:b/>
                      <w:color w:val="4D4D4D"/>
                      <w:position w:val="1"/>
                      <w:sz w:val="13"/>
                    </w:rPr>
                    <w:t>toe St</w:t>
                  </w:r>
                </w:p>
              </w:txbxContent>
            </v:textbox>
            <w10:wrap type="none"/>
          </v:shape>
        </w:pict>
      </w:r>
      <w:r>
        <w:rPr>
          <w:color w:val="FFFFFF"/>
          <w:spacing w:val="-249"/>
          <w:w w:val="287"/>
        </w:rPr>
        <w:t>!</w:t>
      </w:r>
      <w:r>
        <w:rPr>
          <w:color w:val="CC2D31"/>
          <w:spacing w:val="-249"/>
          <w:w w:val="225"/>
        </w:rPr>
        <w:t>"</w:t>
      </w:r>
      <w:r>
        <w:rPr>
          <w:color w:val="FFFFFF"/>
          <w:w w:val="143"/>
        </w:rPr>
        <w:t>$</w:t>
      </w:r>
    </w:p>
    <w:p>
      <w:pPr>
        <w:pStyle w:val="BodyText"/>
        <w:rPr>
          <w:rFonts w:ascii="Arial"/>
          <w:sz w:val="30"/>
        </w:rPr>
      </w:pPr>
      <w:r>
        <w:rPr/>
        <w:br w:type="column"/>
      </w:r>
      <w:r>
        <w:rPr>
          <w:rFonts w:ascii="Arial"/>
          <w:sz w:val="30"/>
        </w:rPr>
      </w:r>
    </w:p>
    <w:p>
      <w:pPr>
        <w:pStyle w:val="BodyText"/>
        <w:rPr>
          <w:rFonts w:ascii="Arial"/>
          <w:sz w:val="30"/>
        </w:rPr>
      </w:pPr>
    </w:p>
    <w:p>
      <w:pPr>
        <w:pStyle w:val="BodyText"/>
        <w:rPr>
          <w:rFonts w:ascii="Arial"/>
          <w:sz w:val="30"/>
        </w:rPr>
      </w:pPr>
    </w:p>
    <w:p>
      <w:pPr>
        <w:pStyle w:val="BodyText"/>
        <w:rPr>
          <w:rFonts w:ascii="Arial"/>
          <w:sz w:val="30"/>
        </w:rPr>
      </w:pPr>
    </w:p>
    <w:p>
      <w:pPr>
        <w:pStyle w:val="BodyText"/>
        <w:rPr>
          <w:rFonts w:ascii="Arial"/>
          <w:sz w:val="30"/>
        </w:rPr>
      </w:pPr>
    </w:p>
    <w:p>
      <w:pPr>
        <w:pStyle w:val="BodyText"/>
        <w:spacing w:before="10"/>
        <w:rPr>
          <w:rFonts w:ascii="Arial"/>
          <w:sz w:val="43"/>
        </w:rPr>
      </w:pPr>
    </w:p>
    <w:p>
      <w:pPr>
        <w:spacing w:line="158" w:lineRule="exact" w:before="0"/>
        <w:ind w:left="797" w:right="0" w:firstLine="0"/>
        <w:jc w:val="left"/>
        <w:rPr>
          <w:rFonts w:ascii="Arial"/>
          <w:sz w:val="31"/>
        </w:rPr>
      </w:pPr>
      <w:r>
        <w:rPr>
          <w:rFonts w:ascii="Arial"/>
          <w:color w:val="FFFFFF"/>
          <w:spacing w:val="-249"/>
          <w:w w:val="287"/>
          <w:sz w:val="31"/>
        </w:rPr>
        <w:t>!</w:t>
      </w:r>
      <w:r>
        <w:rPr>
          <w:rFonts w:ascii="Arial"/>
          <w:color w:val="CC2D31"/>
          <w:spacing w:val="-249"/>
          <w:w w:val="225"/>
          <w:sz w:val="31"/>
        </w:rPr>
        <w:t>"</w:t>
      </w:r>
      <w:r>
        <w:rPr>
          <w:rFonts w:ascii="Arial"/>
          <w:color w:val="FFFFFF"/>
          <w:w w:val="143"/>
          <w:sz w:val="31"/>
        </w:rPr>
        <w:t>$</w:t>
      </w:r>
    </w:p>
    <w:p>
      <w:pPr>
        <w:spacing w:after="0" w:line="158" w:lineRule="exact"/>
        <w:jc w:val="left"/>
        <w:rPr>
          <w:rFonts w:ascii="Arial"/>
          <w:sz w:val="31"/>
        </w:rPr>
        <w:sectPr>
          <w:type w:val="continuous"/>
          <w:pgSz w:w="15840" w:h="24480"/>
          <w:pgMar w:top="1480" w:bottom="1320" w:left="0" w:right="0"/>
          <w:cols w:num="10" w:equalWidth="0">
            <w:col w:w="5870" w:space="40"/>
            <w:col w:w="1146" w:space="39"/>
            <w:col w:w="323" w:space="40"/>
            <w:col w:w="434" w:space="40"/>
            <w:col w:w="1461" w:space="39"/>
            <w:col w:w="2129" w:space="40"/>
            <w:col w:w="437" w:space="40"/>
            <w:col w:w="365" w:space="39"/>
            <w:col w:w="564" w:space="39"/>
            <w:col w:w="2755"/>
          </w:cols>
        </w:sectPr>
      </w:pPr>
    </w:p>
    <w:p>
      <w:pPr>
        <w:spacing w:before="48"/>
        <w:ind w:left="0" w:right="0" w:firstLine="0"/>
        <w:jc w:val="right"/>
        <w:rPr>
          <w:rFonts w:ascii="Century Gothic"/>
          <w:b/>
          <w:sz w:val="13"/>
        </w:rPr>
      </w:pPr>
      <w:r>
        <w:rPr/>
        <w:pict>
          <v:shape style="position:absolute;margin-left:448.014178pt;margin-top:23.966441pt;width:27.75pt;height:6.65pt;mso-position-horizontal-relative:page;mso-position-vertical-relative:paragraph;z-index:-268224512;rotation:272" type="#_x0000_t136" fillcolor="#4d4d4d" stroked="f">
            <o:extrusion v:ext="view" autorotationcenter="t"/>
            <v:textpath style="font-family:&quot;Century Gothic&quot;;font-size:6pt;v-text-kern:t;mso-text-shadow:auto;font-weight:bold" string="Gala Wy"/>
            <w10:wrap type="none"/>
          </v:shape>
        </w:pict>
      </w:r>
      <w:r>
        <w:rPr>
          <w:rFonts w:ascii="Century Gothic"/>
          <w:b/>
          <w:color w:val="4D4D4D"/>
          <w:spacing w:val="-4"/>
          <w:w w:val="102"/>
          <w:sz w:val="13"/>
        </w:rPr>
        <w:t>W</w:t>
      </w:r>
      <w:r>
        <w:rPr>
          <w:rFonts w:ascii="Century Gothic"/>
          <w:b/>
          <w:color w:val="4D4D4D"/>
          <w:spacing w:val="2"/>
          <w:w w:val="102"/>
          <w:sz w:val="13"/>
        </w:rPr>
        <w:t>e</w:t>
      </w:r>
      <w:r>
        <w:rPr>
          <w:rFonts w:ascii="Century Gothic"/>
          <w:b/>
          <w:color w:val="4D4D4D"/>
          <w:spacing w:val="-4"/>
          <w:w w:val="102"/>
          <w:sz w:val="13"/>
        </w:rPr>
        <w:t>s</w:t>
      </w:r>
      <w:r>
        <w:rPr>
          <w:rFonts w:ascii="Century Gothic"/>
          <w:b/>
          <w:color w:val="4D4D4D"/>
          <w:spacing w:val="3"/>
          <w:w w:val="102"/>
          <w:sz w:val="13"/>
        </w:rPr>
        <w:t>t</w:t>
      </w:r>
      <w:r>
        <w:rPr>
          <w:rFonts w:ascii="Century Gothic"/>
          <w:b/>
          <w:color w:val="4D4D4D"/>
          <w:spacing w:val="-3"/>
          <w:w w:val="102"/>
          <w:sz w:val="13"/>
        </w:rPr>
        <w:t>c</w:t>
      </w:r>
      <w:r>
        <w:rPr>
          <w:rFonts w:ascii="Century Gothic"/>
          <w:b/>
          <w:color w:val="4D4D4D"/>
          <w:w w:val="102"/>
          <w:sz w:val="13"/>
        </w:rPr>
        <w:t>li</w:t>
      </w:r>
      <w:r>
        <w:rPr>
          <w:rFonts w:ascii="Century Gothic"/>
          <w:b/>
          <w:color w:val="4D4D4D"/>
          <w:spacing w:val="-5"/>
          <w:w w:val="102"/>
          <w:sz w:val="13"/>
        </w:rPr>
        <w:t>f</w:t>
      </w:r>
      <w:r>
        <w:rPr>
          <w:rFonts w:ascii="Century Gothic"/>
          <w:b/>
          <w:color w:val="4D4D4D"/>
          <w:spacing w:val="1"/>
          <w:w w:val="102"/>
          <w:sz w:val="13"/>
        </w:rPr>
        <w:t>f</w:t>
      </w:r>
      <w:r>
        <w:rPr>
          <w:rFonts w:ascii="Century Gothic"/>
          <w:b/>
          <w:color w:val="4D4D4D"/>
          <w:w w:val="102"/>
          <w:sz w:val="13"/>
        </w:rPr>
        <w:t>e</w:t>
      </w:r>
      <w:r>
        <w:rPr>
          <w:rFonts w:ascii="Century Gothic"/>
          <w:b/>
          <w:color w:val="4D4D4D"/>
          <w:spacing w:val="-1"/>
          <w:sz w:val="13"/>
        </w:rPr>
        <w:t> </w:t>
      </w:r>
      <w:r>
        <w:rPr>
          <w:rFonts w:ascii="Century Gothic"/>
          <w:b/>
          <w:color w:val="4D4D4D"/>
          <w:spacing w:val="-24"/>
          <w:w w:val="102"/>
          <w:sz w:val="13"/>
        </w:rPr>
        <w:t>B</w:t>
      </w:r>
      <w:r>
        <w:rPr>
          <w:rFonts w:ascii="Arial"/>
          <w:color w:val="FFFFFF"/>
          <w:spacing w:val="-249"/>
          <w:w w:val="287"/>
          <w:position w:val="-11"/>
          <w:sz w:val="31"/>
        </w:rPr>
        <w:t>!</w:t>
      </w:r>
      <w:r>
        <w:rPr>
          <w:rFonts w:ascii="Arial"/>
          <w:color w:val="CC2D31"/>
          <w:spacing w:val="-249"/>
          <w:w w:val="225"/>
          <w:position w:val="-11"/>
          <w:sz w:val="31"/>
        </w:rPr>
        <w:t>"</w:t>
      </w:r>
      <w:r>
        <w:rPr>
          <w:rFonts w:ascii="Arial"/>
          <w:color w:val="FFFFFF"/>
          <w:spacing w:val="-224"/>
          <w:w w:val="143"/>
          <w:position w:val="-11"/>
          <w:sz w:val="31"/>
        </w:rPr>
        <w:t>$</w:t>
      </w:r>
      <w:r>
        <w:rPr>
          <w:rFonts w:ascii="Century Gothic"/>
          <w:b/>
          <w:color w:val="4D4D4D"/>
          <w:w w:val="102"/>
          <w:sz w:val="13"/>
        </w:rPr>
        <w:t>l</w:t>
      </w:r>
      <w:r>
        <w:rPr>
          <w:rFonts w:ascii="Century Gothic"/>
          <w:b/>
          <w:color w:val="4D4D4D"/>
          <w:spacing w:val="-4"/>
          <w:w w:val="102"/>
          <w:sz w:val="13"/>
        </w:rPr>
        <w:t>v</w:t>
      </w:r>
      <w:r>
        <w:rPr>
          <w:rFonts w:ascii="Century Gothic"/>
          <w:b/>
          <w:color w:val="4D4D4D"/>
          <w:w w:val="102"/>
          <w:sz w:val="13"/>
        </w:rPr>
        <w:t>d</w:t>
      </w:r>
    </w:p>
    <w:p>
      <w:pPr>
        <w:pStyle w:val="Heading8"/>
        <w:spacing w:line="213" w:lineRule="exact" w:before="163"/>
        <w:ind w:right="67"/>
        <w:jc w:val="right"/>
      </w:pPr>
      <w:r>
        <w:rPr>
          <w:color w:val="FFFFFF"/>
          <w:spacing w:val="-249"/>
          <w:w w:val="143"/>
        </w:rPr>
        <w:t>$</w:t>
      </w:r>
      <w:r>
        <w:rPr>
          <w:color w:val="CC2D31"/>
          <w:spacing w:val="-249"/>
          <w:w w:val="225"/>
        </w:rPr>
        <w:t>"</w:t>
      </w:r>
      <w:r>
        <w:rPr>
          <w:color w:val="FFFFFF"/>
          <w:w w:val="287"/>
        </w:rPr>
        <w:t>!</w:t>
      </w:r>
    </w:p>
    <w:p>
      <w:pPr>
        <w:spacing w:before="19"/>
        <w:ind w:left="176" w:right="0" w:firstLine="0"/>
        <w:jc w:val="left"/>
        <w:rPr>
          <w:rFonts w:ascii="Arial" w:hAnsi="Arial"/>
          <w:sz w:val="31"/>
        </w:rPr>
      </w:pPr>
      <w:r>
        <w:rPr/>
        <w:br w:type="column"/>
      </w:r>
      <w:r>
        <w:rPr>
          <w:rFonts w:ascii="Arial" w:hAnsi="Arial"/>
          <w:color w:val="CC2D31"/>
          <w:spacing w:val="-232"/>
          <w:w w:val="268"/>
          <w:sz w:val="31"/>
        </w:rPr>
        <w:t>í</w:t>
      </w:r>
      <w:r>
        <w:rPr>
          <w:rFonts w:ascii="Arial" w:hAnsi="Arial"/>
          <w:color w:val="FFFF00"/>
          <w:spacing w:val="-232"/>
          <w:w w:val="268"/>
          <w:sz w:val="31"/>
        </w:rPr>
        <w:t>ì</w:t>
      </w:r>
      <w:r>
        <w:rPr>
          <w:rFonts w:ascii="Arial" w:hAnsi="Arial"/>
          <w:color w:val="4CE500"/>
          <w:spacing w:val="-232"/>
          <w:w w:val="134"/>
          <w:sz w:val="31"/>
        </w:rPr>
        <w:t>ë</w:t>
      </w:r>
      <w:r>
        <w:rPr>
          <w:rFonts w:ascii="Arial" w:hAnsi="Arial"/>
          <w:color w:val="FFFFFF"/>
          <w:spacing w:val="-232"/>
          <w:w w:val="134"/>
          <w:sz w:val="31"/>
        </w:rPr>
        <w:t>é</w:t>
      </w:r>
      <w:r>
        <w:rPr>
          <w:rFonts w:ascii="Arial" w:hAnsi="Arial"/>
          <w:w w:val="134"/>
          <w:sz w:val="31"/>
        </w:rPr>
        <w:t>è</w:t>
      </w:r>
    </w:p>
    <w:p>
      <w:pPr>
        <w:pStyle w:val="BodyText"/>
        <w:spacing w:before="5"/>
        <w:rPr>
          <w:rFonts w:ascii="Arial"/>
          <w:sz w:val="33"/>
        </w:rPr>
      </w:pPr>
      <w:r>
        <w:rPr/>
        <w:br w:type="column"/>
      </w:r>
      <w:r>
        <w:rPr>
          <w:rFonts w:ascii="Arial"/>
          <w:sz w:val="33"/>
        </w:rPr>
      </w:r>
    </w:p>
    <w:p>
      <w:pPr>
        <w:spacing w:before="0"/>
        <w:ind w:left="0" w:right="0" w:firstLine="0"/>
        <w:jc w:val="right"/>
        <w:rPr>
          <w:rFonts w:ascii="Arial" w:hAnsi="Arial"/>
          <w:sz w:val="31"/>
        </w:rPr>
      </w:pPr>
      <w:r>
        <w:rPr>
          <w:rFonts w:ascii="Arial" w:hAnsi="Arial"/>
          <w:color w:val="CC2D31"/>
          <w:spacing w:val="-232"/>
          <w:w w:val="268"/>
          <w:sz w:val="31"/>
        </w:rPr>
        <w:t>í</w:t>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spacing w:val="-232"/>
          <w:w w:val="268"/>
          <w:sz w:val="31"/>
        </w:rPr>
        <w:t>ì</w:t>
      </w:r>
      <w:r>
        <w:rPr>
          <w:rFonts w:ascii="Arial" w:hAnsi="Arial"/>
          <w:w w:val="134"/>
          <w:sz w:val="31"/>
        </w:rPr>
        <w:t>è</w:t>
      </w:r>
    </w:p>
    <w:p>
      <w:pPr>
        <w:spacing w:before="58"/>
        <w:ind w:left="0" w:right="0" w:firstLine="0"/>
        <w:jc w:val="right"/>
        <w:rPr>
          <w:rFonts w:ascii="Arial"/>
          <w:sz w:val="31"/>
        </w:rPr>
      </w:pPr>
      <w:r>
        <w:rPr/>
        <w:br w:type="column"/>
      </w:r>
      <w:r>
        <w:rPr>
          <w:rFonts w:ascii="Arial"/>
          <w:color w:val="FFFFFF"/>
          <w:spacing w:val="-249"/>
          <w:w w:val="143"/>
          <w:sz w:val="31"/>
        </w:rPr>
        <w:t>$</w:t>
      </w:r>
      <w:r>
        <w:rPr>
          <w:rFonts w:ascii="Arial"/>
          <w:color w:val="CC2D31"/>
          <w:spacing w:val="-249"/>
          <w:w w:val="225"/>
          <w:sz w:val="31"/>
        </w:rPr>
        <w:t>"</w:t>
      </w:r>
      <w:r>
        <w:rPr>
          <w:rFonts w:ascii="Arial"/>
          <w:color w:val="FFFFFF"/>
          <w:w w:val="287"/>
          <w:sz w:val="31"/>
        </w:rPr>
        <w:t>!</w:t>
      </w:r>
    </w:p>
    <w:p>
      <w:pPr>
        <w:pStyle w:val="BodyText"/>
        <w:spacing w:before="6"/>
        <w:rPr>
          <w:rFonts w:ascii="Arial"/>
          <w:sz w:val="44"/>
        </w:rPr>
      </w:pPr>
      <w:r>
        <w:rPr/>
        <w:br w:type="column"/>
      </w:r>
      <w:r>
        <w:rPr>
          <w:rFonts w:ascii="Arial"/>
          <w:sz w:val="44"/>
        </w:rPr>
      </w:r>
    </w:p>
    <w:p>
      <w:pPr>
        <w:pStyle w:val="Heading8"/>
        <w:spacing w:line="269" w:lineRule="exact"/>
        <w:jc w:val="right"/>
      </w:pPr>
      <w:r>
        <w:rPr/>
        <w:pict>
          <v:shape style="position:absolute;margin-left:639.650818pt;margin-top:8.081184pt;width:32.7pt;height:6.65pt;mso-position-horizontal-relative:page;mso-position-vertical-relative:paragraph;z-index:-268246016;rotation:25" type="#_x0000_t136" fillcolor="#4d4d4d" stroked="f">
            <o:extrusion v:ext="view" autorotationcenter="t"/>
            <v:textpath style="font-family:&quot;Century Gothic&quot;;font-size:6pt;v-text-kern:t;mso-text-shadow:auto;font-weight:bold" string="Tapteal Dr"/>
            <w10:wrap type="none"/>
          </v:shape>
        </w:pict>
      </w:r>
      <w:r>
        <w:rPr>
          <w:color w:val="FFFFFF"/>
          <w:spacing w:val="-249"/>
          <w:w w:val="287"/>
        </w:rPr>
        <w:t>!</w:t>
      </w:r>
      <w:r>
        <w:rPr>
          <w:color w:val="CC2D31"/>
          <w:spacing w:val="-249"/>
          <w:w w:val="225"/>
        </w:rPr>
        <w:t>"</w:t>
      </w:r>
      <w:r>
        <w:rPr>
          <w:color w:val="FFFFFF"/>
          <w:w w:val="143"/>
        </w:rPr>
        <w:t>$</w:t>
      </w:r>
    </w:p>
    <w:p>
      <w:pPr>
        <w:spacing w:line="398" w:lineRule="exact" w:before="162"/>
        <w:ind w:left="260" w:right="0" w:firstLine="0"/>
        <w:jc w:val="left"/>
        <w:rPr>
          <w:rFonts w:ascii="Arial" w:hAnsi="Arial"/>
          <w:sz w:val="31"/>
        </w:rPr>
      </w:pPr>
      <w:r>
        <w:rPr/>
        <w:br w:type="column"/>
      </w:r>
      <w:r>
        <w:rPr>
          <w:rFonts w:ascii="Arial" w:hAnsi="Arial"/>
          <w:color w:val="CC2D31"/>
          <w:spacing w:val="-249"/>
          <w:w w:val="225"/>
          <w:position w:val="9"/>
          <w:sz w:val="31"/>
        </w:rPr>
        <w:t>"</w:t>
      </w:r>
      <w:r>
        <w:rPr>
          <w:rFonts w:ascii="Arial" w:hAnsi="Arial"/>
          <w:color w:val="FFFFFF"/>
          <w:spacing w:val="-249"/>
          <w:w w:val="143"/>
          <w:position w:val="9"/>
          <w:sz w:val="31"/>
        </w:rPr>
        <w:t>$</w:t>
      </w:r>
      <w:r>
        <w:rPr>
          <w:rFonts w:ascii="Arial" w:hAnsi="Arial"/>
          <w:color w:val="FFFFFF"/>
          <w:spacing w:val="-246"/>
          <w:w w:val="287"/>
          <w:position w:val="9"/>
          <w:sz w:val="31"/>
        </w:rPr>
        <w:t>!</w:t>
      </w:r>
      <w:r>
        <w:rPr>
          <w:rFonts w:ascii="Arial" w:hAnsi="Arial"/>
          <w:color w:val="FFFFFF"/>
          <w:spacing w:val="-232"/>
          <w:w w:val="134"/>
          <w:sz w:val="31"/>
        </w:rPr>
        <w:t>é</w:t>
      </w:r>
      <w:r>
        <w:rPr>
          <w:rFonts w:ascii="Arial" w:hAnsi="Arial"/>
          <w:color w:val="CC2D31"/>
          <w:spacing w:val="-232"/>
          <w:w w:val="268"/>
          <w:sz w:val="31"/>
        </w:rPr>
        <w:t>í</w:t>
      </w:r>
      <w:r>
        <w:rPr>
          <w:rFonts w:ascii="Arial" w:hAnsi="Arial"/>
          <w:color w:val="FFFF00"/>
          <w:spacing w:val="-232"/>
          <w:w w:val="268"/>
          <w:sz w:val="31"/>
        </w:rPr>
        <w:t>ì</w:t>
      </w:r>
      <w:r>
        <w:rPr>
          <w:rFonts w:ascii="Arial" w:hAnsi="Arial"/>
          <w:color w:val="4CE500"/>
          <w:spacing w:val="-232"/>
          <w:w w:val="134"/>
          <w:sz w:val="31"/>
        </w:rPr>
        <w:t>ë</w:t>
      </w:r>
      <w:r>
        <w:rPr>
          <w:rFonts w:ascii="Arial" w:hAnsi="Arial"/>
          <w:w w:val="134"/>
          <w:sz w:val="31"/>
        </w:rPr>
        <w:t>è</w:t>
      </w:r>
    </w:p>
    <w:p>
      <w:pPr>
        <w:spacing w:line="221" w:lineRule="exact" w:before="0"/>
        <w:ind w:left="238" w:right="0" w:firstLine="0"/>
        <w:jc w:val="left"/>
        <w:rPr>
          <w:rFonts w:ascii="Arial" w:hAnsi="Arial"/>
          <w:sz w:val="31"/>
        </w:rPr>
      </w:pPr>
      <w:r>
        <w:rPr/>
        <w:pict>
          <v:shape style="position:absolute;margin-left:663.933105pt;margin-top:-18.36149pt;width:28.1pt;height:6.65pt;mso-position-horizontal-relative:page;mso-position-vertical-relative:paragraph;z-index:251788288;rotation:3" type="#_x0000_t136" fillcolor="#4d4d4d" stroked="f">
            <o:extrusion v:ext="view" autorotationcenter="t"/>
            <v:textpath style="font-family:&quot;Century Gothic&quot;;font-size:6pt;v-text-kern:t;mso-text-shadow:auto;font-weight:bold" string="Fowler St"/>
            <w10:wrap type="none"/>
          </v:shape>
        </w:pict>
      </w:r>
      <w:r>
        <w:rPr>
          <w:rFonts w:ascii="Arial" w:hAnsi="Arial"/>
          <w:color w:val="FFFFFF"/>
          <w:spacing w:val="-249"/>
          <w:w w:val="287"/>
          <w:position w:val="-11"/>
          <w:sz w:val="31"/>
        </w:rPr>
        <w:t>!</w:t>
      </w:r>
      <w:r>
        <w:rPr>
          <w:rFonts w:ascii="Arial" w:hAnsi="Arial"/>
          <w:color w:val="FFFFFF"/>
          <w:spacing w:val="-249"/>
          <w:w w:val="143"/>
          <w:position w:val="-11"/>
          <w:sz w:val="31"/>
        </w:rPr>
        <w:t>$</w:t>
      </w:r>
      <w:r>
        <w:rPr>
          <w:rFonts w:ascii="Arial" w:hAnsi="Arial"/>
          <w:color w:val="CC2D31"/>
          <w:spacing w:val="-235"/>
          <w:w w:val="225"/>
          <w:position w:val="-11"/>
          <w:sz w:val="31"/>
        </w:rPr>
        <w:t>"</w: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FFFFFF"/>
          <w:spacing w:val="-232"/>
          <w:w w:val="134"/>
          <w:sz w:val="31"/>
        </w:rPr>
        <w:t>é</w:t>
      </w:r>
      <w:r>
        <w:rPr>
          <w:rFonts w:ascii="Arial" w:hAnsi="Arial"/>
          <w:color w:val="CC2D31"/>
          <w:spacing w:val="-232"/>
          <w:w w:val="268"/>
          <w:sz w:val="31"/>
        </w:rPr>
        <w:t>í</w:t>
      </w:r>
      <w:r>
        <w:rPr>
          <w:rFonts w:ascii="Arial" w:hAnsi="Arial"/>
          <w:w w:val="134"/>
          <w:sz w:val="31"/>
        </w:rPr>
        <w:t>è</w:t>
      </w:r>
    </w:p>
    <w:p>
      <w:pPr>
        <w:spacing w:after="0" w:line="221" w:lineRule="exact"/>
        <w:jc w:val="left"/>
        <w:rPr>
          <w:rFonts w:ascii="Arial" w:hAnsi="Arial"/>
          <w:sz w:val="31"/>
        </w:rPr>
        <w:sectPr>
          <w:type w:val="continuous"/>
          <w:pgSz w:w="15840" w:h="24480"/>
          <w:pgMar w:top="1480" w:bottom="1320" w:left="0" w:right="0"/>
          <w:cols w:num="6" w:equalWidth="0">
            <w:col w:w="9238" w:space="40"/>
            <w:col w:w="409" w:space="39"/>
            <w:col w:w="1395" w:space="40"/>
            <w:col w:w="1475" w:space="39"/>
            <w:col w:w="913" w:space="40"/>
            <w:col w:w="2212"/>
          </w:cols>
        </w:sectPr>
      </w:pPr>
    </w:p>
    <w:p>
      <w:pPr>
        <w:tabs>
          <w:tab w:pos="9260" w:val="left" w:leader="none"/>
        </w:tabs>
        <w:spacing w:line="286" w:lineRule="exact" w:before="19"/>
        <w:ind w:left="8817" w:right="0" w:firstLine="0"/>
        <w:jc w:val="left"/>
        <w:rPr>
          <w:rFonts w:ascii="Arial"/>
          <w:sz w:val="31"/>
        </w:rPr>
      </w:pPr>
      <w:r>
        <w:rPr/>
        <w:pict>
          <v:shape style="position:absolute;margin-left:448.654663pt;margin-top:10.237132pt;width:31.25pt;height:6.65pt;mso-position-horizontal-relative:page;mso-position-vertical-relative:paragraph;z-index:-268244992;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555.806763pt;margin-top:12.122839pt;width:34.1pt;height:6.65pt;mso-position-horizontal-relative:page;mso-position-vertical-relative:paragraph;z-index:-268214272;rotation:359" type="#_x0000_t136" fillcolor="#4d4d4d" stroked="f">
            <o:extrusion v:ext="view" autorotationcenter="t"/>
            <v:textpath style="font-family:&quot;Century Gothic&quot;;font-size:6pt;v-text-kern:t;mso-text-shadow:auto;font-weight:bold" string="Gage Blvd"/>
            <w10:wrap type="none"/>
          </v:shape>
        </w:pict>
      </w:r>
      <w:r>
        <w:rPr>
          <w:rFonts w:ascii="Arial"/>
          <w:color w:val="FFFFFF"/>
          <w:w w:val="179"/>
          <w:sz w:val="31"/>
          <w:u w:val="single" w:color="B2B2B2"/>
        </w:rPr>
        <w:t> </w:t>
      </w:r>
      <w:r>
        <w:rPr>
          <w:rFonts w:ascii="Arial"/>
          <w:color w:val="FFFFFF"/>
          <w:sz w:val="31"/>
        </w:rPr>
        <w:tab/>
      </w:r>
      <w:r>
        <w:rPr>
          <w:rFonts w:ascii="Arial"/>
          <w:color w:val="FFFFFF"/>
          <w:w w:val="179"/>
          <w:sz w:val="31"/>
          <w:u w:val="single" w:color="B2B2B2"/>
        </w:rPr>
        <w:t> </w:t>
      </w:r>
      <w:r>
        <w:rPr>
          <w:rFonts w:ascii="Arial"/>
          <w:color w:val="FFFFFF"/>
          <w:spacing w:val="38"/>
          <w:sz w:val="31"/>
        </w:rPr>
        <w:t> </w:t>
      </w:r>
      <w:r>
        <w:rPr>
          <w:rFonts w:ascii="Arial"/>
          <w:color w:val="FFFFFF"/>
          <w:spacing w:val="-249"/>
          <w:w w:val="143"/>
          <w:sz w:val="31"/>
        </w:rPr>
        <w:t>$</w:t>
      </w:r>
      <w:r>
        <w:rPr>
          <w:rFonts w:ascii="Arial"/>
          <w:color w:val="CC2D31"/>
          <w:spacing w:val="-249"/>
          <w:w w:val="225"/>
          <w:sz w:val="31"/>
        </w:rPr>
        <w:t>"</w:t>
      </w:r>
      <w:r>
        <w:rPr>
          <w:rFonts w:ascii="Arial"/>
          <w:color w:val="FFFFFF"/>
          <w:w w:val="287"/>
          <w:sz w:val="31"/>
        </w:rPr>
        <w:t>!</w:t>
      </w:r>
    </w:p>
    <w:p>
      <w:pPr>
        <w:spacing w:line="286" w:lineRule="exact" w:before="0"/>
        <w:ind w:left="9673" w:right="0" w:firstLine="0"/>
        <w:jc w:val="left"/>
        <w:rPr>
          <w:rFonts w:ascii="Arial"/>
          <w:sz w:val="31"/>
        </w:rPr>
      </w:pPr>
      <w:r>
        <w:rPr/>
        <w:pict>
          <v:shape style="position:absolute;margin-left:233.99942pt;margin-top:4.580107pt;width:10.5pt;height:31.7pt;mso-position-horizontal-relative:page;mso-position-vertical-relative:paragraph;z-index:251799552" type="#_x0000_t202" filled="false" stroked="false">
            <v:textbox inset="0,0,0,0" style="layout-flow:vertical;mso-layout-flow-alt:bottom-to-top">
              <w:txbxContent>
                <w:p>
                  <w:pPr>
                    <w:spacing w:before="18"/>
                    <w:ind w:left="20" w:right="0" w:firstLine="0"/>
                    <w:jc w:val="left"/>
                    <w:rPr>
                      <w:rFonts w:ascii="Century Gothic"/>
                      <w:b/>
                      <w:sz w:val="13"/>
                    </w:rPr>
                  </w:pPr>
                  <w:r>
                    <w:rPr>
                      <w:rFonts w:ascii="Century Gothic"/>
                      <w:b/>
                      <w:color w:val="4D4D4D"/>
                      <w:position w:val="1"/>
                      <w:sz w:val="13"/>
                    </w:rPr>
                    <w:t>D</w:t>
                  </w:r>
                  <w:r>
                    <w:rPr>
                      <w:rFonts w:ascii="Century Gothic"/>
                      <w:b/>
                      <w:color w:val="4D4D4D"/>
                      <w:sz w:val="13"/>
                    </w:rPr>
                    <w:t>allas Rd</w:t>
                  </w:r>
                </w:p>
              </w:txbxContent>
            </v:textbox>
            <w10:wrap type="none"/>
          </v:shape>
        </w:pict>
      </w:r>
      <w:r>
        <w:rPr>
          <w:rFonts w:ascii="Arial"/>
          <w:color w:val="FFFFFF"/>
          <w:spacing w:val="-249"/>
          <w:w w:val="143"/>
          <w:sz w:val="31"/>
        </w:rPr>
        <w:t>$</w:t>
      </w:r>
      <w:r>
        <w:rPr>
          <w:rFonts w:ascii="Arial"/>
          <w:color w:val="CC2D31"/>
          <w:spacing w:val="-249"/>
          <w:w w:val="225"/>
          <w:sz w:val="31"/>
        </w:rPr>
        <w:t>"</w:t>
      </w:r>
      <w:r>
        <w:rPr>
          <w:rFonts w:ascii="Arial"/>
          <w:color w:val="FFFFFF"/>
          <w:w w:val="287"/>
          <w:sz w:val="31"/>
        </w:rPr>
        <w:t>!</w:t>
      </w:r>
    </w:p>
    <w:p>
      <w:pPr>
        <w:tabs>
          <w:tab w:pos="1930" w:val="left" w:leader="none"/>
        </w:tabs>
        <w:spacing w:before="211"/>
        <w:ind w:left="667" w:right="0" w:firstLine="0"/>
        <w:jc w:val="left"/>
        <w:rPr>
          <w:rFonts w:ascii="Arial" w:hAnsi="Arial"/>
          <w:sz w:val="31"/>
        </w:rPr>
      </w:pPr>
      <w:r>
        <w:rPr/>
        <w:br w:type="column"/>
      </w:r>
      <w:r>
        <w:rPr>
          <w:rFonts w:ascii="Arial" w:hAnsi="Arial"/>
          <w:color w:val="CC2D31"/>
          <w:spacing w:val="-232"/>
          <w:w w:val="268"/>
          <w:position w:val="1"/>
          <w:sz w:val="31"/>
        </w:rPr>
        <w:t>í</w:t>
      </w:r>
      <w:r>
        <w:rPr>
          <w:rFonts w:ascii="Arial" w:hAnsi="Arial"/>
          <w:spacing w:val="-232"/>
          <w:w w:val="134"/>
          <w:position w:val="1"/>
          <w:sz w:val="31"/>
        </w:rPr>
        <w:t>è</w:t>
      </w:r>
      <w:r>
        <w:rPr>
          <w:rFonts w:ascii="Arial" w:hAnsi="Arial"/>
          <w:color w:val="FFFFFF"/>
          <w:spacing w:val="-232"/>
          <w:w w:val="134"/>
          <w:position w:val="1"/>
          <w:sz w:val="31"/>
        </w:rPr>
        <w:t>é</w:t>
      </w:r>
      <w:r>
        <w:rPr>
          <w:rFonts w:ascii="Arial" w:hAnsi="Arial"/>
          <w:color w:val="4CE500"/>
          <w:spacing w:val="-232"/>
          <w:w w:val="134"/>
          <w:position w:val="1"/>
          <w:sz w:val="31"/>
        </w:rPr>
        <w:t>ë</w:t>
      </w:r>
      <w:r>
        <w:rPr>
          <w:rFonts w:ascii="Arial" w:hAnsi="Arial"/>
          <w:color w:val="FFFF00"/>
          <w:spacing w:val="23"/>
          <w:w w:val="268"/>
          <w:position w:val="1"/>
          <w:sz w:val="31"/>
        </w:rPr>
        <w:t>ì</w:t>
      </w:r>
      <w:r>
        <w:rPr>
          <w:rFonts w:ascii="Arial" w:hAnsi="Arial"/>
          <w:spacing w:val="-232"/>
          <w:w w:val="134"/>
          <w:sz w:val="31"/>
        </w:rPr>
        <w:t>è</w:t>
      </w:r>
      <w:r>
        <w:rPr>
          <w:rFonts w:ascii="Arial" w:hAnsi="Arial"/>
          <w:color w:val="FFFFFF"/>
          <w:spacing w:val="-232"/>
          <w:w w:val="134"/>
          <w:sz w:val="31"/>
        </w:rPr>
        <w:t>é</w:t>
      </w:r>
      <w:r>
        <w:rPr>
          <w:rFonts w:ascii="Arial" w:hAnsi="Arial"/>
          <w:color w:val="4CE500"/>
          <w:spacing w:val="-232"/>
          <w:w w:val="134"/>
          <w:sz w:val="31"/>
        </w:rPr>
        <w:t>ë</w:t>
      </w:r>
      <w:r>
        <w:rPr>
          <w:rFonts w:ascii="Arial" w:hAnsi="Arial"/>
          <w:color w:val="FFFF00"/>
          <w:spacing w:val="-232"/>
          <w:w w:val="268"/>
          <w:sz w:val="31"/>
        </w:rPr>
        <w:t>ì</w:t>
      </w:r>
      <w:r>
        <w:rPr>
          <w:rFonts w:ascii="Arial" w:hAnsi="Arial"/>
          <w:color w:val="CC2D31"/>
          <w:w w:val="268"/>
          <w:sz w:val="31"/>
        </w:rPr>
        <w:t>í</w:t>
      </w:r>
      <w:r>
        <w:rPr>
          <w:rFonts w:ascii="Arial" w:hAnsi="Arial"/>
          <w:color w:val="CC2D31"/>
          <w:sz w:val="31"/>
        </w:rPr>
        <w:tab/>
      </w:r>
      <w:r>
        <w:rPr>
          <w:rFonts w:ascii="Arial" w:hAnsi="Arial"/>
          <w:spacing w:val="-236"/>
          <w:w w:val="134"/>
          <w:position w:val="3"/>
          <w:sz w:val="31"/>
        </w:rPr>
        <w:t>è</w:t>
      </w:r>
      <w:r>
        <w:rPr>
          <w:rFonts w:ascii="Arial" w:hAnsi="Arial"/>
          <w:color w:val="FFFFFF"/>
          <w:spacing w:val="-236"/>
          <w:w w:val="134"/>
          <w:position w:val="3"/>
          <w:sz w:val="31"/>
        </w:rPr>
        <w:t>é</w:t>
      </w:r>
      <w:r>
        <w:rPr>
          <w:rFonts w:ascii="Arial" w:hAnsi="Arial"/>
          <w:color w:val="CC2D31"/>
          <w:spacing w:val="-236"/>
          <w:w w:val="268"/>
          <w:position w:val="3"/>
          <w:sz w:val="31"/>
        </w:rPr>
        <w:t>í</w:t>
      </w:r>
      <w:r>
        <w:rPr>
          <w:rFonts w:ascii="Arial" w:hAnsi="Arial"/>
          <w:color w:val="FFFF00"/>
          <w:spacing w:val="-236"/>
          <w:w w:val="268"/>
          <w:position w:val="3"/>
          <w:sz w:val="31"/>
        </w:rPr>
        <w:t>ì</w:t>
      </w:r>
      <w:r>
        <w:rPr>
          <w:rFonts w:ascii="Arial" w:hAnsi="Arial"/>
          <w:color w:val="4CE500"/>
          <w:spacing w:val="-4"/>
          <w:w w:val="134"/>
          <w:position w:val="3"/>
          <w:sz w:val="31"/>
        </w:rPr>
        <w:t>ë</w:t>
      </w:r>
    </w:p>
    <w:p>
      <w:pPr>
        <w:spacing w:before="202"/>
        <w:ind w:left="238" w:right="0" w:firstLine="0"/>
        <w:jc w:val="left"/>
        <w:rPr>
          <w:rFonts w:ascii="Arial" w:hAnsi="Arial"/>
          <w:sz w:val="31"/>
        </w:rPr>
      </w:pPr>
      <w:r>
        <w:rPr/>
        <w:br w:type="column"/>
      </w:r>
      <w:r>
        <w:rPr>
          <w:rFonts w:ascii="Arial" w:hAnsi="Arial"/>
          <w:color w:val="FFFFFF"/>
          <w:spacing w:val="-232"/>
          <w:w w:val="134"/>
          <w:sz w:val="31"/>
        </w:rPr>
        <w:t>é</w:t>
      </w:r>
      <w:r>
        <w:rPr>
          <w:rFonts w:ascii="Arial" w:hAnsi="Arial"/>
          <w:spacing w:val="-232"/>
          <w:w w:val="134"/>
          <w:sz w:val="31"/>
        </w:rPr>
        <w:t>è</w:t>
      </w:r>
      <w:r>
        <w:rPr>
          <w:rFonts w:ascii="Arial" w:hAnsi="Arial"/>
          <w:color w:val="CC2D31"/>
          <w:spacing w:val="-232"/>
          <w:w w:val="268"/>
          <w:sz w:val="31"/>
        </w:rPr>
        <w:t>í</w:t>
      </w:r>
      <w:r>
        <w:rPr>
          <w:rFonts w:ascii="Arial" w:hAnsi="Arial"/>
          <w:color w:val="FFFF00"/>
          <w:spacing w:val="-232"/>
          <w:w w:val="268"/>
          <w:sz w:val="31"/>
        </w:rPr>
        <w:t>ì</w:t>
      </w:r>
      <w:r>
        <w:rPr>
          <w:rFonts w:ascii="Arial" w:hAnsi="Arial"/>
          <w:color w:val="4CE500"/>
          <w:w w:val="134"/>
          <w:sz w:val="31"/>
        </w:rPr>
        <w:t>ë</w:t>
      </w:r>
    </w:p>
    <w:p>
      <w:pPr>
        <w:spacing w:after="0"/>
        <w:jc w:val="left"/>
        <w:rPr>
          <w:rFonts w:ascii="Arial" w:hAnsi="Arial"/>
          <w:sz w:val="31"/>
        </w:rPr>
        <w:sectPr>
          <w:type w:val="continuous"/>
          <w:pgSz w:w="15840" w:h="24480"/>
          <w:pgMar w:top="1480" w:bottom="1320" w:left="0" w:right="0"/>
          <w:cols w:num="3" w:equalWidth="0">
            <w:col w:w="9922" w:space="40"/>
            <w:col w:w="2162" w:space="39"/>
            <w:col w:w="3677"/>
          </w:cols>
        </w:sectPr>
      </w:pPr>
    </w:p>
    <w:p>
      <w:pPr>
        <w:spacing w:line="214" w:lineRule="exact" w:before="171"/>
        <w:ind w:left="1052" w:right="0" w:firstLine="0"/>
        <w:jc w:val="left"/>
        <w:rPr>
          <w:rFonts w:ascii="Arial"/>
          <w:b/>
          <w:sz w:val="19"/>
        </w:rPr>
      </w:pPr>
      <w:r>
        <w:rPr/>
        <w:pict>
          <v:shape style="position:absolute;margin-left:595.561658pt;margin-top:15.436441pt;width:36.050pt;height:6.65pt;mso-position-horizontal-relative:page;mso-position-vertical-relative:paragraph;z-index:251797504;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536.930603pt;margin-top:1.98373pt;width:10.55pt;height:29.8pt;mso-position-horizontal-relative:page;mso-position-vertical-relative:paragraph;z-index:251808768"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position w:val="1"/>
                      <w:sz w:val="13"/>
                    </w:rPr>
                    <w:t>Le</w:t>
                  </w:r>
                  <w:r>
                    <w:rPr>
                      <w:rFonts w:ascii="Century Gothic"/>
                      <w:b/>
                      <w:color w:val="4D4D4D"/>
                      <w:sz w:val="13"/>
                    </w:rPr>
                    <w:t>slie Rd</w:t>
                  </w:r>
                </w:p>
              </w:txbxContent>
            </v:textbox>
            <w10:wrap type="none"/>
          </v:shape>
        </w:pict>
      </w:r>
      <w:r>
        <w:rPr/>
        <w:pict>
          <v:shape style="position:absolute;margin-left:616.731567pt;margin-top:-4.892263pt;width:11.45pt;height:68.650pt;mso-position-horizontal-relative:page;mso-position-vertical-relative:paragraph;z-index:-268226560" type="#_x0000_t202" filled="false" stroked="false">
            <v:textbox inset="0,0,0,0" style="layout-flow:vertical;mso-layout-flow-alt:bottom-to-top">
              <w:txbxContent>
                <w:p>
                  <w:pPr>
                    <w:tabs>
                      <w:tab w:pos="1351" w:val="left" w:leader="none"/>
                    </w:tabs>
                    <w:spacing w:before="48"/>
                    <w:ind w:left="20" w:right="0" w:firstLine="0"/>
                    <w:jc w:val="left"/>
                    <w:rPr>
                      <w:rFonts w:ascii="Century Gothic"/>
                      <w:b/>
                      <w:sz w:val="13"/>
                    </w:rPr>
                  </w:pPr>
                  <w:r>
                    <w:rPr>
                      <w:rFonts w:ascii="Century Gothic"/>
                      <w:b/>
                      <w:color w:val="4D4D4D"/>
                      <w:w w:val="102"/>
                      <w:sz w:val="13"/>
                      <w:u w:val="thick" w:color="B2B2B2"/>
                    </w:rPr>
                    <w:t> </w:t>
                  </w:r>
                  <w:r>
                    <w:rPr>
                      <w:rFonts w:ascii="Century Gothic"/>
                      <w:b/>
                      <w:color w:val="4D4D4D"/>
                      <w:sz w:val="13"/>
                      <w:u w:val="thick" w:color="B2B2B2"/>
                    </w:rPr>
                    <w:tab/>
                  </w:r>
                </w:p>
              </w:txbxContent>
            </v:textbox>
            <w10:wrap type="none"/>
          </v:shape>
        </w:pict>
      </w:r>
      <w:r>
        <w:rPr>
          <w:rFonts w:ascii="Arial"/>
          <w:b/>
          <w:sz w:val="19"/>
        </w:rPr>
        <w:t>Intersection Control Type</w:t>
      </w:r>
    </w:p>
    <w:p>
      <w:pPr>
        <w:spacing w:line="277" w:lineRule="exact" w:before="0"/>
        <w:ind w:left="1146" w:right="0" w:firstLine="0"/>
        <w:jc w:val="left"/>
        <w:rPr>
          <w:rFonts w:ascii="Arial" w:hAnsi="Arial"/>
          <w:sz w:val="14"/>
        </w:rPr>
      </w:pPr>
      <w:r>
        <w:rPr>
          <w:rFonts w:ascii="Arial" w:hAnsi="Arial"/>
          <w:spacing w:val="-232"/>
          <w:w w:val="134"/>
          <w:position w:val="-3"/>
          <w:sz w:val="31"/>
        </w:rPr>
        <w:t>è</w:t>
      </w:r>
      <w:r>
        <w:rPr>
          <w:rFonts w:ascii="Arial" w:hAnsi="Arial"/>
          <w:color w:val="FFFFFF"/>
          <w:spacing w:val="-232"/>
          <w:w w:val="134"/>
          <w:position w:val="-3"/>
          <w:sz w:val="31"/>
        </w:rPr>
        <w:t>é</w:t>
      </w:r>
      <w:r>
        <w:rPr>
          <w:rFonts w:ascii="Arial" w:hAnsi="Arial"/>
          <w:color w:val="4CE500"/>
          <w:spacing w:val="-232"/>
          <w:w w:val="134"/>
          <w:position w:val="-3"/>
          <w:sz w:val="31"/>
        </w:rPr>
        <w:t>ë</w:t>
      </w:r>
      <w:r>
        <w:rPr>
          <w:rFonts w:ascii="Arial" w:hAnsi="Arial"/>
          <w:color w:val="FFFF00"/>
          <w:spacing w:val="-232"/>
          <w:w w:val="268"/>
          <w:position w:val="-3"/>
          <w:sz w:val="31"/>
        </w:rPr>
        <w:t>ì</w:t>
      </w:r>
      <w:r>
        <w:rPr>
          <w:rFonts w:ascii="Arial" w:hAnsi="Arial"/>
          <w:color w:val="CC2D31"/>
          <w:w w:val="268"/>
          <w:position w:val="-3"/>
          <w:sz w:val="31"/>
        </w:rPr>
        <w:t>í</w:t>
      </w:r>
      <w:r>
        <w:rPr>
          <w:rFonts w:ascii="Arial" w:hAnsi="Arial"/>
          <w:color w:val="CC2D31"/>
          <w:position w:val="-3"/>
          <w:sz w:val="31"/>
        </w:rPr>
        <w:t>  </w:t>
      </w:r>
      <w:r>
        <w:rPr>
          <w:rFonts w:ascii="Arial" w:hAnsi="Arial"/>
          <w:spacing w:val="-2"/>
          <w:w w:val="102"/>
          <w:sz w:val="14"/>
        </w:rPr>
        <w:t>S</w:t>
      </w:r>
      <w:r>
        <w:rPr>
          <w:rFonts w:ascii="Arial" w:hAnsi="Arial"/>
          <w:spacing w:val="1"/>
          <w:w w:val="102"/>
          <w:sz w:val="14"/>
        </w:rPr>
        <w:t>i</w:t>
      </w:r>
      <w:r>
        <w:rPr>
          <w:rFonts w:ascii="Arial" w:hAnsi="Arial"/>
          <w:spacing w:val="2"/>
          <w:w w:val="102"/>
          <w:sz w:val="14"/>
        </w:rPr>
        <w:t>gn</w:t>
      </w:r>
      <w:r>
        <w:rPr>
          <w:rFonts w:ascii="Arial" w:hAnsi="Arial"/>
          <w:spacing w:val="-3"/>
          <w:w w:val="102"/>
          <w:sz w:val="14"/>
        </w:rPr>
        <w:t>a</w:t>
      </w:r>
      <w:r>
        <w:rPr>
          <w:rFonts w:ascii="Arial" w:hAnsi="Arial"/>
          <w:spacing w:val="1"/>
          <w:w w:val="102"/>
          <w:sz w:val="14"/>
        </w:rPr>
        <w:t>li</w:t>
      </w:r>
      <w:r>
        <w:rPr>
          <w:rFonts w:ascii="Arial" w:hAnsi="Arial"/>
          <w:w w:val="102"/>
          <w:sz w:val="14"/>
        </w:rPr>
        <w:t>z</w:t>
      </w:r>
      <w:r>
        <w:rPr>
          <w:rFonts w:ascii="Arial" w:hAnsi="Arial"/>
          <w:spacing w:val="2"/>
          <w:w w:val="102"/>
          <w:sz w:val="14"/>
        </w:rPr>
        <w:t>e</w:t>
      </w:r>
      <w:r>
        <w:rPr>
          <w:rFonts w:ascii="Arial" w:hAnsi="Arial"/>
          <w:w w:val="102"/>
          <w:sz w:val="14"/>
        </w:rPr>
        <w:t>d</w:t>
      </w:r>
      <w:r>
        <w:rPr>
          <w:rFonts w:ascii="Arial" w:hAnsi="Arial"/>
          <w:spacing w:val="2"/>
          <w:sz w:val="14"/>
        </w:rPr>
        <w:t> </w:t>
      </w:r>
      <w:r>
        <w:rPr>
          <w:rFonts w:ascii="Arial" w:hAnsi="Arial"/>
          <w:spacing w:val="1"/>
          <w:w w:val="102"/>
          <w:sz w:val="14"/>
        </w:rPr>
        <w:t>(</w:t>
      </w:r>
      <w:r>
        <w:rPr>
          <w:rFonts w:ascii="Arial" w:hAnsi="Arial"/>
          <w:spacing w:val="2"/>
          <w:w w:val="102"/>
          <w:sz w:val="14"/>
        </w:rPr>
        <w:t>66</w:t>
      </w:r>
      <w:r>
        <w:rPr>
          <w:rFonts w:ascii="Arial" w:hAnsi="Arial"/>
          <w:w w:val="102"/>
          <w:sz w:val="14"/>
        </w:rPr>
        <w:t>)</w:t>
      </w:r>
    </w:p>
    <w:p>
      <w:pPr>
        <w:spacing w:after="0" w:line="277" w:lineRule="exact"/>
        <w:jc w:val="left"/>
        <w:rPr>
          <w:rFonts w:ascii="Arial" w:hAnsi="Arial"/>
          <w:sz w:val="14"/>
        </w:rPr>
        <w:sectPr>
          <w:type w:val="continuous"/>
          <w:pgSz w:w="15840" w:h="24480"/>
          <w:pgMar w:top="1480" w:bottom="1320" w:left="0" w:right="0"/>
        </w:sectPr>
      </w:pPr>
    </w:p>
    <w:p>
      <w:pPr>
        <w:spacing w:line="426" w:lineRule="exact" w:before="0"/>
        <w:ind w:left="0" w:right="64" w:firstLine="0"/>
        <w:jc w:val="right"/>
        <w:rPr>
          <w:rFonts w:ascii="Arial"/>
          <w:sz w:val="16"/>
        </w:rPr>
      </w:pPr>
      <w:r>
        <w:rPr>
          <w:rFonts w:ascii="Arial Black"/>
          <w:spacing w:val="-244"/>
          <w:w w:val="104"/>
          <w:sz w:val="36"/>
        </w:rPr>
        <w:t>2</w:t>
      </w:r>
      <w:r>
        <w:rPr>
          <w:rFonts w:ascii="Arial"/>
          <w:color w:val="FFAA00"/>
          <w:spacing w:val="-177"/>
          <w:w w:val="254"/>
          <w:position w:val="1"/>
          <w:sz w:val="34"/>
        </w:rPr>
        <w:t>!</w:t>
      </w:r>
      <w:r>
        <w:rPr>
          <w:rFonts w:ascii="Arial"/>
          <w:color w:val="FFFFFF"/>
          <w:w w:val="252"/>
          <w:position w:val="7"/>
          <w:sz w:val="16"/>
        </w:rPr>
        <w:t>!</w:t>
      </w:r>
    </w:p>
    <w:p>
      <w:pPr>
        <w:pStyle w:val="Heading8"/>
        <w:spacing w:line="313" w:lineRule="exact"/>
        <w:jc w:val="right"/>
      </w:pPr>
      <w:r>
        <w:rPr>
          <w:color w:val="FFFFFF"/>
          <w:spacing w:val="-249"/>
          <w:w w:val="143"/>
        </w:rPr>
        <w:t>$</w:t>
      </w:r>
      <w:r>
        <w:rPr>
          <w:color w:val="CC2D31"/>
          <w:w w:val="225"/>
        </w:rPr>
        <w:t>"</w:t>
      </w:r>
    </w:p>
    <w:p>
      <w:pPr>
        <w:pStyle w:val="BodyText"/>
        <w:spacing w:before="4"/>
        <w:rPr>
          <w:rFonts w:ascii="Arial"/>
          <w:sz w:val="14"/>
        </w:rPr>
      </w:pPr>
      <w:r>
        <w:rPr/>
        <w:br w:type="column"/>
      </w:r>
      <w:r>
        <w:rPr>
          <w:rFonts w:ascii="Arial"/>
          <w:sz w:val="14"/>
        </w:rPr>
      </w:r>
    </w:p>
    <w:p>
      <w:pPr>
        <w:spacing w:before="0"/>
        <w:ind w:left="124" w:right="0" w:firstLine="0"/>
        <w:jc w:val="left"/>
        <w:rPr>
          <w:rFonts w:ascii="Arial"/>
          <w:sz w:val="14"/>
        </w:rPr>
      </w:pPr>
      <w:r>
        <w:rPr>
          <w:rFonts w:ascii="Arial"/>
          <w:w w:val="105"/>
          <w:sz w:val="14"/>
        </w:rPr>
        <w:t>Roundabout (3)</w:t>
      </w:r>
    </w:p>
    <w:p>
      <w:pPr>
        <w:pStyle w:val="BodyText"/>
        <w:spacing w:before="5"/>
        <w:rPr>
          <w:rFonts w:ascii="Arial"/>
          <w:sz w:val="14"/>
        </w:rPr>
      </w:pPr>
    </w:p>
    <w:p>
      <w:pPr>
        <w:spacing w:before="0"/>
        <w:ind w:left="124" w:right="0" w:firstLine="0"/>
        <w:jc w:val="left"/>
        <w:rPr>
          <w:rFonts w:ascii="Arial"/>
          <w:sz w:val="14"/>
        </w:rPr>
      </w:pPr>
      <w:r>
        <w:rPr>
          <w:rFonts w:ascii="Arial"/>
          <w:w w:val="105"/>
          <w:sz w:val="14"/>
        </w:rPr>
        <w:t>Not Signalized (29)</w:t>
      </w:r>
    </w:p>
    <w:p>
      <w:pPr>
        <w:spacing w:line="420" w:lineRule="auto" w:before="138"/>
        <w:ind w:left="124" w:right="13" w:firstLine="0"/>
        <w:jc w:val="left"/>
        <w:rPr>
          <w:rFonts w:ascii="Arial"/>
          <w:sz w:val="14"/>
        </w:rPr>
      </w:pPr>
      <w:r>
        <w:rPr>
          <w:rFonts w:ascii="Arial"/>
          <w:w w:val="105"/>
          <w:sz w:val="14"/>
        </w:rPr>
        <w:t>Other Freeway - Expressway (14.87 Miles) Principal Arterial (15.57 Miles)</w:t>
      </w:r>
    </w:p>
    <w:p>
      <w:pPr>
        <w:spacing w:line="424" w:lineRule="auto" w:before="7"/>
        <w:ind w:left="124" w:right="920" w:firstLine="0"/>
        <w:jc w:val="left"/>
        <w:rPr>
          <w:rFonts w:ascii="Arial"/>
          <w:sz w:val="14"/>
        </w:rPr>
      </w:pPr>
      <w:r>
        <w:rPr>
          <w:rFonts w:ascii="Arial"/>
          <w:w w:val="105"/>
          <w:sz w:val="14"/>
        </w:rPr>
        <w:t>Minor Arterial (28.62 Miles) Major Collector (18.61 Miles) Minor Collector (4.36 Miles) Local Streets (191.97 Miles)</w:t>
      </w:r>
    </w:p>
    <w:p>
      <w:pPr>
        <w:pStyle w:val="BodyText"/>
        <w:rPr>
          <w:rFonts w:ascii="Arial"/>
          <w:sz w:val="40"/>
        </w:rPr>
      </w:pPr>
      <w:r>
        <w:rPr/>
        <w:br w:type="column"/>
      </w:r>
      <w:r>
        <w:rPr>
          <w:rFonts w:ascii="Arial"/>
          <w:sz w:val="40"/>
        </w:rPr>
      </w:r>
    </w:p>
    <w:p>
      <w:pPr>
        <w:pStyle w:val="BodyText"/>
        <w:rPr>
          <w:rFonts w:ascii="Arial"/>
          <w:sz w:val="40"/>
        </w:rPr>
      </w:pPr>
    </w:p>
    <w:p>
      <w:pPr>
        <w:pStyle w:val="BodyText"/>
        <w:rPr>
          <w:rFonts w:ascii="Arial"/>
          <w:sz w:val="40"/>
        </w:rPr>
      </w:pPr>
    </w:p>
    <w:p>
      <w:pPr>
        <w:pStyle w:val="BodyText"/>
        <w:spacing w:before="8"/>
        <w:rPr>
          <w:rFonts w:ascii="Arial"/>
          <w:sz w:val="58"/>
        </w:rPr>
      </w:pPr>
    </w:p>
    <w:p>
      <w:pPr>
        <w:spacing w:line="425" w:lineRule="exact" w:before="0"/>
        <w:ind w:left="0" w:right="38" w:firstLine="0"/>
        <w:jc w:val="right"/>
        <w:rPr>
          <w:rFonts w:ascii="Arial" w:hAnsi="Arial"/>
          <w:b/>
          <w:sz w:val="11"/>
        </w:rPr>
      </w:pPr>
      <w:r>
        <w:rPr/>
        <w:pict>
          <v:shape style="position:absolute;margin-left:509.789154pt;margin-top:-11.7995pt;width:29.1pt;height:6.65pt;mso-position-horizontal-relative:page;mso-position-vertical-relative:paragraph;z-index:251787264;rotation:1" type="#_x0000_t136" fillcolor="#4d4d4d" stroked="f">
            <o:extrusion v:ext="view" autorotationcenter="t"/>
            <v:textpath style="font-family:&quot;Century Gothic&quot;;font-size:6pt;v-text-kern:t;mso-text-shadow:auto;font-weight:bold" string="Reata Rd"/>
            <w10:wrap type="none"/>
          </v:shape>
        </w:pict>
      </w:r>
      <w:r>
        <w:rPr>
          <w:rFonts w:ascii="Arial" w:hAnsi="Arial"/>
          <w:color w:val="FF0000"/>
          <w:spacing w:val="-284"/>
          <w:w w:val="127"/>
          <w:position w:val="1"/>
          <w:sz w:val="40"/>
        </w:rPr>
        <w:t>§</w:t>
      </w:r>
      <w:r>
        <w:rPr>
          <w:rFonts w:ascii="Arial" w:hAnsi="Arial"/>
          <w:color w:val="0000FF"/>
          <w:spacing w:val="-284"/>
          <w:w w:val="212"/>
          <w:sz w:val="40"/>
        </w:rPr>
        <w:t>¨</w:t>
      </w:r>
      <w:r>
        <w:rPr>
          <w:rFonts w:ascii="Arial" w:hAnsi="Arial"/>
          <w:spacing w:val="-209"/>
          <w:w w:val="272"/>
          <w:sz w:val="40"/>
        </w:rPr>
        <w:t>¦</w:t>
      </w:r>
      <w:r>
        <w:rPr>
          <w:rFonts w:ascii="Arial" w:hAnsi="Arial"/>
          <w:b/>
          <w:color w:val="FFFFFF"/>
          <w:spacing w:val="-4"/>
          <w:w w:val="105"/>
          <w:position w:val="10"/>
          <w:sz w:val="11"/>
        </w:rPr>
        <w:t>8</w:t>
      </w:r>
      <w:r>
        <w:rPr>
          <w:rFonts w:ascii="Arial" w:hAnsi="Arial"/>
          <w:b/>
          <w:color w:val="FFFFFF"/>
          <w:w w:val="105"/>
          <w:position w:val="10"/>
          <w:sz w:val="11"/>
        </w:rPr>
        <w:t>2</w:t>
      </w:r>
    </w:p>
    <w:p>
      <w:pPr>
        <w:pStyle w:val="BodyText"/>
        <w:rPr>
          <w:rFonts w:ascii="Arial"/>
          <w:b/>
          <w:sz w:val="30"/>
        </w:rPr>
      </w:pPr>
      <w:r>
        <w:rPr/>
        <w:br w:type="column"/>
      </w:r>
      <w:r>
        <w:rPr>
          <w:rFonts w:ascii="Arial"/>
          <w:b/>
          <w:sz w:val="30"/>
        </w:rPr>
      </w:r>
    </w:p>
    <w:p>
      <w:pPr>
        <w:pStyle w:val="BodyText"/>
        <w:rPr>
          <w:rFonts w:ascii="Arial"/>
          <w:b/>
          <w:sz w:val="30"/>
        </w:rPr>
      </w:pPr>
    </w:p>
    <w:p>
      <w:pPr>
        <w:pStyle w:val="BodyText"/>
        <w:rPr>
          <w:rFonts w:ascii="Arial"/>
          <w:b/>
          <w:sz w:val="30"/>
        </w:rPr>
      </w:pPr>
    </w:p>
    <w:p>
      <w:pPr>
        <w:pStyle w:val="BodyText"/>
        <w:rPr>
          <w:rFonts w:ascii="Arial"/>
          <w:b/>
          <w:sz w:val="30"/>
        </w:rPr>
      </w:pPr>
    </w:p>
    <w:p>
      <w:pPr>
        <w:pStyle w:val="BodyText"/>
        <w:spacing w:before="9"/>
        <w:rPr>
          <w:rFonts w:ascii="Arial"/>
          <w:b/>
          <w:sz w:val="44"/>
        </w:rPr>
      </w:pPr>
    </w:p>
    <w:p>
      <w:pPr>
        <w:pStyle w:val="Heading8"/>
        <w:ind w:right="38"/>
        <w:jc w:val="right"/>
      </w:pPr>
      <w:r>
        <w:rPr>
          <w:color w:val="FFFFFF"/>
          <w:spacing w:val="-249"/>
          <w:w w:val="143"/>
        </w:rPr>
        <w:t>$</w:t>
      </w:r>
      <w:r>
        <w:rPr>
          <w:color w:val="FFFFFF"/>
          <w:spacing w:val="-249"/>
          <w:w w:val="287"/>
        </w:rPr>
        <w:t>!</w:t>
      </w:r>
      <w:r>
        <w:rPr>
          <w:color w:val="CC2D31"/>
          <w:w w:val="225"/>
        </w:rPr>
        <w:t>"</w:t>
      </w:r>
    </w:p>
    <w:p>
      <w:pPr>
        <w:pStyle w:val="BodyText"/>
        <w:spacing w:before="4"/>
        <w:rPr>
          <w:rFonts w:ascii="Arial"/>
          <w:sz w:val="43"/>
        </w:rPr>
      </w:pPr>
      <w:r>
        <w:rPr/>
        <w:br w:type="column"/>
      </w:r>
      <w:r>
        <w:rPr>
          <w:rFonts w:ascii="Arial"/>
          <w:sz w:val="43"/>
        </w:rPr>
      </w:r>
    </w:p>
    <w:p>
      <w:pPr>
        <w:spacing w:before="0"/>
        <w:ind w:left="0" w:right="0" w:firstLine="0"/>
        <w:jc w:val="right"/>
        <w:rPr>
          <w:rFonts w:ascii="Arial" w:hAnsi="Arial"/>
          <w:sz w:val="31"/>
        </w:rPr>
      </w:pPr>
      <w:r>
        <w:rPr>
          <w:rFonts w:ascii="Arial" w:hAnsi="Arial"/>
          <w:color w:val="4CE500"/>
          <w:spacing w:val="-232"/>
          <w:w w:val="134"/>
          <w:sz w:val="31"/>
        </w:rPr>
        <w:t>ë</w:t>
      </w:r>
      <w:r>
        <w:rPr>
          <w:rFonts w:ascii="Arial" w:hAnsi="Arial"/>
          <w:color w:val="FFFF00"/>
          <w:spacing w:val="-232"/>
          <w:w w:val="268"/>
          <w:sz w:val="31"/>
        </w:rPr>
        <w:t>ì</w:t>
      </w:r>
      <w:r>
        <w:rPr>
          <w:rFonts w:ascii="Arial" w:hAnsi="Arial"/>
          <w:color w:val="CC2D31"/>
          <w:spacing w:val="-232"/>
          <w:w w:val="268"/>
          <w:sz w:val="31"/>
        </w:rPr>
        <w:t>í</w:t>
      </w:r>
      <w:r>
        <w:rPr>
          <w:rFonts w:ascii="Arial" w:hAnsi="Arial"/>
          <w:spacing w:val="-232"/>
          <w:w w:val="134"/>
          <w:sz w:val="31"/>
        </w:rPr>
        <w:t>è</w:t>
      </w:r>
      <w:r>
        <w:rPr>
          <w:rFonts w:ascii="Arial" w:hAnsi="Arial"/>
          <w:color w:val="FFFFFF"/>
          <w:w w:val="134"/>
          <w:sz w:val="31"/>
        </w:rPr>
        <w:t>é</w:t>
      </w:r>
    </w:p>
    <w:p>
      <w:pPr>
        <w:pStyle w:val="BodyText"/>
        <w:rPr>
          <w:rFonts w:ascii="Arial"/>
          <w:sz w:val="26"/>
        </w:rPr>
      </w:pPr>
      <w:r>
        <w:rPr/>
        <w:br w:type="column"/>
      </w:r>
      <w:r>
        <w:rPr>
          <w:rFonts w:ascii="Arial"/>
          <w:sz w:val="26"/>
        </w:rPr>
      </w:r>
    </w:p>
    <w:p>
      <w:pPr>
        <w:pStyle w:val="BodyText"/>
        <w:rPr>
          <w:rFonts w:ascii="Arial"/>
          <w:sz w:val="26"/>
        </w:rPr>
      </w:pPr>
    </w:p>
    <w:p>
      <w:pPr>
        <w:spacing w:before="210"/>
        <w:ind w:left="348" w:right="0" w:firstLine="0"/>
        <w:jc w:val="left"/>
        <w:rPr>
          <w:rFonts w:ascii="Arial"/>
          <w:sz w:val="24"/>
        </w:rPr>
      </w:pPr>
      <w:r>
        <w:rPr>
          <w:rFonts w:ascii="Arial"/>
          <w:emboss/>
          <w:color w:val="757576"/>
          <w:sz w:val="24"/>
        </w:rPr>
        <w:t>K</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w</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k</w:t>
      </w:r>
    </w:p>
    <w:p>
      <w:pPr>
        <w:spacing w:after="0"/>
        <w:jc w:val="left"/>
        <w:rPr>
          <w:rFonts w:ascii="Arial"/>
          <w:sz w:val="24"/>
        </w:rPr>
        <w:sectPr>
          <w:type w:val="continuous"/>
          <w:pgSz w:w="15840" w:h="24480"/>
          <w:pgMar w:top="1480" w:bottom="1320" w:left="0" w:right="0"/>
          <w:cols w:num="6" w:equalWidth="0">
            <w:col w:w="1387" w:space="40"/>
            <w:col w:w="2943" w:space="3126"/>
            <w:col w:w="1376" w:space="840"/>
            <w:col w:w="1424" w:space="157"/>
            <w:col w:w="1367" w:space="40"/>
            <w:col w:w="3140"/>
          </w:cols>
        </w:sectPr>
      </w:pPr>
    </w:p>
    <w:p>
      <w:pPr>
        <w:spacing w:line="190" w:lineRule="exact" w:before="0"/>
        <w:ind w:left="1052" w:right="0" w:firstLine="0"/>
        <w:jc w:val="left"/>
        <w:rPr>
          <w:rFonts w:ascii="Arial"/>
          <w:b/>
          <w:sz w:val="19"/>
        </w:rPr>
      </w:pPr>
      <w:r>
        <w:rPr/>
        <w:pict>
          <v:group style="position:absolute;margin-left:35.03252pt;margin-top:35.445774pt;width:721.85pt;height:1153.1pt;mso-position-horizontal-relative:page;mso-position-vertical-relative:page;z-index:-268251136" coordorigin="701,709" coordsize="14437,23062">
            <v:rect style="position:absolute;left:720;top:2879;width:14401;height:20880" filled="true" fillcolor="#e5e2cf" stroked="false">
              <v:fill type="solid"/>
            </v:rect>
            <v:shape style="position:absolute;left:717;top:3275;width:14412;height:20493" type="#_x0000_t75" stroked="false">
              <v:imagedata r:id="rId126" o:title=""/>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3.04631pt" strokecolor="#cccccc">
              <v:path arrowok="t"/>
              <v:stroke dashstyle="solid"/>
            </v:shape>
            <v:shape style="position:absolute;left:9568;top:5928;width:194;height:150" type="#_x0000_t75" stroked="false">
              <v:imagedata r:id="rId127"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3.04631pt" strokecolor="#cccccc">
              <v:path arrowok="t"/>
              <v:stroke dashstyle="solid"/>
            </v:shape>
            <v:shape style="position:absolute;left:13334;top:19254;width:338;height:161" type="#_x0000_t75" stroked="false">
              <v:imagedata r:id="rId128"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3.04631pt" strokecolor="#cccccc">
              <v:path arrowok="t"/>
              <v:stroke dashstyle="solid"/>
            </v:shape>
            <v:shape style="position:absolute;left:714;top:2871;width:14421;height:20858" type="#_x0000_t75" stroked="false">
              <v:imagedata r:id="rId129" o:title=""/>
            </v:shape>
            <v:shape style="position:absolute;left:1473;top:5100;width:3451;height:1047" coordorigin="1473,5101" coordsize="3451,1047" path="m1473,5129l1479,5123,1479,5117,1484,5117,1484,5112,1490,5112,1490,5106,1495,5106,1501,5106,1501,5101,1540,5101,4924,6148e" filled="false" stroked="true" strokeweight=".55387pt" strokecolor="#b2b2b2">
              <v:path arrowok="t"/>
              <v:stroke dashstyle="solid"/>
            </v:shape>
            <v:shape style="position:absolute;left:714;top:4549;width:14418;height:19222" type="#_x0000_t75" stroked="false">
              <v:imagedata r:id="rId130" o:title=""/>
            </v:shape>
            <v:line style="position:absolute" from="10058,5943" to="10058,6308" stroked="true" strokeweight="2.21549pt" strokecolor="#b2b2b2">
              <v:stroke dashstyle="solid"/>
            </v:line>
            <v:shape style="position:absolute;left:9377;top:3223;width:809;height:2172" coordorigin="9377,3223" coordsize="809,2172" path="m10186,5394l10186,5300m10186,5300l10180,5151,10180,5068,10180,5057m9405,4209l9388,4209m9410,4647l9388,4647m9377,3223l9388,4209m9405,4209l9394,3223e" filled="false" stroked="true" strokeweight=".55387pt" strokecolor="#b2b2b2">
              <v:path arrowok="t"/>
              <v:stroke dashstyle="solid"/>
            </v:shape>
            <v:shape style="position:absolute;left:9367;top:2874;width:199;height:421" type="#_x0000_t75" stroked="false">
              <v:imagedata r:id="rId65" o:title=""/>
            </v:shape>
            <v:shape style="position:absolute;left:720;top:16127;width:4509;height:5212" coordorigin="720,16128" coordsize="4509,5212" path="m4708,20187l4658,20071,4553,19789,4492,19623,3966,18155,3827,17861,3700,17673,3512,17479,2243,16571m2243,16571l2238,16565,2232,16565,2227,16560,2221,16554,2215,16554,2210,16549,2204,16543,2199,16543,2193,16538,2188,16532,2182,16532,2177,16527,2171,16521,2166,16521,2160,16516,2155,16510,2149,16510,2143,16504,2138,16499,2132,16499,2127,16493,2121,16488,2116,16488,2110,16482,2105,16482,2099,16477,2094,16471,2088,16471,2083,16466,2077,16466,2071,16460,2066,16455,2060,16455,2055,16449,2049,16449,2044,16444,2038,16438,2033,16438,2027,16432,2022,16432,2016,16427,2011,16427,2005,16421,1999,16421,1994,16416,1988,16410,1983,16410,1977,16405,1972,16405,1966,16399,1961,16399,1955,16394,1950,16394,1944,16388,1939,16388,1933,16383,1927,16383,1922,16377,1916,16377,1911,16372,1905,16372,1900,16366,1894,16366,1889,16360,1883,16360,1878,16355,1872,16355,1867,16349,1861,16349,1855,16344,1850,16344,1844,16344,1839,16338,1833,16338,1828,16333,1822,16333,1817,16327,1811,16327,1806,16322,1800,16322,1795,16322,1789,16316,1783,16316,1778,16311,1772,16311,1767,16311,1761,16305,1756,16305,1750,16300,1745,16300,1739,16294,1734,16294,1728,16294,1723,16288,1717,16288,1711,16288,1706,16283,1700,16283,1695,16277,1689,16277,1684,16277,1678,16272,1673,16272,1667,16272,1662,16266,1656,16266,1651,16261,1645,16261,1639,16261,1634,16255,1628,16255,1623,16255,1617,16250,1612,16250,1606,16250,1601,16244,1595,16244,1590,16244,1584,16239,1579,16239,1573,16239,1567,16233,1562,16233,1556,16233,1551,16233,1545,16228,1540,16228,1534,16228,1529,16222,1523,16222,1518,16222,1512,16222,1507,16216,1501,16216,1495,16216,1490,16211,1484,16211,1479,16211,1473,16211,1468,16205,1462,16205,1457,16205,1451,16205,1446,16200,1440,16200,1435,16200,1429,16200,1423,16194,1418,16194,1412,16194,1407,16194,1401,16189,1396,16189,1390,16189,1385,16189,1379,16183,1374,16183,1368,16183,1363,16183,1357,16183,1351,16178,1346,16178,1340,16178,1335,16178,1329,16172,1324,16172,1318,16172,1313,16172,1307,16172,1302,16172,1296,16167,1291,16167,1285,16167,1279,16167,1274,16167,1268,16161,1263,16161,1257,16161,1252,16161,1246,16161,1241,16161,1235,16156,1230,16156,1224,16156,1219,16156,1213,16156,1207,16156,1202,16150,1196,16150,1191,16150,1185,16150,1180,16150,1174,16150,1169,16150,1163,16150,1158,16144,1152,16144,1147,16144,1141,16144,1135,16144,1130,16144,1124,16144,1119,16144,1113,16139,1108,16139,1102,16139,1097,16139,1091,16139,1086,16139,1080,16139,1075,16139,1069,16139,1063,16139,1058,16139,1052,16133,1047,16133,1041,16133,1036,16133,1030,16133,1025,16133,1019,16133,1014,16133,1008,16133,1003,16133,997,16133,991,16133,986,16133,980,16133,975,16133,969,16128,964,16128,958,16128,953,16128,947,16128,942,16128,936,16128,931,16128,925,16128,919,16128,914,16128,908,16128,903,16128,897,16128,892,16128,886,16128,881,16128,875,16128,870,16128,864,16128,859,16128,853,16128,847,16128,842,16128,836,16128,831,16128,825,16128,820,16128,814,16128,809,16128,803,16128,798,16128,792,16128,787,16128,781,16128,775,16128,770,16128,764,16128,759,16128,753,16128,748,16128,742,16133,737,16133,731,16133,726,16133,720,16133m4896,20880l4941,20913m4941,20913l4974,20952m4974,20952l5079,21123,5229,21339m4896,20880l4852,20835m4852,20835l4846,20830,4841,20824,4835,20819,4835,20813,4830,20808,4824,20802,4824,20797,4819,20791,4819,20786,4819,20780,4819,20775,4813,20769,4813,20763,4813,20758,4813,20752,4813,20747,4813,20741e" filled="false" stroked="true" strokeweight=".55387pt" strokecolor="#b2b2b2">
              <v:path arrowok="t"/>
              <v:stroke dashstyle="solid"/>
            </v:shape>
            <v:line style="position:absolute" from="4819,20631" to="4819,20747" stroked="true" strokeweight="1.10774pt" strokecolor="#b2b2b2">
              <v:stroke dashstyle="solid"/>
            </v:line>
            <v:shape style="position:absolute;left:4431;top:19639;width:466;height:1280" coordorigin="4431,19639" coordsize="466,1280" path="m4824,20636l4824,20631,4824,20625,4824,20619,4824,20614,4824,20608,4824,20603,4824,20597,4824,20592,4824,20586,4824,20581,4819,20575,4819,20570,4819,20564,4819,20559,4819,20553,4813,20547m4813,20547l4725,20304m4896,20880l4863,20919m4431,19639l4597,20088,4730,20403e" filled="false" stroked="true" strokeweight=".55387pt" strokecolor="#b2b2b2">
              <v:path arrowok="t"/>
              <v:stroke dashstyle="solid"/>
            </v:shape>
            <v:shape style="position:absolute;left:4724;top:20397;width:144;height:527" type="#_x0000_t75" stroked="false">
              <v:imagedata r:id="rId66" o:title=""/>
            </v:shape>
            <v:shape style="position:absolute;left:4702;top:7404;width:527;height:13935" coordorigin="4702,7405" coordsize="527,13935" path="m5229,21339l5157,21223,5051,21018,4957,20813m4957,20813l4785,20431,4725,20304m4907,7427l4725,7421m4725,7421l4719,7421,4713,7421,4708,7416,4702,7410,4702,7405e" filled="false" stroked="true" strokeweight=".55387pt" strokecolor="#b2b2b2">
              <v:path arrowok="t"/>
              <v:stroke dashstyle="solid"/>
            </v:shape>
            <v:shape style="position:absolute;left:8452;top:19107;width:205;height:493" type="#_x0000_t75" stroked="false">
              <v:imagedata r:id="rId67" o:title=""/>
            </v:shape>
            <v:shape style="position:absolute;left:9565;top:18492;width:637;height:178" type="#_x0000_t75" stroked="false">
              <v:imagedata r:id="rId68" o:title=""/>
            </v:shape>
            <v:shape style="position:absolute;left:8795;top:19107;width:183;height:311" type="#_x0000_t75" stroked="false">
              <v:imagedata r:id="rId69" o:title=""/>
            </v:shape>
            <v:shape style="position:absolute;left:9150;top:19528;width:111;height:78" coordorigin="9150,19528" coordsize="111,78" path="m9150,19595l9167,19595m9167,19595l9183,19589m9183,19589l9205,19573m9205,19573l9211,19573m9211,19573l9228,19545m9228,19545l9233,19540,9239,19534,9244,19534,9250,19528,9255,19528,9261,19528m9211,19573l9216,19584m9216,19584l9222,19589,9228,19595,9233,19595,9239,19600,9244,19600,9250,19606,9255,19606,9261,19606e" filled="false" stroked="true" strokeweight=".55387pt" strokecolor="#b2b2b2">
              <v:path arrowok="t"/>
              <v:stroke dashstyle="solid"/>
            </v:shape>
            <v:line style="position:absolute" from="9255,19609" to="9399,19609" stroked="true" strokeweight=".83079pt" strokecolor="#b2b2b2">
              <v:stroke dashstyle="solid"/>
            </v:line>
            <v:line style="position:absolute" from="9394,19611" to="9399,19611" stroked="true" strokeweight=".55387pt" strokecolor="#b2b2b2">
              <v:stroke dashstyle="solid"/>
            </v:line>
            <v:line style="position:absolute" from="9402,19606" to="9402,19617" stroked="true" strokeweight=".27693pt" strokecolor="#b2b2b2">
              <v:stroke dashstyle="solid"/>
            </v:line>
            <v:shape style="position:absolute;left:8884;top:8556;width:1225;height:10385" coordorigin="8884,8557" coordsize="1225,10385" path="m9970,8557l9837,8557m9970,8557l10108,8557m8945,18941l8912,18936m8912,18936l8895,18936m8895,18936l8890,18936,8884,18930,8884,18925e" filled="false" stroked="true" strokeweight=".55387pt" strokecolor="#b2b2b2">
              <v:path arrowok="t"/>
              <v:stroke dashstyle="solid"/>
            </v:shape>
            <v:line style="position:absolute" from="8881,18869" to="8881,18930" stroked="true" strokeweight=".83081pt" strokecolor="#b2b2b2">
              <v:stroke dashstyle="solid"/>
            </v:line>
            <v:shape style="position:absolute;left:8812;top:18858;width:106;height:17" coordorigin="8812,18858" coordsize="106,17" path="m8917,18869l8912,18869,8906,18869,8901,18869,8895,18869,8895,18875,8890,18875,8884,18875,8879,18875m8812,18858l8818,18858,8823,18864,8829,18864,8834,18869,8840,18869,8845,18869,8851,18869,8856,18875,8862,18875,8868,18875,8873,18875,8879,18875,8879,18875e" filled="false" stroked="true" strokeweight=".55387pt" strokecolor="#b2b2b2">
              <v:path arrowok="t"/>
              <v:stroke dashstyle="solid"/>
            </v:shape>
            <v:shape style="position:absolute;left:8717;top:17052;width:455;height:493" type="#_x0000_t75" stroked="false">
              <v:imagedata r:id="rId70" o:title=""/>
            </v:shape>
            <v:shape style="position:absolute;left:9809;top:13635;width:3700;height:6636" coordorigin="9809,13636" coordsize="3700,6636" path="m9942,13807l9997,13929,10003,13940,10009,13951,10014,13962,10014,13973,10020,13984,10020,13996,10025,14007,10025,14018,10031,14029,10031,14040,10031,14051,10031,14062,10031,14073,10031,14079m10031,13768l9942,13807m9809,13652l9864,13636,9942,13807m10003,20271l10020,20254,10025,20248,10031,20243,10036,20243,10042,20237,10047,20237,10053,20232,10119,20199m13503,17202l13509,17202m13509,17202l13509,17202m9809,13708l9809,13785m9809,13918l9815,14084e" filled="false" stroked="true" strokeweight=".55387pt" strokecolor="#b2b2b2">
              <v:path arrowok="t"/>
              <v:stroke dashstyle="solid"/>
            </v:shape>
            <v:shape style="position:absolute;left:12218;top:20730;width:167;height:394" type="#_x0000_t75" stroked="false">
              <v:imagedata r:id="rId71" o:title=""/>
            </v:shape>
            <v:line style="position:absolute" from="13498,17202" to="13503,17202" stroked="true" strokeweight=".55387pt" strokecolor="#b2b2b2">
              <v:stroke dashstyle="solid"/>
            </v:line>
            <v:shape style="position:absolute;left:12716;top:21494;width:427;height:211" type="#_x0000_t75" stroked="false">
              <v:imagedata r:id="rId72" o:title=""/>
            </v:shape>
            <v:shape style="position:absolute;left:7959;top:9902;width:4587;height:11282" coordorigin="7959,9903" coordsize="4587,11282" path="m8087,18133l8075,18127,7998,18127,7976,18133,7959,18133m8219,9991l8286,9903m8685,10185l8624,10268,8624,10274,8618,10274,8219,9991m8219,9991l8131,10124m8286,9903l8685,10185m8685,10185l8701,10196m12545,21184l12534,21162e" filled="false" stroked="true" strokeweight=".55387pt" strokecolor="#b2b2b2">
              <v:path arrowok="t"/>
              <v:stroke dashstyle="solid"/>
            </v:shape>
            <v:line style="position:absolute" from="13163,20991" to="13163,21051" stroked="true" strokeweight=".83081pt" strokecolor="#b2b2b2">
              <v:stroke dashstyle="solid"/>
            </v:line>
            <v:shape style="position:absolute;left:12611;top:21045;width:554;height:117" coordorigin="12612,21046" coordsize="554,117" path="m13166,21046l13166,21051,13166,21057,13166,21063,13166,21068,13160,21074,13160,21079,13160,21085,13155,21090,13155,21096,13149,21101,13149,21107,13143,21112,13138,21118,13132,21123,13127,21129,13121,21135,13116,21140,13110,21140,13105,21146,13099,21146,13094,21151,13088,21151,13083,21151,13077,21157,13071,21157,13066,21157,13060,21157,13055,21157,13049,21157m13049,21157l12656,21162,12628,21162,12617,21162,12612,21162e" filled="false" stroked="true" strokeweight=".55387pt" strokecolor="#b2b2b2">
              <v:path arrowok="t"/>
              <v:stroke dashstyle="solid"/>
            </v:shape>
            <v:shape style="position:absolute;left:12506;top:21079;width:222;height:626" type="#_x0000_t75" stroked="false">
              <v:imagedata r:id="rId73" o:title=""/>
            </v:shape>
            <v:shape style="position:absolute;left:9005;top:17135;width:1197;height:3141" coordorigin="9006,17136" coordsize="1197,3141" path="m9892,17501l9765,17435,9715,17407,9665,17380,9610,17357,9554,17341,9482,17313m9482,17313l9006,17136m10119,20199l10130,20215m10130,20215l10158,20248m10158,20248l10164,20254,10169,20259,10175,20265,10180,20271,10186,20271,10191,20271,10197,20276,10202,20276m10114,20088l10114,20165,10114,20171,10114,20176,10114,20182,10114,20187,10119,20193,10119,20199,10119,20199e" filled="false" stroked="true" strokeweight=".55387pt" strokecolor="#b2b2b2">
              <v:path arrowok="t"/>
              <v:stroke dashstyle="solid"/>
            </v:shape>
            <v:shape style="position:absolute;left:9964;top:20292;width:133;height:128" type="#_x0000_t75" stroked="false">
              <v:imagedata r:id="rId74" o:title=""/>
            </v:shape>
            <v:shape style="position:absolute;left:8501;top:20802;width:261;height:261" type="#_x0000_t75" stroked="false">
              <v:imagedata r:id="rId75" o:title=""/>
            </v:shape>
            <v:shape style="position:absolute;left:8839;top:19207;width:577;height:372" type="#_x0000_t75" stroked="false">
              <v:imagedata r:id="rId76" o:title=""/>
            </v:shape>
            <v:shape style="position:absolute;left:10257;top:8257;width:200;height:294" coordorigin="10258,8258" coordsize="200,294" path="m10269,8551l10302,8551,10308,8551,10313,8551,10319,8546,10324,8546,10324,8540,10457,8407m10269,8551l10258,8258e" filled="false" stroked="true" strokeweight=".55387pt" strokecolor="#b2b2b2">
              <v:path arrowok="t"/>
              <v:stroke dashstyle="solid"/>
            </v:shape>
            <v:shape style="position:absolute;left:13495;top:17191;width:2;height:12" coordorigin="13495,17191" coordsize="0,12" path="m13495,17191l13495,17202m13495,17191l13495,17202m13495,17191l13495,17202e" filled="false" stroked="true" strokeweight=".27693pt" strokecolor="#b2b2b2">
              <v:path arrowok="t"/>
              <v:stroke dashstyle="solid"/>
            </v:shape>
            <v:line style="position:absolute" from="9538,4204" to="9615,4204" stroked="true" strokeweight=".55387pt" strokecolor="#b2b2b2">
              <v:stroke dashstyle="solid"/>
            </v:line>
            <v:line style="position:absolute" from="9657,4636" to="9657,4791" stroked="true" strokeweight=".8308pt" strokecolor="#b2b2b2">
              <v:stroke dashstyle="solid"/>
            </v:line>
            <v:shape style="position:absolute;left:9493;top:4441;width:4016;height:12755" coordorigin="9493,4442" coordsize="4016,12755" path="m13492,17197l13509,17197m13498,17197l13509,17197m13509,17197l13492,17197m13492,17197l13509,17197m13509,17197l13492,17197m13509,17197l13492,17197m13492,17197l13509,17197m9504,4591l9499,4547m9499,4547l9493,4519m9493,4519l9493,4464m9493,4464l9499,4442e" filled="false" stroked="true" strokeweight=".55387pt" strokecolor="#b2b2b2">
              <v:path arrowok="t"/>
              <v:stroke dashstyle="solid"/>
            </v:shape>
            <v:line style="position:absolute" from="9504,4591" to="9504,4829" stroked="true" strokeweight=".55387pt" strokecolor="#b2b2b2">
              <v:stroke dashstyle="solid"/>
            </v:line>
            <v:line style="position:absolute" from="10834,20320" to="10861,20320" stroked="true" strokeweight=".55387pt" strokecolor="#b2b2b2">
              <v:stroke dashstyle="solid"/>
            </v:line>
            <v:shape style="position:absolute;left:9366;top:21444;width:194;height:394" type="#_x0000_t75" stroked="false">
              <v:imagedata r:id="rId78" o:title=""/>
            </v:shape>
            <v:shape style="position:absolute;left:8064;top:11575;width:244;height:211" type="#_x0000_t75" stroked="false">
              <v:imagedata r:id="rId79" o:title=""/>
            </v:shape>
            <v:shape style="position:absolute;left:9493;top:19439;width:167;height:6" coordorigin="9493,19440" coordsize="167,6" path="m9560,19445l9615,19445,9621,19445,9626,19445,9632,19445,9637,19445,9660,19440m9560,19445l9493,19445e" filled="false" stroked="true" strokeweight=".55387pt" strokecolor="#b2b2b2">
              <v:path arrowok="t"/>
              <v:stroke dashstyle="solid"/>
            </v:shape>
            <v:shape style="position:absolute;left:8330;top:19683;width:139;height:294" type="#_x0000_t75" stroked="false">
              <v:imagedata r:id="rId80" o:title=""/>
            </v:shape>
            <v:shape style="position:absolute;left:13492;top:17202;width:17;height:6" coordorigin="13492,17202" coordsize="17,6" path="m13509,17202l13498,17202m13503,17202l13492,17208e" filled="false" stroked="true" strokeweight=".55387pt" strokecolor="#b2b2b2">
              <v:path arrowok="t"/>
              <v:stroke dashstyle="solid"/>
            </v:shape>
            <v:shape style="position:absolute;left:12406;top:21178;width:144;height:122" type="#_x0000_t75" stroked="false">
              <v:imagedata r:id="rId81" o:title=""/>
            </v:shape>
            <v:shape style="position:absolute;left:8308;top:19107;width:255;height:477" type="#_x0000_t75" stroked="false">
              <v:imagedata r:id="rId82" o:title=""/>
            </v:shape>
            <v:shape style="position:absolute;left:8031;top:17191;width:5489;height:5589" coordorigin="8031,17191" coordsize="5489,5589" path="m13509,17208l13520,17208m13509,17208l13492,17208m13492,17208l13509,17208m13492,17208l13509,17208m13492,17208l13509,17208m13492,17208l13509,17208m13492,17208l13509,17208m13509,17208l13492,17208m13492,17208l13509,17208m13509,17208l13492,17208m13492,17208l13509,17208m13492,17208l13509,17208m13492,17208l13509,17208m13509,17208l13492,17208m13509,17208l13492,17208m13509,17208l13492,17208m13492,17208l13509,17208m13509,17208l13492,17208m13509,17202l13498,17197m13509,17197l13498,17197m13492,17191l13503,17197m13503,17197l13498,17197m13503,17202l13498,17197m13509,17202l13492,17202m13509,17197l13487,17197m13487,17197l13503,17197m13498,17202l13503,17197m13498,17197l13498,17197m13498,17202l13492,17197m13503,17197l13492,17197m13509,17197l13492,17197m13509,17197l13492,17197m13492,17197l13509,17197m13492,17197l13509,17197m8303,22392l8303,22497,8303,22591m8303,22591l8308,22779m8303,22591l8208,22591,8070,22591,8031,22602m9228,22619l9222,22619,9216,22624,9211,22624,9205,22630,9200,22630,9194,22635,9189,22635,9183,22635,9178,22641,9172,22641,9167,22641,9161,22641,9156,22641,8784,22641e" filled="false" stroked="true" strokeweight=".55387pt" strokecolor="#b2b2b2">
              <v:path arrowok="t"/>
              <v:stroke dashstyle="solid"/>
            </v:shape>
            <v:line style="position:absolute" from="8784,22569" to="8784,22663" stroked="true" strokeweight=".55387pt" strokecolor="#b2b2b2">
              <v:stroke dashstyle="solid"/>
            </v:line>
            <v:shape style="position:absolute;left:4347;top:20918;width:5024;height:1762" coordorigin="4348,20919" coordsize="5024,1762" path="m9228,22619l9211,22597,9205,22591,9200,22591,9200,22586,9194,22586,9194,22580,9189,22580,9183,22575,9178,22575,9172,22575,9167,22569,9161,22569,9156,22569,9150,22569,9144,22569,9045,22569,8784,22569m9372,22386l8779,22386m8779,22386l8690,22386m8784,22569l8779,22491,8779,22386m8784,22663l8779,22669m8779,22669l8613,22674m8303,22680l8363,22674,8375,22680,8408,22674m4813,20968l4774,21013m4774,21013l4769,21018,4769,21024,4763,21029,4758,21035,4752,21035,4747,21040,4741,21046,4736,21051,4730,21057,4725,21057,4719,21063,4713,21068,4708,21068,4702,21074,4697,21079,4691,21079,4686,21085,4680,21085,4675,21090,4669,21090,4664,21090,4658,21096,4653,21096,4647,21096,4641,21101,4636,21101,4630,21101,4625,21107,4619,21107,4614,21107,4608,21107,4603,21107,4597,21112,4592,21112,4586,21112,4581,21112,4575,21112,4569,21112,4564,21112,4558,21112,4553,21112,4547,21112,4542,21112,4536,21112,4531,21112,4525,21112,4520,21112,4514,21107,4509,21107,4503,21107,4497,21107,4492,21107,4486,21101,4481,21101,4475,21101,4470,21096,4464,21096,4459,21096,4453,21090,4448,21090,4442,21090,4437,21085,4431,21085,4425,21079,4420,21079,4414,21074,4409,21068,4403,21074m4403,21074l4348,21040m4813,20968l4863,20919m5096,21389l5096,21384,5096,21378,5096,21373,5096,21367,5096,21362,5096,21356,5090,21351,5090,21345,5090,21339,5085,21334,5085,21328,5079,21323,5079,21317,5073,21312,5073,21306,5068,21301,5068,21295,5062,21290,5057,21284,5057,21279,5051,21273m5051,21273l4996,21212,4968,21168,4929,21123,4913,21079,4896,21051,4857,21007,4813,20968m5289,21777l5262,21744m5262,21744l5251,21727m5251,21727l5234,21699m5234,21699l5217,21683m5217,21683l5162,21616m5289,21777l5506,22021m5506,22021l5528,22054m5572,22148l5572,22143,5566,22137,5566,22131,5566,22126,5561,22120,5561,22115,5561,22109,5555,22104,5555,22098,5555,22093,5550,22087,5550,22082,5544,22076,5544,22071,5539,22065,5533,22059,5533,22054,5528,22054m5162,21616l5140,21594m5140,21594l5134,21589,5134,21583,5129,21578,5123,21572,5123,21567,5118,21561,5112,21555,5112,21550,5107,21544,5107,21539,5107,21533,5101,21528,5101,21522,5101,21517m5101,21517l5101,21511,5101,21506,5101,21500,5096,21495,5096,21489,5096,21483,5096,21478,5096,21472,5096,21467,5096,21461,5096,21456,5096,21450,5096,21445,5096,21439m5096,21439l5096,21389e" filled="false" stroked="true" strokeweight=".55387pt" strokecolor="#b2b2b2">
              <v:path arrowok="t"/>
              <v:stroke dashstyle="solid"/>
            </v:shape>
            <v:shape style="position:absolute;left:12268;top:20674;width:194;height:449" type="#_x0000_t75" stroked="false">
              <v:imagedata r:id="rId83" o:title=""/>
            </v:shape>
            <v:line style="position:absolute" from="13498,17191" to="13498,17191" stroked="true" strokeweight=".55387pt" strokecolor="#b2b2b2">
              <v:stroke dashstyle="solid"/>
            </v:line>
            <v:shape style="position:absolute;left:9836;top:20292;width:222;height:211" type="#_x0000_t75" stroked="false">
              <v:imagedata r:id="rId84" o:title=""/>
            </v:shape>
            <v:shape style="position:absolute;left:13481;top:17196;width:34;height:2" coordorigin="13481,17197" coordsize="34,0" path="m13515,17197l13481,17197m13481,17197l13515,17197m13481,17197l13515,17197m13515,17197l13481,17197m13481,17197l13515,17197m13481,17197l13515,17197e" filled="false" stroked="true" strokeweight=".55387pt" strokecolor="#b2b2b2">
              <v:path arrowok="t"/>
              <v:stroke dashstyle="solid"/>
            </v:shape>
            <v:shape style="position:absolute;left:7948;top:18514;width:338;height:405" type="#_x0000_t75" stroked="false">
              <v:imagedata r:id="rId86" o:title=""/>
            </v:shape>
            <v:shape style="position:absolute;left:9449;top:19306;width:45;height:338" coordorigin="9449,19307" coordsize="45,338" path="m9449,19307l9449,19407,9455,19423,9455,19440m9493,19445l9455,19440m9455,19440l9449,19645e" filled="false" stroked="true" strokeweight=".55387pt" strokecolor="#b2b2b2">
              <v:path arrowok="t"/>
              <v:stroke dashstyle="solid"/>
            </v:shape>
            <v:line style="position:absolute" from="8084,18166" to="8084,18293" stroked="true" strokeweight=".83081pt" strokecolor="#b2b2b2">
              <v:stroke dashstyle="solid"/>
            </v:line>
            <v:shape style="position:absolute;left:9493;top:10162;width:1429;height:9322" coordorigin="9493,10163" coordsize="1429,9322" path="m10828,10169l10906,10163,10911,10163,10911,10169,10917,10169,10922,10169,10922,10169m9560,19484l9560,19445m9493,19445l9493,19484e" filled="false" stroked="true" strokeweight=".55387pt" strokecolor="#b2b2b2">
              <v:path arrowok="t"/>
              <v:stroke dashstyle="solid"/>
            </v:shape>
            <v:shape style="position:absolute;left:10241;top:7266;width:449;height:322" type="#_x0000_t75" stroked="false">
              <v:imagedata r:id="rId131" o:title=""/>
            </v:shape>
            <v:shape style="position:absolute;left:4951;top:21383;width:781;height:770" type="#_x0000_t75" stroked="false">
              <v:imagedata r:id="rId88" o:title=""/>
            </v:shape>
            <v:shape style="position:absolute;left:7311;top:9154;width:449;height:383" type="#_x0000_t75" stroked="false">
              <v:imagedata r:id="rId89" o:title=""/>
            </v:shape>
            <v:shape style="position:absolute;left:7084;top:7565;width:543;height:1684" coordorigin="7084,7565" coordsize="543,1684" path="m7627,9249l7621,8590m7128,9005l7095,8845,7090,8828,7090,8817,7084,8801,7084,8784,7084,8773,7084,8756,7084,8745,7084,8729,7084,8717,7084,8701,7090,8684,7090,8673,7095,8657,7095,8645,7101,8629,7106,8618,7134,8524m7134,8524l7156,8463,7162,8452,7162,8435,7167,8424,7167,8407,7173,8396,7173,8385,7173,8369,7178,8357,7178,8346,7178,8335,7178,8319,7178,8308,7173,8297,7173,8280,7173,8269,7173,8252,7167,8241,7162,8230,7162,8213,7156,8202,7156,8186,7151,8175,7145,8158,7145,8147,7145,8130,7145,8119,7139,8097,7139,8081,7145,8058,7145,8042,7145,8020,7151,8003,7162,7942,7167,7925,7167,7914,7167,7898,7173,7887,7173,7870,7173,7859,7173,7842,7173,7831,7167,7815,7167,7804,7167,7793,7167,7776,7128,7565e" filled="false" stroked="true" strokeweight=".55387pt" strokecolor="#b2b2b2">
              <v:path arrowok="t"/>
              <v:stroke dashstyle="solid"/>
            </v:shape>
            <v:shape style="position:absolute;left:7128;top:8219;width:499;height:377" type="#_x0000_t75" stroked="false">
              <v:imagedata r:id="rId90" o:title=""/>
            </v:shape>
            <v:line style="position:absolute" from="8286,9903" to="8430,9703" stroked="true" strokeweight=".55387pt" strokecolor="#b2b2b2">
              <v:stroke dashstyle="solid"/>
            </v:line>
            <v:shape style="position:absolute;left:11775;top:20735;width:277;height:576" type="#_x0000_t75" stroked="false">
              <v:imagedata r:id="rId91" o:title=""/>
            </v:shape>
            <v:shape style="position:absolute;left:6962;top:10079;width:3545;height:13293" coordorigin="6962,10080" coordsize="3545,13293" path="m8951,19634l8967,19628m8967,19628l9039,19567m8807,19589l8812,19606,8812,19611,8818,19611,8818,19617,8818,19623,8818,19634m10341,23328l10407,23367m10407,23367l10413,23372,10418,23372,10424,23372,10429,23372,10435,23367m10435,23367l10507,23317m10252,20276l10252,20232,10291,20232m10252,20276l10374,20276m7067,10080l7023,10080m6962,10119l6962,10080m7023,10080l6962,10080m8314,19174l8341,19285m8341,19285l8352,19324e" filled="false" stroked="true" strokeweight=".55387pt" strokecolor="#b2b2b2">
              <v:path arrowok="t"/>
              <v:stroke dashstyle="solid"/>
            </v:shape>
            <v:line style="position:absolute" from="8358,19318" to="8358,19434" stroked="true" strokeweight="1.10775pt" strokecolor="#b2b2b2">
              <v:stroke dashstyle="solid"/>
            </v:line>
            <v:line style="position:absolute" from="8358,19434" to="8369,19434" stroked="true" strokeweight=".55384pt" strokecolor="#b2b2b2">
              <v:stroke dashstyle="solid"/>
            </v:line>
            <v:line style="position:absolute" from="8358,19445" to="8369,19445" stroked="true" strokeweight=".55384pt" strokecolor="#b2b2b2">
              <v:stroke dashstyle="solid"/>
            </v:line>
            <v:shape style="position:absolute;left:8130;top:19173;width:233;height:288" coordorigin="8131,19174" coordsize="233,288" path="m8363,19451l8336,19456m8336,19456l8319,19462m8314,19174l8258,19191m8258,19191l8208,19207m8258,19191l8291,19296m8291,19296l8297,19335m8297,19335l8303,19357m8303,19357l8303,19362,8303,19368,8303,19373,8297,19379,8291,19384,8286,19384m8286,19384l8286,19384m8208,19207l8164,19218m8164,19218l8147,19229m8147,19229l8131,19235m8208,19207l8236,19301m8236,19301l8236,19307,8236,19312,8236,19318,8236,19324,8231,19329e" filled="false" stroked="true" strokeweight=".55387pt" strokecolor="#b2b2b2">
              <v:path arrowok="t"/>
              <v:stroke dashstyle="solid"/>
            </v:shape>
            <v:line style="position:absolute" from="8225,19332" to="8236,19332" stroked="true" strokeweight=".27692pt" strokecolor="#b2b2b2">
              <v:stroke dashstyle="solid"/>
            </v:line>
            <v:shape style="position:absolute;left:8130;top:19234;width:217;height:277" coordorigin="8131,19235" coordsize="217,277" path="m8231,19335l8153,19263m8153,19263l8131,19235m8231,19335l8264,19362m8264,19362l8286,19384m8286,19384l8308,19429m8308,19429l8308,19429m8308,19429l8319,19462m8286,19384l8269,19396m8319,19462l8347,19512e" filled="false" stroked="true" strokeweight=".55387pt" strokecolor="#b2b2b2">
              <v:path arrowok="t"/>
              <v:stroke dashstyle="solid"/>
            </v:shape>
            <v:shape style="position:absolute;left:13514;top:19500;width:421;height:139" type="#_x0000_t75" stroked="false">
              <v:imagedata r:id="rId92" o:title=""/>
            </v:shape>
            <v:shape style="position:absolute;left:5727;top:9066;width:6054;height:12340" coordorigin="5727,9066" coordsize="6054,12340" path="m11781,21279l11781,21400m11781,21279l11781,21245m11781,21245l11748,21245m11748,21245l11742,21245,11737,21251,11737,21256m11737,21256l11737,21406m5794,9161l5766,9149m5766,9149l5727,9144m5849,9210l5849,9210m5849,9210l5854,9199m5854,9199l5871,9172m5871,9172l5877,9161m5877,9161l5882,9127m5882,9127l5893,9111m5893,9111l5910,9094m5910,9094l5910,9089,5915,9083,5915,9077,5915,9072,5915,9066m5849,9210l5838,9199m5838,9199l5821,9183m5821,9183l5816,9188m5816,9188l5794,9199e" filled="false" stroked="true" strokeweight=".55387pt" strokecolor="#b2b2b2">
              <v:path arrowok="t"/>
              <v:stroke dashstyle="solid"/>
            </v:shape>
            <v:line style="position:absolute" from="5677,9194" to="5799,9194" stroked="true" strokeweight="1.10771pt" strokecolor="#b2b2b2">
              <v:stroke dashstyle="solid"/>
            </v:line>
            <v:shape style="position:absolute;left:5560;top:9188;width:156;height:10961" coordorigin="5561,9188" coordsize="156,10961" path="m5683,9188l5661,9188m5661,9188l5627,9194m5583,20027l5561,20071,5699,20132m5699,20132l5716,20149e" filled="false" stroked="true" strokeweight=".55387pt" strokecolor="#b2b2b2">
              <v:path arrowok="t"/>
              <v:stroke dashstyle="solid"/>
            </v:shape>
            <v:line style="position:absolute" from="5710,20151" to="5722,20151" stroked="true" strokeweight=".27692pt" strokecolor="#b2b2b2">
              <v:stroke dashstyle="solid"/>
            </v:line>
            <v:shape style="position:absolute;left:5793;top:9160;width:28;height:23" coordorigin="5794,9161" coordsize="28,23" path="m5821,9183l5810,9172m5810,9172l5794,9161e" filled="false" stroked="true" strokeweight=".55387pt" strokecolor="#b2b2b2">
              <v:path arrowok="t"/>
              <v:stroke dashstyle="solid"/>
            </v:shape>
            <v:line style="position:absolute" from="5816,9053" to="5827,9053" stroked="true" strokeweight=".83076pt" strokecolor="#b2b2b2">
              <v:stroke dashstyle="solid"/>
            </v:line>
            <v:line style="position:absolute" from="5816,9069" to="5827,9069" stroked="true" strokeweight=".83076pt" strokecolor="#b2b2b2">
              <v:stroke dashstyle="solid"/>
            </v:line>
            <v:line style="position:absolute" from="5821,9077" to="5799,9138" stroked="true" strokeweight=".55387pt" strokecolor="#b2b2b2">
              <v:stroke dashstyle="solid"/>
            </v:line>
            <v:line style="position:absolute" from="5794,9144" to="5805,9144" stroked="true" strokeweight=".55384pt" strokecolor="#b2b2b2">
              <v:stroke dashstyle="solid"/>
            </v:line>
            <v:line style="position:absolute" from="5799,9149" to="5794,9161" stroked="true" strokeweight=".55387pt" strokecolor="#b2b2b2">
              <v:stroke dashstyle="solid"/>
            </v:line>
            <v:line style="position:absolute" from="5677,9141" to="5733,9141" stroked="true" strokeweight=".83079pt" strokecolor="#b2b2b2">
              <v:stroke dashstyle="solid"/>
            </v:line>
            <v:shape style="position:absolute;left:5632;top:9138;width:50;height:6" coordorigin="5633,9138" coordsize="50,6" path="m5683,9138l5650,9144m5650,9144l5633,9144e" filled="false" stroked="true" strokeweight=".55387pt" strokecolor="#b2b2b2">
              <v:path arrowok="t"/>
              <v:stroke dashstyle="solid"/>
            </v:shape>
            <v:line style="position:absolute" from="5722,9136" to="5733,9136" stroked="true" strokeweight=".83076pt" strokecolor="#b2b2b2">
              <v:stroke dashstyle="solid"/>
            </v:line>
            <v:line style="position:absolute" from="5722,9125" to="5733,9125" stroked="true" strokeweight=".27692pt" strokecolor="#b2b2b2">
              <v:stroke dashstyle="solid"/>
            </v:line>
            <v:shape style="position:absolute;left:5422;top:9044;width:516;height:11144" coordorigin="5422,9044" coordsize="516,11144" path="m5727,9122l5733,9094m5733,9094l5738,9083m5738,9083l5738,9083m5738,9083l5738,9077,5738,9072,5744,9066,5749,9061,5755,9061m5755,9061l5805,9050m5805,9050l5821,9044m5915,9066l5938,9055m5915,9066l5910,9061,5910,9055,5904,9050,5899,9044,5893,9044,5888,9044m5888,9044l5821,9044m5561,20071l5506,20049m5506,20049l5472,20038m5472,20038l5445,20038m5422,20176l5461,20182,5506,20182,5528,20187,5555,20187m5555,20187l5572,20187m5572,20187l5589,20187,5600,20187m5600,20187l5633,20182m5633,20182l5683,20165m5683,20165l5710,20160m5710,20160l5716,20154e" filled="false" stroked="true" strokeweight=".55387pt" strokecolor="#b2b2b2">
              <v:path arrowok="t"/>
              <v:stroke dashstyle="solid"/>
            </v:shape>
            <v:line style="position:absolute" from="5417,20171" to="5428,20171" stroked="true" strokeweight=".55384pt" strokecolor="#b2b2b2">
              <v:stroke dashstyle="solid"/>
            </v:line>
            <v:line style="position:absolute" from="5422,20165" to="5428,20143" stroked="true" strokeweight=".55387pt" strokecolor="#b2b2b2">
              <v:stroke dashstyle="solid"/>
            </v:line>
            <v:line style="position:absolute" from="5422,20135" to="5434,20135" stroked="true" strokeweight=".83076pt" strokecolor="#b2b2b2">
              <v:stroke dashstyle="solid"/>
            </v:line>
            <v:shape style="position:absolute;left:5427;top:20049;width:17;height:78" coordorigin="5428,20049" coordsize="17,78" path="m5428,20127l5439,20104m5439,20104l5439,20077m5439,20077l5445,20049e" filled="false" stroked="true" strokeweight=".55387pt" strokecolor="#b2b2b2">
              <v:path arrowok="t"/>
              <v:stroke dashstyle="solid"/>
            </v:shape>
            <v:line style="position:absolute" from="5445,19983" to="5445,20049" stroked="true" strokeweight=".55387pt" strokecolor="#b2b2b2">
              <v:stroke dashstyle="solid"/>
            </v:line>
            <v:shape style="position:absolute;left:5444;top:19511;width:7145;height:2975" coordorigin="5445,19512" coordsize="7145,2975" path="m5445,19983l5450,19966m5716,20154l5727,20149m5727,20149l5738,20138m5738,20138l5749,20115m5749,20115l5755,20104m12462,22486l12506,22458m12506,22458l12529,22442m12529,22442l12540,22425m12540,22425l12556,22403m12556,22403l12562,22408,12567,22408,12573,22408,12578,22403,12584,22403,12584,22397,12590,22397m8347,19512l8369,19540m8369,19540l8397,19567m8397,19567l8413,19584m8413,19584l8463,19623m8463,19623l8469,19623,8474,19628,8480,19634,8485,19639,8485,19645,8491,19650,8496,19656,8502,19661,8502,19667,8508,19672,8508,19678,8508,19683,8513,19689,8513,19695,8513,19700,8519,19706,8519,19711,8519,19717,8519,19722,8519,19728,8519,19733,8519,19739,8519,19744e" filled="false" stroked="true" strokeweight=".55387pt" strokecolor="#b2b2b2">
              <v:path arrowok="t"/>
              <v:stroke dashstyle="solid"/>
            </v:shape>
            <v:shape style="position:absolute;left:8917;top:14067;width:549;height:17" coordorigin="8917,14068" coordsize="549,17" path="m9283,14068l9161,14068m9283,14068l9405,14068,9410,14068,9421,14068,9427,14068,9432,14068,9438,14068,9444,14068,9449,14073,9455,14073,9460,14073,9466,14079m9067,14073l8945,14073,8940,14073,8934,14073,8928,14073,8928,14079,8923,14079,8917,14079,8917,14084,8917,14084m9106,14073l9067,14073e" filled="false" stroked="true" strokeweight="1.10775pt" strokecolor="#005be5">
              <v:path arrowok="t"/>
              <v:stroke dashstyle="solid"/>
            </v:shape>
            <v:line style="position:absolute" from="9095,14070" to="9172,14070" stroked="true" strokeweight="1.38467pt" strokecolor="#005be5">
              <v:stroke dashstyle="solid"/>
            </v:line>
            <v:shape style="position:absolute;left:10723;top:23028;width:538;height:432" coordorigin="10723,23029" coordsize="538,432" path="m11022,23095l10906,23029m10812,23394l10723,23344m11260,23461l11244,23455,11221,23450,11205,23444,11183,23439,11161,23439,11144,23433,11122,23433,11111,23433,11094,23427,11083,23427,11066,23427,10933,23427,10922,23427,10917,23427,10906,23427,10900,23427,10895,23422,10884,23422,10878,23422,10867,23422,10861,23416,10850,23416,10845,23411,10839,23411,10828,23405,10823,23400,10812,23394e" filled="false" stroked="true" strokeweight="1.10775pt" strokecolor="#005be5">
              <v:path arrowok="t"/>
              <v:stroke dashstyle="solid"/>
            </v:shape>
            <v:shape style="position:absolute;left:10800;top:23084;width:499;height:366" type="#_x0000_t75" stroked="false">
              <v:imagedata r:id="rId132" o:title=""/>
            </v:shape>
            <v:shape style="position:absolute;left:916;top:2868;width:14221;height:16411" type="#_x0000_t75" stroked="false">
              <v:imagedata r:id="rId133" o:title=""/>
            </v:shape>
            <v:shape style="position:absolute;left:5029;top:20724;width:67;height:128" coordorigin="5029,20725" coordsize="67,128" path="m5029,20725l5057,20747m5057,20747l5062,20752,5068,20758,5068,20763,5073,20769,5079,20775,5079,20780,5085,20786,5085,20791,5090,20797,5090,20802,5090,20808,5096,20813,5096,20819,5096,20824,5096,20830,5096,20835,5096,20841,5096,20847,5096,20852e" filled="false" stroked="true" strokeweight="1.10775pt" strokecolor="#005be5">
              <v:path arrowok="t"/>
              <v:stroke dashstyle="solid"/>
            </v:shape>
            <v:line style="position:absolute" from="5093,20841" to="5093,20930" stroked="true" strokeweight="1.38469pt" strokecolor="#005be5">
              <v:stroke dashstyle="solid"/>
            </v:line>
            <v:shape style="position:absolute;left:4707;top:20187;width:521;height:1152" coordorigin="4708,20187" coordsize="521,1152" path="m5090,20919l5090,20924,5090,20930,5090,20935,5090,20941,5090,20946,5090,20952,5090,20957,5090,20963,5090,20968,5090,20974,5090,20979,5096,20985,5096,20991,5096,20996,5096,21002,5096,21007,5101,21013,5101,21018,5101,21024,5107,21029,5107,21035,5107,21040,5112,21046,5112,21051m5112,21051l5162,21173m5029,20725l4941,20631m4941,20631l4907,20581m4907,20581l4869,20525m4869,20525l4857,20498m4857,20498l4797,20376,4708,20187m4896,20880l4941,20913m4941,20913l4974,20952m4974,20952l5079,21123,5229,21339e" filled="false" stroked="true" strokeweight="1.10775pt" strokecolor="#005be5">
              <v:path arrowok="t"/>
              <v:stroke dashstyle="solid"/>
            </v:shape>
            <v:shape style="position:absolute;left:4713;top:20292;width:194;height:599" type="#_x0000_t75" stroked="false">
              <v:imagedata r:id="rId134" o:title=""/>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1.93856pt" strokecolor="#000000">
              <v:path arrowok="t"/>
              <v:stroke dashstyle="solid"/>
            </v:shape>
            <v:shape style="position:absolute;left:9579;top:5939;width:172;height:128" type="#_x0000_t75" stroked="false">
              <v:imagedata r:id="rId94"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1.93856pt" strokecolor="#000000">
              <v:path arrowok="t"/>
              <v:stroke dashstyle="solid"/>
            </v:shape>
            <v:shape style="position:absolute;left:13345;top:19265;width:316;height:139" type="#_x0000_t75" stroked="false">
              <v:imagedata r:id="rId95"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1.93856pt" strokecolor="#000000">
              <v:path arrowok="t"/>
              <v:stroke dashstyle="solid"/>
            </v:shape>
            <v:shape style="position:absolute;left:9778;top:9977;width:122;height:128" type="#_x0000_t75" stroked="false">
              <v:imagedata r:id="rId96" o:title=""/>
            </v:shape>
            <v:shape style="position:absolute;left:700;top:16108;width:11122;height:7527" type="#_x0000_t75" stroked="false">
              <v:imagedata r:id="rId135" o:title=""/>
            </v:shape>
            <v:shape style="position:absolute;left:720;top:16127;width:4509;height:5212" coordorigin="720,16128" coordsize="4509,5212" path="m4708,20187l4658,20071,4553,19789,4492,19623,3966,18155,3827,17861,3700,17673,3512,17479,2243,16571m2243,16571l2238,16565,2232,16565,2227,16560,2221,16554,2215,16554,2210,16549,2204,16543,2199,16543,2193,16538,2188,16532,2182,16532,2177,16527,2171,16521,2166,16521,2160,16516,2155,16510,2149,16510,2143,16504,2138,16499,2132,16499,2127,16493,2121,16488,2116,16488,2110,16482,2105,16482,2099,16477,2094,16471,2088,16471,2083,16466,2077,16466,2071,16460,2066,16455,2060,16455,2055,16449,2049,16449,2044,16444,2038,16438,2033,16438,2027,16432,2022,16432,2016,16427,2011,16427,2005,16421,1999,16421,1994,16416,1988,16410,1983,16410,1977,16405,1972,16405,1966,16399,1961,16399,1955,16394,1950,16394,1944,16388,1939,16388,1933,16383,1927,16383,1922,16377,1916,16377,1911,16372,1905,16372,1900,16366,1894,16366,1889,16360,1883,16360,1878,16355,1872,16355,1867,16349,1861,16349,1855,16344,1850,16344,1844,16344,1839,16338,1833,16338,1828,16333,1822,16333,1817,16327,1811,16327,1806,16322,1800,16322,1795,16322,1789,16316,1783,16316,1778,16311,1772,16311,1767,16311,1761,16305,1756,16305,1750,16300,1745,16300,1739,16294,1734,16294,1728,16294,1723,16288,1717,16288,1711,16288,1706,16283,1700,16283,1695,16277,1689,16277,1684,16277,1678,16272,1673,16272,1667,16272,1662,16266,1656,16266,1651,16261,1645,16261,1639,16261,1634,16255,1628,16255,1623,16255,1617,16250,1612,16250,1606,16250,1601,16244,1595,16244,1590,16244,1584,16239,1579,16239,1573,16239,1567,16233,1562,16233,1556,16233,1551,16233,1545,16228,1540,16228,1534,16228,1529,16222,1523,16222,1518,16222,1512,16222,1507,16216,1501,16216,1495,16216,1490,16211,1484,16211,1479,16211,1473,16211,1468,16205,1462,16205,1457,16205,1451,16205,1446,16200,1440,16200,1435,16200,1429,16200,1423,16194,1418,16194,1412,16194,1407,16194,1401,16189,1396,16189,1390,16189,1385,16189,1379,16183,1374,16183,1368,16183,1363,16183,1357,16183,1351,16178,1346,16178,1340,16178,1335,16178,1329,16172,1324,16172,1318,16172,1313,16172,1307,16172,1302,16172,1296,16167,1291,16167,1285,16167,1279,16167,1274,16167,1268,16161,1263,16161,1257,16161,1252,16161,1246,16161,1241,16161,1235,16156,1230,16156,1224,16156,1219,16156,1213,16156,1207,16156,1202,16150,1196,16150,1191,16150,1185,16150,1180,16150,1174,16150,1169,16150,1163,16150,1158,16144,1152,16144,1147,16144,1141,16144,1135,16144,1130,16144,1124,16144,1119,16144,1113,16139,1108,16139,1102,16139,1097,16139,1091,16139,1086,16139,1080,16139,1075,16139,1069,16139,1063,16139,1058,16139,1052,16133,1047,16133,1041,16133,1036,16133,1030,16133,1025,16133,1019,16133,1014,16133,1008,16133,1003,16133,997,16133,991,16133,986,16133,980,16133,975,16133,969,16128,964,16128,958,16128,953,16128,947,16128,942,16128,936,16128,931,16128,925,16128,919,16128,914,16128,908,16128,903,16128,897,16128,892,16128,886,16128,881,16128,875,16128,870,16128,864,16128,859,16128,853,16128,847,16128,842,16128,836,16128,831,16128,825,16128,820,16128,814,16128,809,16128,803,16128,798,16128,792,16128,787,16128,781,16128,775,16128,770,16128,764,16128,759,16128,753,16128,748,16128,742,16133,737,16133,731,16133,726,16133,720,16133m5229,21339l5157,21223,5051,21018,4957,20813m4957,20813l4785,20431,4725,20304e" filled="false" stroked="true" strokeweight="1.93856pt" strokecolor="#005be5">
              <v:path arrowok="t"/>
              <v:stroke dashstyle="solid"/>
            </v:shape>
            <v:line style="position:absolute" from="13991,19384" to="13991,19279" stroked="true" strokeweight="1.93856pt" strokecolor="#ff0000">
              <v:stroke dashstyle="solid"/>
            </v:line>
            <v:shape style="position:absolute;left:3021;top:6637;width:11914;height:16294" type="#_x0000_t75" stroked="false">
              <v:imagedata r:id="rId136" o:title=""/>
            </v:shape>
            <v:shape style="position:absolute;left:720;top:4554;width:4171;height:3188" coordorigin="720,4555" coordsize="4171,3188" path="m4891,7743l3528,6701,1473,5129,1014,4774,720,4555e" filled="false" stroked="true" strokeweight="1.93856pt" strokecolor="#897044">
              <v:path arrowok="t"/>
              <v:stroke dashstyle="solid"/>
            </v:shape>
            <v:shape style="position:absolute;left:5998;top:6479;width:1119;height:216" coordorigin="5998,6480" coordsize="1119,216" path="m7117,6690l6741,6696,6730,6690,6718,6690,6707,6690,6696,6690,6685,6690,6674,6685,6663,6685,6658,6679,6646,6679,6275,6563,5998,6480e" filled="false" stroked="true" strokeweight="1.93856pt" strokecolor="#38a700">
              <v:path arrowok="t"/>
              <v:stroke dashstyle="solid"/>
            </v:shape>
            <v:shape style="position:absolute;left:4885;top:6862;width:28;height:881" coordorigin="4885,6862" coordsize="28,881" path="m4885,7743l4902,7721,4907,7721,4907,7715,4907,7709,4913,7709,4913,7704,4913,7671,4902,7654,4891,7615,4885,7615,4885,7610,4885,7577,4891,7577,4891,7571,4891,7565,4896,7565,4896,7560,4907,7549,4907,7455,4913,7100,4913,7089,4913,6862e" filled="false" stroked="true" strokeweight="1.93856pt" strokecolor="#c500ff">
              <v:path arrowok="t"/>
              <v:stroke dashstyle="solid"/>
            </v:shape>
            <v:shape style="position:absolute;left:4705;top:8321;width:217;height:300" type="#_x0000_t75" stroked="false">
              <v:imagedata r:id="rId137" o:title=""/>
            </v:shape>
            <v:line style="position:absolute" from="4905,7956" to="4905,8360" stroked="true" strokeweight="2.21549pt" strokecolor="#38a700">
              <v:stroke dashstyle="solid"/>
            </v:line>
            <v:shape style="position:absolute;left:4863;top:7742;width:45;height:233" coordorigin="4863,7743" coordsize="45,233" path="m4907,7975l4907,7970,4907,7964,4907,7959,4907,7953,4907,7948,4907,7942,4907,7937,4907,7931,4902,7925,4902,7920,4902,7914,4902,7909,4902,7903,4896,7898,4896,7892,4896,7887,4891,7881,4891,7876,4891,7870,4885,7865,4885,7859m4885,7859l4863,7809m4863,7809l4863,7804,4863,7798,4863,7793,4863,7787,4863,7781,4863,7776,4869,7770,4869,7765m4869,7765l4885,7743e" filled="false" stroked="true" strokeweight="1.93856pt" strokecolor="#38a700">
              <v:path arrowok="t"/>
              <v:stroke dashstyle="solid"/>
            </v:shape>
            <v:shape style="position:absolute;left:6214;top:16532;width:211;height:133" coordorigin="6214,16532" coordsize="211,133" path="m6425,16665l6309,16593,6242,16554,6231,16543,6214,16532e" filled="false" stroked="true" strokeweight="1.93856pt" strokecolor="#ff0000">
              <v:path arrowok="t"/>
              <v:stroke dashstyle="solid"/>
            </v:shape>
            <v:shape style="position:absolute;left:11094;top:16354;width:327;height:399" coordorigin="11094,16355" coordsize="327,399" path="m11421,16754l11404,16726,11388,16704,11277,16576,11221,16510,11155,16427,11094,16355e" filled="false" stroked="true" strokeweight="1.93856pt" strokecolor="#897044">
              <v:path arrowok="t"/>
              <v:stroke dashstyle="solid"/>
            </v:shape>
            <v:shape style="position:absolute;left:10174;top:14837;width:128;height:23" coordorigin="10175,14837" coordsize="128,23" path="m10175,14837l10180,14837,10180,14843,10186,14843,10191,14848,10197,14848,10202,14848,10258,14860,10263,14860,10269,14860,10274,14860,10280,14860,10285,14854,10291,14854,10297,14854,10302,14854,10302,14848e" filled="false" stroked="true" strokeweight="1.93856pt" strokecolor="#38a700">
              <v:path arrowok="t"/>
              <v:stroke dashstyle="solid"/>
            </v:shape>
            <v:shape style="position:absolute;left:4962;top:19633;width:139;height:654" coordorigin="4963,19634" coordsize="139,654" path="m4963,19634l4963,19916,4963,19927,4963,19933,4968,19944,4968,19955m4968,19955l4968,19960,4968,19966,4968,19971,4968,19977,4968,19983,4974,19988,4974,19994,4974,19999,4979,20005,4979,20010,4979,20016,4985,20021,4985,20027,4985,20032,4990,20038,4990,20043,4996,20049,4996,20055,5001,20060,5001,20066,5007,20066m5007,20066l5062,20165m5062,20165l5062,20171,5068,20176,5073,20182,5073,20187,5079,20193,5079,20199,5079,20204,5085,20210,5085,20215,5090,20221,5090,20226,5090,20232,5090,20237,5096,20243,5096,20248,5096,20254,5096,20259,5096,20265,5101,20271,5101,20276,5101,20282,5101,20287e" filled="false" stroked="true" strokeweight="1.93856pt" strokecolor="#c500ff">
              <v:path arrowok="t"/>
              <v:stroke dashstyle="solid"/>
            </v:shape>
            <v:line style="position:absolute" from="5107,20268" to="5107,20412" stroked="true" strokeweight="2.49243pt" strokecolor="#c500ff">
              <v:stroke dashstyle="solid"/>
            </v:line>
            <v:shape style="position:absolute;left:5112;top:20392;width:2;height:78" coordorigin="5112,20392" coordsize="0,78" path="m5112,20392l5112,20392,5112,20464,5112,20470e" filled="false" stroked="true" strokeweight="1.93856pt" strokecolor="#c500ff">
              <v:path arrowok="t"/>
              <v:stroke dashstyle="solid"/>
            </v:shape>
            <v:line style="position:absolute" from="5107,20451" to="5107,20589" stroked="true" strokeweight="2.49243pt" strokecolor="#c500ff">
              <v:stroke dashstyle="solid"/>
            </v:line>
            <v:shape style="position:absolute;left:5062;top:20569;width:39;height:117" coordorigin="5062,20570" coordsize="39,117" path="m5101,20570l5101,20575,5101,20581,5096,20586,5096,20592,5096,20597,5096,20603,5096,20608,5090,20614,5090,20619,5090,20625,5085,20631,5085,20636,5085,20642,5079,20647,5079,20653,5073,20658,5073,20664,5068,20669,5068,20675,5062,20680,5062,20686e" filled="false" stroked="true" strokeweight="1.93856pt" strokecolor="#c500ff">
              <v:path arrowok="t"/>
              <v:stroke dashstyle="solid"/>
            </v:shape>
            <v:shape style="position:absolute;left:11888;top:20716;width:161;height:610" type="#_x0000_t75" stroked="false">
              <v:imagedata r:id="rId138" o:title=""/>
            </v:shape>
            <v:shape style="position:absolute;left:12356;top:18423;width:1665;height:972" type="#_x0000_t75" stroked="false">
              <v:imagedata r:id="rId139" o:title=""/>
            </v:shape>
            <v:shape style="position:absolute;left:8565;top:14327;width:2227;height:1942" type="#_x0000_t75" stroked="false">
              <v:imagedata r:id="rId140" o:title=""/>
            </v:shape>
            <v:shape style="position:absolute;left:6951;top:7028;width:3338;height:4836" type="#_x0000_t75" stroked="false">
              <v:imagedata r:id="rId141" o:title=""/>
            </v:shape>
            <v:shape style="position:absolute;left:10778;top:19893;width:139;height:565" type="#_x0000_t75" stroked="false">
              <v:imagedata r:id="rId102" o:title=""/>
            </v:shape>
            <v:shape style="position:absolute;left:7726;top:14327;width:4581;height:3994" coordorigin="7727,14328" coordsize="4581,3994" path="m11332,17950l11316,17928,11293,17917,11282,17917,11271,17917,11255,17922,11244,17928,11238,17939,11233,17950,11233,17972,11238,17989,11249,18005,11266,18011,11277,18016,11288,18016,11299,18011,11310,18005,11305,17989,11288,18000,11271,17994,11255,17989,11249,17972,11249,17967,11249,17956,11255,17944,11266,17933,11277,17933,11288,17933,11305,17939,11316,17956,11332,17950m11365,17967l11354,17967,11343,17967,11327,17978,11321,17989,11321,18005,11327,18016,11332,18028,11343,18039,11354,18039,11365,18039,11382,18028,11388,18022,11393,18011,11393,18000,11393,17994,11388,17983,11382,17978,11365,17967m11365,17983l11377,17989,11377,18000,11377,18005,11371,18016,11365,18022,11360,18022,11349,18022,11343,18016,11338,18011,11338,18005,11338,17994,11349,17983,11354,17983,11365,17983m11426,17956l11399,18050,11415,18055,11443,17961,11426,17956m11454,17994l11443,18022,11443,18033,11437,18044,11443,18055,11443,18061,11454,18066,11460,18072,11471,18072,11482,18072,11487,18072,11493,18066,11498,18055,11504,18039,11515,18011,11493,18005,11487,18039,11482,18050,11476,18055,11465,18055,11460,18050,11460,18044,11460,18039,11460,18033,11471,18000,11454,17994m11526,18016l11509,18083,11526,18088,11532,18061,11537,18050,11537,18044,11548,18039,11554,18039,11559,18044,11565,18050,11559,18066,11548,18100,11565,18105,11576,18072,11582,18066,11582,18061,11593,18055,11598,18055,11604,18061,11604,18066,11604,18077,11593,18111,11609,18116,11620,18077,11626,18066,11626,18061,11620,18050,11609,18039,11593,18039,11582,18044,11576,18033,11565,18028,11554,18028,11543,18033,11543,18022,11526,18016m11670,18033l11654,18028,11626,18122,11642,18127,11648,18122,11654,18127,11665,18133,11676,18133,11692,18133,11703,18122,11709,18111,11709,18094,11709,18083,11698,18072,11687,18061,11676,18061,11665,18066,11670,18033m11676,18077l11687,18083,11692,18088,11692,18094,11692,18105,11687,18111,11681,18116,11676,18116,11665,18116,11659,18116,11654,18111,11654,18100,11654,18094,11665,18077,11670,18077,11676,18077m11748,18055l11742,18055,11737,18061,11737,18072,11742,18077,11753,18077,11759,18066,11759,18061,11748,18055m11731,18077l11714,18149,11731,18149,11748,18083,11731,18077m11809,18100l11809,18111,11803,18100,11792,18094,11775,18094,11764,18100,11753,18105,11748,18122,11748,18133,11748,18149,11759,18160,11770,18166,11781,18166,11792,18160,11792,18172,11809,18177,11825,18105,11809,18100m11786,18111l11803,18122,11803,18127,11803,18138,11798,18144,11792,18149,11786,18149,11775,18149,11770,18149,11764,18138,11764,18133,11764,18127,11770,18116,11775,18111,11781,18111,11786,18111m11892,18100l11864,18194,11881,18199,11892,18160,11903,18160,11908,18166,11919,18166,11925,18160,11930,18155,11936,18144,11936,18138,11936,18127,11930,18116,11919,18111,11908,18105,11892,18100m11897,18144l11903,18122,11908,18127,11914,18127,11919,18133,11919,18138,11914,18144,11914,18149,11903,18144,11897,18144m12008,18160l12002,18172,11997,18160,11986,18155,11969,18155,11958,18155,11947,18166,11942,18183,11942,18194,11942,18210,11953,18221,11964,18227,11975,18227,11986,18221,11986,18232,12002,18232,12025,18166,12008,18160m11986,18172l11997,18183,11997,18188,11997,18194,11991,18205,11986,18210,11980,18210,11969,18210,11964,18205,11958,18199,11958,18194,11958,18183,11964,18177,11969,18172,11975,18172,11986,18172m12036,18172l12019,18238,12036,18244,12041,18216,12047,18205,12052,18194,12058,18194,12063,18194,12074,18183,12069,18177,12058,18177,12052,18183,12052,18177,12036,18172m12086,18160l12058,18255,12074,18260,12086,18227,12102,18266,12124,18271,12102,18227,12141,18205,12119,18199,12086,18216,12102,18166,12086,18160m12191,18194l12185,18210,12202,18216,12180,18288,12196,18293,12218,18221,12235,18227,12241,18210,12191,18194m12235,18232l12218,18304,12235,18304,12241,18282,12241,18277,12246,18266,12252,18260,12257,18255,12263,18260,12274,18244,12268,18244,12257,18244,12252,18249,12252,18238,12235,18232m12290,18221l12263,18316,12279,18321,12307,18227,12290,18221m7821,14516l7821,14488,7821,14477,7821,14472,7810,14461,7793,14455,7776,14461,7771,14472,7760,14466,7749,14466,7743,14466,7738,14472,7727,14483,7727,14488,7727,14500,7727,14516,7821,14516m7743,14500l7743,14494,7749,14483,7754,14483,7760,14483,7765,14494,7765,14500,7743,14500m7782,14500l7782,14494,7782,14483,7782,14477,7793,14472,7799,14477,7804,14483,7804,14494,7804,14500,7782,14500m7749,14450l7815,14422,7843,14433,7843,14416,7749,14372,7749,14389,7793,14411,7749,14428,7749,14450m7776,14361l7793,14361,7793,14328,7776,14328,7776,14361e" filled="false" stroked="true" strokeweight="1.66162pt" strokecolor="#ffffff">
              <v:path arrowok="t"/>
              <v:stroke dashstyle="solid"/>
            </v:shape>
            <v:shape style="position:absolute;left:8014;top:17911;width:2543;height:1806" type="#_x0000_t75" stroked="false">
              <v:imagedata r:id="rId142" o:title=""/>
            </v:shape>
            <v:shape style="position:absolute;left:7721;top:13713;width:122;height:593" coordorigin="7721,13713" coordsize="122,593" path="m7749,14289l7749,14306,7843,14306,7843,14289,7810,14289,7821,14278,7821,14267,7821,14256,7810,14245,7799,14239,7782,14234,7771,14239,7754,14245,7749,14256,7749,14267,7749,14278,7754,14289,7749,14289m7765,14272l7765,14261,7771,14256,7776,14256,7782,14250,7793,14256,7799,14256,7804,14261,7804,14272,7804,14278,7799,14284,7793,14289,7782,14289,7776,14289,7771,14284,7765,14278,7765,14272m7749,14167l7754,14167,7749,14178,7743,14189,7749,14200,7754,14212,7765,14217,7782,14223,7799,14217,7810,14212,7815,14200,7821,14189,7815,14178,7810,14167,7815,14167,7815,14151,7743,14151,7749,14167m7760,14184l7760,14178,7765,14173,7771,14167,7782,14167,7787,14167,7799,14173,7799,14178,7804,14184,7799,14189,7799,14200,7787,14200,7782,14206,7771,14200,7765,14200,7760,14195,7760,14184m7754,14090l7749,14101,7743,14117,7749,14123,7749,14128,7760,14134,7765,14140,7776,14134,7787,14117,7787,14112,7793,14106,7799,14106,7804,14112,7799,14123,7793,14128,7804,14140,7815,14128,7821,14117,7815,14106,7810,14095,7804,14090,7799,14090,7782,14095,7776,14101,7776,14106,7771,14112,7765,14117,7765,14123,7760,14117,7760,14112,7760,14106,7765,14101,7754,14090m7754,14034l7743,14040,7743,14056,7743,14062,7749,14073,7754,14079,7765,14079,7776,14073,7782,14062,7787,14056,7793,14051,7793,14045,7799,14051,7799,14056,7799,14062,7793,14068,7804,14079,7815,14068,7815,14056,7815,14045,7810,14034,7804,14029,7793,14029,7782,14034,7776,14040,7771,14045,7771,14056,7765,14062,7760,14062,7760,14056,7760,14051,7765,14040,7754,14034m7721,13979l7815,13973,7815,13957,7771,13957,7771,13929,7815,13924,7815,13907,7721,13907,7721,13929,7754,13929,7754,13957,7721,13957,7721,13979m7743,13890l7815,13868,7815,13857,7776,13840,7815,13824,7815,13813,7743,13791,7743,13807,7782,13818,7743,13835,7743,13846,7782,13863,7743,13874,7743,13890m7743,13785l7804,13757,7837,13774,7837,13757,7743,13713,7743,13730,7787,13752,7743,13768,7743,13785e" filled="false" stroked="true" strokeweight="1.66162pt" strokecolor="#ffffff">
              <v:path arrowok="t"/>
              <v:stroke dashstyle="solid"/>
            </v:shape>
            <v:shape style="position:absolute;left:8889;top:13785;width:156;height:637" type="#_x0000_t75" stroked="false">
              <v:imagedata r:id="rId104" o:title=""/>
            </v:shape>
            <v:shape style="position:absolute;left:7759;top:12622;width:892;height:106" coordorigin="7760,12622" coordsize="892,106" path="m7760,12633l7793,12727,7810,12727,7843,12633,7826,12633,7799,12700,7776,12633,7760,12633m7904,12655l7904,12661,7893,12655,7882,12650,7871,12655,7859,12661,7854,12672,7848,12688,7854,12705,7859,12716,7871,12722,7882,12727,7893,12722,7904,12716,7904,12722,7920,12722,7920,12655,7904,12655m7887,12666l7893,12666,7898,12672,7904,12677,7904,12688,7904,12694,7898,12705,7893,12705,7887,12711,7876,12705,7871,12705,7871,12694,7865,12688,7871,12677,7871,12672,7876,12666,7887,12666m7943,12655l7943,12722,7959,12722,7959,12694,7959,12688,7959,12683,7965,12672,7976,12666,7981,12672,7987,12677,7987,12683,7987,12694,7987,12722,8003,12722,8003,12677,8003,12666,7998,12661,7987,12655,7981,12650,7970,12655,7959,12661,7959,12655,7943,12655m8153,12644l8142,12633,8131,12628,8109,12628,8087,12628,8070,12644,8064,12655,8059,12677,8059,12688,8064,12700,8075,12711,8087,12722,8098,12722,8109,12727,8125,12722,8136,12722,8142,12711,8153,12705,8159,12688,8159,12677,8109,12677,8109,12694,8136,12694,8131,12700,8125,12705,8109,12711,8098,12705,8087,12700,8081,12688,8075,12677,8081,12661,8087,12655,8098,12644,8109,12644,8125,12644,8136,12655,8153,12644m8181,12622l8170,12628,8170,12633,8170,12644,8181,12644,8186,12644,8192,12633,8186,12628,8181,12622m8170,12655l8170,12722,8186,12722,8186,12655,8170,12655m8275,12694l8275,12688,8275,12672,8264,12661,8253,12655,8236,12650,8225,12655,8214,12661,8203,12672,8203,12688,8203,12705,8214,12716,8225,12722,8242,12727,8258,12722,8264,12716,8269,12711,8258,12705,8247,12705,8242,12711,8231,12711,8225,12705,8219,12694,8275,12694m8258,12677l8219,12677,8225,12672,8242,12666,8253,12672,8258,12677m8330,12661l8325,12655,8308,12650,8303,12655,8291,12655,8286,12666,8286,12672,8291,12683,8303,12694,8308,12694,8314,12700,8319,12705,8314,12705,8308,12711,8303,12705,8297,12700,8286,12711,8297,12722,8308,12727,8319,12722,8325,12716,8330,12711,8336,12705,8330,12688,8325,12688,8314,12683,8308,12677,8303,12672,8303,12666,8308,12666,8314,12666,8319,12672,8330,12661m8419,12694l8419,12688,8419,12672,8408,12661,8397,12655,8380,12650,8369,12655,8358,12661,8347,12672,8347,12688,8347,12705,8358,12716,8369,12722,8386,12727,8402,12722,8408,12716,8413,12711,8402,12705,8391,12705,8386,12711,8375,12711,8369,12705,8363,12694,8419,12694m8402,12677l8363,12677,8369,12672,8386,12666,8397,12672,8402,12677m8435,12655l8435,12722,8452,12722,8452,12694,8452,12688,8452,12683,8458,12672,8469,12666,8474,12672,8480,12677,8480,12683,8480,12694,8480,12722,8496,12722,8496,12677,8496,12666,8491,12661,8480,12655,8474,12650,8463,12655,8452,12661,8452,12655,8435,12655m8602,12639l8596,12633,8585,12628,8574,12622,8563,12628,8557,12633,8552,12639,8546,12650,8546,12655,8552,12661,8557,12672,8574,12683,8580,12688,8585,12688,8585,12700,8580,12705,8574,12705,8563,12705,8557,12694,8541,12705,8546,12711,8557,12716,8563,12722,8574,12722,8585,12722,8596,12716,8602,12705,8602,12694,8602,12683,8591,12672,8580,12661,8568,12655,8568,12650,8563,12644,8568,12644,8574,12639,8580,12644,8585,12650,8602,12639m8624,12622l8624,12650,8613,12650,8613,12666,8624,12666,8624,12722,8640,12722,8640,12666,8652,12666,8652,12650,8640,12650,8640,12622,8624,12622e" filled="false" stroked="true" strokeweight="1.66162pt" strokecolor="#ffffff">
              <v:path arrowok="t"/>
              <v:stroke dashstyle="solid"/>
            </v:shape>
            <v:shape style="position:absolute;left:9759;top:12339;width:344;height:732" type="#_x0000_t75" stroked="false">
              <v:imagedata r:id="rId105" o:title=""/>
            </v:shape>
            <v:shape style="position:absolute;left:11105;top:19478;width:698;height:172" type="#_x0000_t75" stroked="false">
              <v:imagedata r:id="rId107" o:title=""/>
            </v:shape>
            <v:shape style="position:absolute;left:7942;top:6535;width:953;height:128" coordorigin="7943,6535" coordsize="953,128" path="m7943,6541l7948,6635,7965,6635,7965,6596,7998,6596,7998,6635,8015,6635,8015,6541,7998,6541,7998,6580,7965,6580,7965,6541,7943,6541m8064,6563l8053,6569,8042,6574,8031,6585,8031,6602,8031,6618,8042,6629,8053,6635,8064,6641,8075,6635,8087,6635,8098,6618,8103,6613,8103,6602,8103,6591,8098,6585,8087,6569,8075,6569,8064,6563m8064,6580l8075,6585,8081,6585,8081,6596,8087,6602,8081,6613,8081,6618,8075,6624,8064,6624,8059,6624,8053,6618,8048,6613,8048,6602,8048,6596,8053,6585,8059,6585,8064,6580m8109,6569l8109,6635,8125,6635,8125,6607,8131,6591,8131,6585,8131,6580,8136,6580,8142,6580,8147,6569,8142,6563,8131,6569,8125,6574,8125,6569,8109,6569m8159,6569l8159,6635,8175,6635,8175,6607,8175,6602,8181,6596,8186,6585,8192,6580,8197,6585,8203,6591,8203,6596,8203,6607,8203,6635,8225,6635,8219,6591,8219,6580,8214,6574,8208,6569,8197,6563,8186,6569,8175,6574,8175,6569,8159,6569m8280,6541l8280,6635,8297,6635,8297,6596,8319,6635,8341,6635,8319,6596,8330,6585,8336,6580,8336,6569,8330,6552,8319,6546,8308,6541,8297,6541,8280,6541m8297,6580l8297,6557,8303,6557,8314,6563,8319,6569,8314,6580,8308,6580,8303,6580,8297,6580m8402,6569l8402,6574,8391,6569,8380,6563,8369,6569,8358,6574,8352,6585,8347,6602,8352,6618,8358,6629,8369,6635,8380,6641,8391,6635,8402,6629,8402,6635,8419,6635,8419,6569,8402,6569m8386,6580l8391,6585,8397,6585,8402,6596,8402,6602,8402,6613,8397,6618,8391,6624,8386,6624,8380,6624,8375,6618,8369,6613,8369,6602,8369,6596,8369,6585,8380,6585,8386,6580m8458,6569l8441,6569,8441,6663,8458,6663,8458,6629,8469,6635,8480,6641,8491,6635,8502,6629,8513,6618,8513,6602,8513,6585,8502,6574,8491,6569,8480,6563,8469,6569,8458,6574,8458,6569m8474,6580l8485,6585,8491,6585,8496,6596,8496,6602,8496,6613,8491,6618,8485,6624,8474,6624,8469,6624,8463,6618,8458,6613,8458,6602,8458,6596,8463,6585,8469,6585,8474,6580m8535,6535l8530,6541,8524,6546,8530,6557,8535,6557,8546,6557,8546,6546,8546,6541,8535,6535m8530,6563l8530,6635,8546,6635,8546,6563,8530,6563m8613,6535l8613,6574,8607,6563,8591,6563,8580,6563,8568,6574,8563,6585,8563,6602,8563,6613,8568,6624,8580,6635,8596,6635,8607,6635,8613,6629,8613,6635,8635,6635,8635,6535,8613,6535m8596,6580l8607,6580,8613,6585,8613,6591,8618,6602,8613,6607,8613,6613,8607,6618,8596,6618,8591,6618,8585,6613,8580,6607,8580,6602,8580,6591,8585,6585,8591,6580,8596,6580m8696,6574l8685,6569,8674,6563,8663,6563,8657,6569,8652,6574,8652,6585,8652,6596,8668,6602,8674,6607,8679,6613,8679,6618,8674,6618,8663,6618,8657,6613,8646,6624,8657,6635,8674,6635,8685,6635,8690,6629,8696,6624,8696,6613,8690,6602,8690,6596,8679,6591,8674,6591,8668,6585,8668,6580,8674,6580,8679,6580,8685,6585,8696,6574m8751,6541l8751,6635,8768,6635,8768,6596,8790,6635,8812,6635,8790,6591,8801,6585,8807,6574,8807,6569,8801,6552,8790,6541,8784,6541,8768,6541,8751,6541m8768,6580l8768,6557,8773,6557,8784,6557,8784,6563,8790,6569,8784,6574,8779,6574,8773,6580,8768,6580m8873,6535l8873,6574,8862,6563,8851,6563,8840,6563,8829,6574,8823,6585,8818,6602,8823,6613,8829,6624,8840,6635,8851,6635,8868,6635,8873,6629,8873,6635,8895,6635,8890,6535,8873,6535m8856,6580l8862,6580,8873,6585,8873,6591,8873,6602,8873,6607,8873,6613,8862,6618,8856,6618,8851,6618,8845,6613,8840,6607,8840,6602,8840,6591,8845,6585,8851,6580,8856,6580e" filled="false" stroked="true" strokeweight="1.66162pt" strokecolor="#ffffff">
              <v:path arrowok="t"/>
              <v:stroke dashstyle="solid"/>
            </v:shape>
            <v:shape style="position:absolute;left:8330;top:13209;width:161;height:720" type="#_x0000_t75" stroked="false">
              <v:imagedata r:id="rId110" o:title=""/>
            </v:shape>
            <v:shape style="position:absolute;left:12118;top:19849;width:277;height:726" type="#_x0000_t75" stroked="false">
              <v:imagedata r:id="rId111" o:title=""/>
            </v:shape>
            <v:shape style="position:absolute;left:9759;top:16028;width:599;height:133" type="#_x0000_t75" stroked="false">
              <v:imagedata r:id="rId112" o:title=""/>
            </v:shape>
            <v:shape style="position:absolute;left:10191;top:22319;width:593;height:139" type="#_x0000_t75" stroked="false">
              <v:imagedata r:id="rId113" o:title=""/>
            </v:shape>
            <v:shape style="position:absolute;left:8850;top:13369;width:139;height:100" coordorigin="8851,13370" coordsize="139,100" path="m8851,13375l8873,13469,8895,13469,8906,13408,8928,13469,8945,13469,8967,13375,8945,13375,8934,13436,8917,13375,8901,13375,8884,13436,8873,13375,8851,13375m8978,13370l8973,13375,8967,13381,8973,13392,8978,13392,8989,13392,8989,13381,8989,13375,8978,13370e" filled="false" stroked="true" strokeweight="1.66162pt" strokecolor="#ffffff">
              <v:path arrowok="t"/>
              <v:stroke dashstyle="solid"/>
            </v:shape>
            <v:line style="position:absolute" from="8973,13381" to="8973,13486" stroked="true" strokeweight="1.66162pt" strokecolor="#ffffff">
              <v:stroke dashstyle="solid"/>
            </v:line>
            <v:line style="position:absolute" from="9006,13353" to="9006,13486" stroked="true" strokeweight="1.66162pt" strokecolor="#ffffff">
              <v:stroke dashstyle="solid"/>
            </v:line>
            <v:shape style="position:absolute;left:9039;top:13364;width:632;height:106" coordorigin="9039,13364" coordsize="632,106" path="m9039,13370l9039,13469,9056,13469,9056,13370,9039,13370m9084,13370l9072,13370,9072,13381,9072,13386,9084,13392,9089,13386,9095,13381,9089,13370,9084,13370m9072,13397l9072,13464,9089,13464,9089,13397,9072,13397m9156,13397l9156,13403,9144,13397,9133,13392,9117,13397,9106,13403,9100,13420,9100,13431,9100,13447,9111,13458,9117,13464,9133,13469,9144,13464,9156,13458,9156,13464,9172,13464,9172,13397,9156,13397m9133,13408l9144,13414,9150,13414,9150,13425,9156,13431,9156,13442,9150,13447,9144,13453,9133,13453,9128,13453,9122,13447,9117,13442,9117,13431,9117,13425,9122,13414,9128,13414,9133,13408m9189,13397l9189,13464,9211,13464,9205,13436,9211,13425,9211,13420,9216,13414,9222,13408,9228,13414,9233,13420,9233,13425,9233,13431,9233,13464,9255,13464,9255,13436,9255,13425,9255,13420,9261,13414,9266,13408,9277,13414,9277,13420,9277,13431,9283,13464,9300,13464,9300,13425,9300,13414,9294,13408,9288,13397,9272,13392,9261,13397,9250,13408,9244,13397,9228,13392,9216,13397,9205,13403,9205,13397,9189,13397m9360,13403l9349,13397,9338,13392,9327,13392,9322,13397,9316,13403,9316,13414,9322,13425,9333,13436,9338,13436,9344,13442,9344,13447,9338,13447,9333,13447,9322,13442,9311,13453,9322,13464,9338,13464,9349,13464,9355,13458,9360,13453,9360,13442,9360,13431,9355,13425,9344,13420,9338,13420,9333,13414,9333,13408,9338,13408,9344,13408,9349,13414,9360,13403m9416,13464l9438,13464,9449,13464,9460,13458,9471,13453,9471,13436,9471,13420,9466,13414,9455,13408,9466,13403,9466,13392,9466,13386,9460,13381,9449,13370,9438,13370,9427,13370,9410,13370,9416,13464m9432,13386l9438,13386,9444,13386,9449,13397,9444,13403,9432,13408,9432,13386m9432,13420l9444,13425,9449,13425,9455,13431,9455,13436,9449,13442,9444,13447,9438,13447,9432,13447,9432,13420m9488,13364l9488,13464,9504,13464,9504,13364,9488,13364m9516,13392l9549,13464,9560,13464,9588,13392,9571,13392,9554,13431,9532,13392,9516,13392m9654,13364l9654,13397,9643,13392,9632,13392,9615,13392,9610,13397,9599,13414,9599,13425,9599,13442,9610,13453,9621,13458,9632,13464,9643,13458,9654,13453,9654,13458,9671,13458,9671,13364,9654,13364m9632,13403l9643,13408,9648,13408,9654,13420,9654,13425,9654,13436,9648,13442,9643,13447,9637,13447,9626,13447,9621,13442,9615,13436,9615,13425,9615,13420,9621,13414,9626,13408,9632,13403e" filled="false" stroked="true" strokeweight="1.66162pt" strokecolor="#ffffff">
              <v:path arrowok="t"/>
              <v:stroke dashstyle="solid"/>
            </v:shape>
            <v:shape style="position:absolute;left:6613;top:11863;width:133;height:599" type="#_x0000_t75" stroked="false">
              <v:imagedata r:id="rId114" o:title=""/>
            </v:shape>
            <v:shape style="position:absolute;left:4713;top:7133;width:3761;height:10141" coordorigin="4713,7133" coordsize="3761,10141" path="m4713,8103l4730,8103,4730,8086,4808,8092,4808,8069,4730,8069,4730,8053,4713,8053,4713,8103m4741,8053l4813,8025,4813,8014,4769,7997,4813,7986,4813,7975,4741,7948,4741,7964,4780,7981,4741,7992,4741,8003,4780,8020,4741,8031,4741,8053m4713,7931l4713,7937,4725,7942,4730,7937,4736,7931,4730,7920,4725,7920,4713,7920,4713,7931m4741,7937l4813,7942,4813,7920,4741,7920,4741,7937m4741,7903l4813,7903,4813,7887,4785,7887,4774,7887,4769,7887,4758,7881,4758,7870,4758,7865,4763,7859,4769,7859,4780,7859,4813,7859,4813,7842,4763,7842,4752,7842,4747,7848,4741,7853,4741,7865,4741,7876,4747,7887,4741,7887,4741,7903m4813,7787l4813,7759,4813,7748,4813,7743,4802,7732,4785,7726,4774,7732,4763,7743,4752,7737,4741,7732,4736,7737,4730,7737,4719,7754,4719,7759,4719,7770,4719,7787,4813,7787m4736,7770l4736,7765,4741,7754,4747,7754,4752,7754,4758,7765,4758,7770,4736,7770m4774,7770l4774,7765,4774,7754,4774,7748,4785,7743,4791,7748,4797,7754,4797,7765,4797,7770,4774,7770m4741,7715l4813,7715,4813,7698,4785,7698,4780,7698,4769,7698,4763,7698,4758,7693,4758,7687,4758,7682,4741,7676,4741,7687,4747,7693,4752,7698,4741,7698,4741,7715m4713,7660l4719,7665,4725,7671,4736,7665,4736,7660,4736,7649,4725,7649,4719,7649,4713,7660m4741,7665l4813,7671,4813,7649,4741,7649,4741,7665m4719,7588l4752,7588,4747,7599,4741,7610,4747,7621,4752,7632,4763,7643,4780,7643,4791,7643,4802,7632,4813,7621,4813,7610,4813,7599,4808,7588,4813,7588,4813,7571,4719,7571,4719,7588m4758,7604l4758,7599,4763,7593,4769,7588,4780,7588,4785,7588,4797,7593,4797,7599,4797,7604,4797,7615,4791,7621,4785,7626,4780,7626,4769,7626,4763,7621,4758,7615,4758,7604m4747,7499l4752,7499,4747,7510,4747,7521,4747,7532,4752,7543,4763,7554,4780,7554,4797,7554,4808,7543,4813,7532,4819,7521,4813,7510,4808,7499,4813,7499,4819,7505,4824,7510,4830,7521,4824,7527,4819,7538,4819,7554,4835,7549,4841,7538,4841,7521,4841,7505,4830,7488,4824,7482,4808,7482,4747,7482,4747,7499m4763,7516l4763,7510,4769,7505,4774,7499,4780,7499,4791,7499,4797,7505,4797,7510,4802,7516,4797,7527,4797,7532,4785,7538,4780,7538,4774,7538,4769,7532,4763,7527,4763,7516m4785,7394l4769,7394,4752,7405,4747,7416,4747,7427,4747,7444,4752,7455,4769,7466,4780,7466,4797,7466,4808,7455,4813,7444,4819,7427,4813,7410,4808,7405,4802,7399,4797,7410,4802,7421,4802,7427,4797,7444,4785,7449,4785,7394m4774,7410l4774,7449,4763,7444,4758,7427,4763,7416,4774,7410m4758,7333l4747,7338,4741,7355,4747,7361,4752,7372,4758,7377,4763,7377,4774,7372,4785,7361,4791,7355,4791,7349,4797,7344,4802,7349,4802,7355,4802,7361,4791,7366,4808,7377,4813,7372,4819,7355,4819,7344,4813,7338,4808,7333,4797,7327,4785,7333,4780,7338,4774,7349,4769,7355,4769,7361,4763,7361,4758,7355,4763,7349,4769,7344,4758,7333m4725,7272l4819,7277,4819,7255,4780,7255,4819,7233,4819,7217,4774,7239,4769,7222,4752,7217,4736,7222,4725,7233,4725,7244,4725,7255,4725,7272m4763,7255l4741,7255,4741,7250,4741,7244,4747,7239,4752,7233,4758,7239,4758,7244,4763,7250,4763,7255m4719,7150l4758,7150,4747,7161,4747,7172,4747,7183,4758,7194,4769,7200,4785,7205,4797,7200,4808,7194,4819,7183,4819,7172,4819,7161,4813,7150,4819,7150,4819,7133,4719,7133,4719,7150m4763,7167l4763,7161,4769,7156,4774,7150,4785,7150,4791,7150,4797,7156,4802,7161,4802,7167,4802,7178,4797,7183,4791,7183,4785,7189,4774,7183,4769,7183,4763,7178,4763,7167m6835,16804l6879,16887,6896,16876,6912,16870,6918,16864,6929,16848,6929,16831,6923,16809,6918,16798,6907,16792,6896,16787,6885,16781,6868,16787,6851,16792,6835,16804m6857,16809l6862,16804,6879,16804,6890,16804,6901,16809,6907,16820,6912,16826,6912,16837,6907,16848,6901,16853,6896,16859,6885,16864,6857,16809m6923,16781l6935,16809,6946,16820,6951,16831,6957,16837,6962,16837,6973,16837,6984,16831,6990,16831,6995,16820,7001,16815,7001,16804,6995,16798,6990,16781,6979,16754,6962,16765,6979,16792,6979,16804,6984,16809,6984,16815,6973,16820,6968,16820,6962,16815,6957,16815,6957,16804,6940,16776,6923,16781m7012,16737l6995,16743,7040,16831,7056,16820,7040,16792,7056,16792,7067,16792,7073,16781,7084,16770,7084,16759,7079,16743,7067,16732,7056,16726,7045,16720,7034,16726,7023,16732,7018,16743,7012,16737m7034,16743l7045,16737,7051,16743,7056,16743,7062,16754,7067,16759,7062,16765,7062,16776,7056,16776,7045,16781,7040,16781,7034,16776,7029,16770,7029,16759,7029,16754,7029,16748,7034,16743m7106,16693l7095,16698,7090,16709,7084,16726,7090,16737,7101,16754,7112,16759,7123,16759,7139,16754,7156,16743,7156,16737,7162,16726,7156,16715,7156,16704,7145,16693,7134,16687,7123,16687,7117,16687,7106,16693m7112,16704l7123,16704,7128,16704,7134,16709,7139,16715,7145,16720,7139,16732,7139,16737,7134,16743,7123,16743,7117,16743,7112,16737,7106,16732,7101,16726,7106,16715,7106,16709,7112,16704m7151,16671l7178,16732,7195,16726,7184,16698,7178,16698,7178,16687,7173,16676,7178,16671,7184,16671,7184,16654,7173,16654,7167,16660,7167,16671,7162,16665,7151,16671m7178,16626l7195,16648,7184,16654,7189,16665,7200,16660,7223,16709,7239,16704,7217,16654,7223,16648,7217,16637,7206,16643,7195,16615,7178,16626m7272,16610l7278,16615,7261,16615,7250,16615,7239,16626,7234,16637,7234,16648,7239,16665,7250,16676,7261,16682,7272,16687,7283,16682,7295,16676,7300,16665,7306,16671,7322,16665,7289,16599,7272,16610m7261,16632l7272,16626,7278,16632,7283,16632,7289,16637,7289,16648,7289,16654,7289,16665,7283,16665,7272,16671,7267,16671,7261,16665,7256,16660,7250,16648,7250,16643,7256,16637,7261,16632m7295,16565l7289,16571,7289,16576,7300,16582,7306,16582,7311,16576,7311,16565,7306,16560,7295,16565m7300,16593l7333,16654,7350,16648,7317,16582,7300,16593m7322,16554l7367,16643,7378,16632,7339,16543,7322,16554m7433,16510l7416,16510,7405,16510,7394,16516,7389,16527,7389,16538,7389,16543,7400,16554,7411,16560,7427,16565,7439,16565,7444,16565,7450,16571,7450,16576,7439,16582,7433,16588,7422,16582,7411,16593,7422,16599,7433,16604,7439,16604,7450,16599,7461,16593,7466,16582,7466,16571,7461,16565,7455,16554,7444,16549,7439,16549,7427,16543,7416,16543,7411,16538,7405,16538,7405,16532,7411,16527,7416,16527,7427,16527,7433,16510m7450,16493l7461,16516,7450,16516,7455,16532,7466,16527,7488,16576,7505,16571,7483,16521,7488,16516,7483,16499,7472,16504,7461,16482,7450,16493m8048,16488l8064,16493,8081,16488,8098,16477,8109,16460,8114,16438,8109,16421,8098,16410,8092,16399,8081,16394,8064,16394,8053,16394,8042,16394,8026,16410,8015,16427,8009,16444,8015,16460,8026,16471,8031,16482,8026,16493,8037,16516,8048,16488m8053,16471l8064,16460,8053,16438,8042,16466,8031,16455,8031,16444,8031,16432,8037,16421,8048,16410,8059,16410,8075,16410,8087,16416,8092,16427,8092,16438,8092,16449,8087,16460,8075,16471,8064,16471,8053,16471m8109,16488l8087,16504,8070,16510,8064,16516,8059,16521,8053,16527,8053,16538,8059,16549,8064,16554,8070,16560,8075,16565,8087,16565,8098,16565,8109,16560,8136,16543,8131,16532,8098,16543,8092,16549,8087,16549,8081,16549,8075,16543,8070,16532,8075,16527,8081,16527,8087,16521,8120,16504,8109,16488m8136,16643l8136,16637,8153,16632,8159,16615,8164,16604,8159,16588,8147,16576,8136,16571,8125,16565,8109,16571,8098,16582,8087,16593,8087,16604,8092,16621,8098,16632,8103,16637,8120,16643,8120,16626,8109,16621,8103,16615,8103,16604,8103,16599,8109,16593,8109,16588,8136,16643m8142,16621l8125,16582,8136,16588,8142,16593,8147,16610,8142,16621m8175,16720l8192,16709,8197,16698,8203,16682,8197,16665,8186,16654,8175,16648,8159,16648,8147,16648,8136,16660,8125,16671,8125,16687,8131,16698,8136,16709,8142,16715,8159,16720,8159,16704,8147,16698,8142,16693,8142,16687,8142,16682,8142,16671,8147,16671,8175,16720m8181,16698l8164,16665,8175,16665,8181,16676,8186,16687,8181,16698m8214,16715l8153,16743,8159,16759,8186,16748,8192,16748,8197,16743,8208,16743,8219,16754,8219,16759,8214,16765,8208,16770,8197,16770,8170,16787,8181,16804,8219,16781,8231,16776,8236,16770,8236,16759,8236,16748,8231,16743,8219,16732,8225,16732,8214,16715m8264,16831l8264,16820,8264,16809,8258,16798,8253,16792,8242,16792,8236,16792,8225,16804,8219,16820,8219,16826,8219,16831,8219,16837,8214,16837,8208,16831,8208,16826,8208,16815,8197,16809,8192,16826,8197,16837,8203,16848,8208,16853,8219,16853,8225,16853,8236,16842,8236,16837,8236,16826,8236,16820,8242,16815,8242,16809,8247,16809,8247,16815,8247,16820,8247,16826,8264,16831m8297,16887l8291,16892,8291,16876,8291,16864,8286,16853,8275,16848,8258,16848,8242,16853,8231,16859,8225,16870,8225,16887,8225,16898,8231,16909,8242,16914,8231,16914,8225,16914,8214,16903,8214,16892,8214,16887,8208,16870,8197,16881,8197,16898,8203,16914,8214,16925,8225,16931,8236,16936,8253,16931,8308,16903,8297,16887m8275,16876l8280,16887,8280,16892,8275,16898,8269,16903,8258,16903,8253,16903,8247,16898,8242,16892,8242,16887,8242,16881,8247,16870,8253,16870,8258,16864,8269,16864,8275,16870,8275,16876m8336,16964l8330,16970,8330,16959,8330,16948,8319,16936,8308,16931,8297,16925,8280,16931,8269,16942,8264,16953,8258,16964,8264,16975,8269,16986,8280,16992,8275,16997,8280,17014,8347,16981,8336,16964m8314,16953l8319,16964,8319,16970,8314,16975,8308,16981,8297,16986,8291,16981,8280,16981,8280,16975,8275,16964,8280,16959,8280,16953,8291,16948,8297,16948,8303,16948,8314,16948,8314,16953m8375,16992l8352,17003,8347,16992,8336,17003,8336,17008,8286,17031,8297,17047,8347,17025,8352,17036,8363,17025,8358,17020,8380,17008,8375,16992m8363,17114l8380,17103,8386,17092,8386,17080,8386,17064,8375,17053,8363,17042,8347,17042,8336,17047,8325,17053,8314,17069,8314,17080,8319,17097,8325,17103,8330,17108,8347,17119,8347,17103,8336,17097,8330,17092,8330,17080,8330,17075,8330,17069,8336,17064,8363,17114m8369,17092l8352,17058,8363,17058,8369,17069,8375,17080,8369,17092m8441,17136l8358,17175,8369,17197,8375,17208,8380,17219,8391,17230,8413,17230,8430,17224,8447,17219,8452,17208,8458,17197,8463,17186,8458,17175,8452,17152,8441,17136m8435,17158l8441,17164,8441,17180,8441,17191,8435,17202,8424,17208,8413,17213,8408,17213,8397,17208,8391,17202,8386,17191,8380,17186,8435,17158m8458,17224l8397,17258,8402,17274,8430,17263,8430,17258,8441,17252,8452,17252,8458,17258,8458,17263,8474,17263,8474,17252,8469,17247,8458,17247,8469,17241,8458,17224e" filled="false" stroked="true" strokeweight="1.66162pt" strokecolor="#ffffff">
              <v:path arrowok="t"/>
              <v:stroke dashstyle="solid"/>
            </v:shape>
            <v:shape style="position:absolute;left:9266;top:12322;width:133;height:693" type="#_x0000_t75" stroked="false">
              <v:imagedata r:id="rId115" o:title=""/>
            </v:shape>
            <v:shape style="position:absolute;left:7865;top:15009;width:565;height:632" type="#_x0000_t75" stroked="false">
              <v:imagedata r:id="rId116" o:title=""/>
            </v:shape>
            <v:shape style="position:absolute;left:7892;top:14050;width:615;height:144" type="#_x0000_t75" stroked="false">
              <v:imagedata r:id="rId117" o:title=""/>
            </v:shape>
            <v:shape style="position:absolute;left:6402;top:16266;width:765;height:266" coordorigin="6403,16266" coordsize="765,266" path="m6425,16266l6403,16360,6419,16366,6430,16322,6447,16372,6469,16377,6447,16316,6491,16283,6469,16277,6436,16305,6442,16272,6425,16266m6552,16366l6552,16360,6558,16344,6552,16333,6541,16322,6525,16316,6514,16316,6497,16316,6486,16327,6480,16344,6480,16355,6486,16372,6497,16383,6508,16388,6530,16388,6536,16383,6547,16377,6530,16366,6525,16372,6514,16372,6502,16366,6497,16349,6552,16366m6541,16344l6502,16338,6508,16333,6525,16327,6536,16333,6541,16344m6580,16327l6563,16394,6580,16399,6586,16372,6591,16366,6591,16360,6602,16349,6608,16349,6613,16355,6619,16360,6619,16366,6613,16377,6608,16405,6624,16410,6635,16366,6635,16355,6635,16344,6630,16338,6619,16333,6608,16333,6597,16338,6597,16333,6580,16327m6658,16349l6641,16416,6658,16421,6663,16394,6663,16383,6669,16377,6674,16372,6685,16366,6691,16372,6691,16377,6691,16388,6691,16394,6685,16427,6702,16432,6713,16383,6713,16372,6707,16366,6702,16360,6691,16355,6685,16355,6669,16360,6674,16349,6658,16349m6796,16421l6796,16416,6796,16405,6796,16388,6785,16377,6768,16372,6757,16372,6741,16377,6730,16388,6724,16399,6724,16416,6730,16427,6741,16438,6752,16444,6774,16444,6779,16444,6790,16438,6774,16427,6768,16432,6757,16427,6746,16421,6741,16410,6796,16421m6779,16405l6746,16394,6752,16388,6768,16388,6779,16394,6779,16405m6874,16366l6862,16405,6857,16394,6846,16388,6835,16388,6818,16394,6813,16405,6807,16416,6802,16432,6807,16444,6818,16455,6829,16460,6840,16460,6851,16455,6851,16466,6868,16466,6890,16372,6874,16366m6846,16405l6851,16410,6857,16416,6862,16421,6857,16427,6857,16438,6851,16444,6846,16444,6835,16444,6829,16444,6824,16438,6824,16427,6824,16421,6824,16410,6829,16405,6840,16405,6846,16405m6896,16405l6907,16471,6885,16499,6901,16504,6968,16421,6951,16416,6918,16455,6912,16405,6896,16405m7023,16405l7001,16499,7018,16504,7029,16466,7045,16510,7062,16516,7051,16466,7056,16466,7067,16460,7073,16449,7073,16438,7073,16432,7062,16421,7056,16416,7045,16410,7023,16405m7034,16449l7040,16427,7045,16432,7051,16432,7056,16438,7056,16444,7051,16449,7045,16449,7040,16449,7034,16449m7151,16432l7139,16466,7134,16460,7123,16455,7106,16455,7095,16460,7084,16466,7079,16482,7079,16493,7084,16510,7095,16521,7106,16527,7117,16527,7128,16521,7128,16527,7145,16532,7167,16438,7151,16432m7123,16471l7128,16471,7134,16477,7134,16488,7134,16493,7134,16504,7128,16510,7117,16510,7112,16510,7106,16504,7101,16499,7095,16493,7101,16482,7101,16477,7106,16471,7112,16471,7123,16471e" filled="false" stroked="true" strokeweight="1.66162pt" strokecolor="#ffffff">
              <v:path arrowok="t"/>
              <v:stroke dashstyle="solid"/>
            </v:shape>
            <v:shape style="position:absolute;left:4719;top:19650;width:139;height:604" type="#_x0000_t75" stroked="false">
              <v:imagedata r:id="rId118" o:title=""/>
            </v:shape>
            <v:shape style="position:absolute;left:720;top:2879;width:14401;height:20880" coordorigin="720,2880" coordsize="14401,20880" path="m720,13320l720,2880,15121,2880,15121,23760,720,23760,720,13320e" filled="false" stroked="true" strokeweight="1.10775pt" strokecolor="#000000">
              <v:path arrowok="t"/>
              <v:stroke dashstyle="solid"/>
            </v:shape>
            <v:shape style="position:absolute;left:852;top:19805;width:3678;height:3872" coordorigin="853,19805" coordsize="3678,3872" path="m4298,23671l1086,23671,1091,23677,4293,23677,4298,23671xm4326,23666l1058,23666,1063,23671,4320,23671,4326,23666xm4342,23660l1041,23660,1047,23666,4337,23666,4342,23660xm4359,23655l1025,23655,1030,23660,4353,23660,4359,23655xm4376,23649l1014,23649,1019,23655,4370,23655,4376,23649xm4392,23638l991,23638,997,23643,1003,23643,1008,23649,4381,23649,4392,23638xm4398,19844l986,19844,975,19855,969,19855,953,19872,947,19872,919,19899,919,19905,903,19922,903,19927,892,19938,892,19944,886,19949,886,19955,881,19960,881,19966,875,19971,875,19977,870,19983,870,19994,864,19999,864,20010,859,20016,859,20038,853,20043,853,23439,859,23444,859,23466,864,23472,864,23483,870,23488,870,23499,875,23505,875,23511,881,23516,881,23522,886,23527,886,23533,892,23538,892,23544,903,23555,903,23560,919,23577,919,23583,947,23610,953,23610,969,23627,975,23627,986,23638,4398,23638,4403,23632,4409,23632,4425,23616,4431,23616,4470,23577,4470,23571,4486,23555,4486,23549,4492,23544,4492,23538,4497,23533,4497,23527,4503,23522,4503,23516,4509,23511,4509,23505,4514,23499,4514,23488,4520,23483,4520,23472,4525,23466,4525,23444,4531,23439,4531,20043,4525,20038,4525,20016,4520,20010,4520,19999,4514,19994,4514,19983,4509,19977,4509,19971,4503,19966,4503,19960,4497,19955,4497,19949,4492,19944,4492,19938,4486,19933,4486,19927,4470,19911,4470,19905,4431,19866,4425,19866,4409,19850,4403,19850,4398,19844xm4381,19833l1008,19833,1003,19839,997,19839,991,19844,4392,19844,4381,19833xm4370,19827l1019,19827,1014,19833,4376,19833,4370,19827xm4353,19822l1030,19822,1025,19827,4359,19827,4353,19822xm4337,19816l1047,19816,1041,19822,4342,19822,4337,19816xm4320,19811l1063,19811,1058,19816,4326,19816,4320,19811xm4293,19805l1091,19805,1086,19811,4298,19811,4293,19805xe" filled="true" fillcolor="#ffffff" stroked="false">
              <v:path arrowok="t"/>
              <v:fill type="solid"/>
            </v:shape>
            <v:line style="position:absolute" from="1052,21367" to="1473,21367" stroked="true" strokeweight="1.93856pt" strokecolor="#897044">
              <v:stroke dashstyle="solid"/>
            </v:line>
            <v:line style="position:absolute" from="1052,21650" to="1473,21650" stroked="true" strokeweight="1.93856pt" strokecolor="#ff0000">
              <v:stroke dashstyle="solid"/>
            </v:line>
            <v:line style="position:absolute" from="1052,21938" to="1473,21938" stroked="true" strokeweight="1.93856pt" strokecolor="#38a700">
              <v:stroke dashstyle="solid"/>
            </v:line>
            <v:line style="position:absolute" from="1052,22220" to="1473,22220" stroked="true" strokeweight="1.93856pt" strokecolor="#c500ff">
              <v:stroke dashstyle="solid"/>
            </v:line>
            <v:line style="position:absolute" from="1052,22508" to="1473,22508" stroked="true" strokeweight="1.93856pt" strokecolor="#ffaa00">
              <v:stroke dashstyle="solid"/>
            </v:line>
            <v:line style="position:absolute" from="1052,22791" to="1473,22791" stroked="true" strokeweight="1.10775pt" strokecolor="#818181">
              <v:stroke dashstyle="solid"/>
            </v:line>
            <v:line style="position:absolute" from="1052,23372" to="1473,23372" stroked="true" strokeweight="1.93856pt" strokecolor="#005be5">
              <v:stroke dashstyle="solid"/>
            </v:line>
            <v:line style="position:absolute" from="4259,23677" to="1130,23677" stroked="true" strokeweight="1.10775pt" strokecolor="#000000">
              <v:stroke dashstyle="solid"/>
            </v:line>
            <v:shape style="position:absolute;left:841;top:23388;width:300;height:300" type="#_x0000_t75" stroked="false">
              <v:imagedata r:id="rId143" o:title=""/>
            </v:shape>
            <v:line style="position:absolute" from="853,23400" to="853,20082" stroked="true" strokeweight="1.10775pt" strokecolor="#000000">
              <v:stroke dashstyle="solid"/>
            </v:line>
            <v:shape style="position:absolute;left:841;top:19794;width:300;height:300" type="#_x0000_t75" stroked="false">
              <v:imagedata r:id="rId144" o:title=""/>
            </v:shape>
            <v:line style="position:absolute" from="1130,19805" to="4259,19805" stroked="true" strokeweight="1.10775pt" strokecolor="#000000">
              <v:stroke dashstyle="solid"/>
            </v:line>
            <v:shape style="position:absolute;left:4248;top:19794;width:294;height:300" type="#_x0000_t75" stroked="false">
              <v:imagedata r:id="rId145" o:title=""/>
            </v:shape>
            <v:line style="position:absolute" from="4531,20082" to="4531,23400" stroked="true" strokeweight="1.10775pt" strokecolor="#000000">
              <v:stroke dashstyle="solid"/>
            </v:line>
            <v:shape style="position:absolute;left:4248;top:23388;width:294;height:300" type="#_x0000_t75" stroked="false">
              <v:imagedata r:id="rId146" o:title=""/>
            </v:shape>
            <v:rect style="position:absolute;left:720;top:720;width:14401;height:2160" filled="false" stroked="true" strokeweight="1.10775pt" strokecolor="#000000">
              <v:stroke dashstyle="solid"/>
            </v:rect>
            <v:shape style="position:absolute;left:14539;top:947;width:344;height:1706" coordorigin="14539,947" coordsize="344,1706" path="m14713,2000l14708,2000,14708,2595,14711,2595,14711,2599,14779,2653,14779,2135,14713,2074,14713,2000xm14883,1658l14595,1658,14573,1662,14555,1674,14544,1692,14539,1714,14539,2000,14826,2000,14848,1995,14866,1983,14878,1965,14882,1949,14708,1949,14688,1947,14668,1942,14649,1933,14632,1921,14620,1909,14632,1898,14610,1898,14593,1860,14590,1819,14590,1818,14600,1779,14625,1745,14643,1730,14664,1719,14685,1712,14708,1710,14883,1710,14883,1658xm14883,1740l14792,1740,14802,1751,14825,1791,14831,1834,14821,1877,14795,1914,14777,1929,14757,1940,14735,1947,14713,1949,14882,1949,14883,1944,14883,1740xm14711,1911l14709,1911,14709,1913,14708,1913,14701,1916,14693,1919,14686,1923,14681,1924,14675,1924,14670,1926,14681,1931,14694,1934,14726,1934,14731,1932,14713,1914,14711,1911xm14752,1881l14742,1890,14734,1896,14724,1903,14749,1927,14759,1923,14770,1918,14779,1909,14752,1881xm14676,1876l14645,1908,14653,1913,14666,1913,14686,1906,14699,1899,14676,1876xm14713,1728l14708,1728,14669,1737,14638,1760,14616,1792,14609,1829,14609,1833,14609,1845,14612,1859,14617,1872,14623,1885,14610,1898,14632,1898,14661,1868,14640,1868,14633,1857,14630,1844,14630,1829,14632,1815,14636,1800,14644,1786,14655,1773,14666,1763,14679,1756,14693,1752,14708,1750,14782,1750,14788,1743,14765,1743,14754,1737,14741,1733,14727,1730,14713,1728xm14785,1842l14779,1852,14770,1862,14762,1870,14790,1898,14798,1888,14805,1876,14808,1867,14785,1842xm14711,1842l14686,1867,14708,1886,14713,1891,14722,1886,14731,1878,14741,1870,14713,1844,14711,1842xm14721,1770l14708,1770,14697,1771,14687,1774,14677,1780,14668,1788,14660,1797,14654,1808,14651,1819,14650,1829,14650,1839,14651,1847,14653,1853,14640,1868,14661,1868,14713,1817,14758,1773,14734,1773,14721,1770xm14747,1806l14722,1830,14752,1860,14760,1850,14774,1830,14747,1806xm14807,1789l14807,1794,14805,1799,14803,1806,14800,1812,14793,1829,14813,1849,14815,1834,14815,1829,14814,1818,14812,1803,14807,1789xm14790,1765l14759,1794,14782,1817,14784,1811,14787,1806,14793,1786,14793,1773,14790,1765xm14782,1750l14726,1750,14737,1753,14749,1758,14734,1773,14758,1773,14782,1750xm14883,1710l14713,1710,14730,1712,14747,1716,14762,1723,14777,1732,14765,1743,14788,1743,14792,1740,14883,1740,14883,1710xm14713,947l14642,1523,14708,1585,14708,1658,14713,1658,14713,947xe" filled="true" fillcolor="#335f93" stroked="false">
              <v:path arrowok="t"/>
              <v:fill type="solid"/>
            </v:shape>
            <v:shape style="position:absolute;left:14589;top:1710;width:188;height:188" type="#_x0000_t75" stroked="false">
              <v:imagedata r:id="rId123" o:title=""/>
            </v:shape>
            <v:shape style="position:absolute;left:819;top:1046;width:1508;height:1795" type="#_x0000_t75" stroked="false">
              <v:imagedata r:id="rId124" o:title=""/>
            </v:shape>
            <w10:wrap type="none"/>
          </v:group>
        </w:pict>
      </w:r>
      <w:r>
        <w:rPr>
          <w:rFonts w:ascii="Arial"/>
          <w:b/>
          <w:sz w:val="19"/>
        </w:rPr>
        <w:t>Street Classification</w:t>
      </w:r>
    </w:p>
    <w:p>
      <w:pPr>
        <w:spacing w:before="105"/>
        <w:ind w:left="1550" w:right="0" w:firstLine="0"/>
        <w:jc w:val="left"/>
        <w:rPr>
          <w:rFonts w:ascii="Arial"/>
          <w:sz w:val="14"/>
        </w:rPr>
      </w:pPr>
      <w:r>
        <w:rPr>
          <w:rFonts w:ascii="Arial"/>
          <w:w w:val="105"/>
          <w:sz w:val="14"/>
        </w:rPr>
        <w:t>Interstate</w:t>
      </w:r>
    </w:p>
    <w:p>
      <w:pPr>
        <w:pStyle w:val="BodyText"/>
        <w:spacing w:before="2"/>
        <w:rPr>
          <w:rFonts w:ascii="Arial"/>
          <w:sz w:val="37"/>
        </w:rPr>
      </w:pPr>
      <w:r>
        <w:rPr/>
        <w:br w:type="column"/>
      </w:r>
      <w:r>
        <w:rPr>
          <w:rFonts w:ascii="Arial"/>
          <w:sz w:val="37"/>
        </w:rPr>
      </w:r>
    </w:p>
    <w:p>
      <w:pPr>
        <w:spacing w:before="0"/>
        <w:ind w:left="1052" w:right="0" w:firstLine="0"/>
        <w:jc w:val="left"/>
        <w:rPr>
          <w:rFonts w:ascii="Century Gothic"/>
          <w:sz w:val="24"/>
        </w:rPr>
      </w:pPr>
      <w:r>
        <w:rPr>
          <w:rFonts w:ascii="Century Gothic"/>
          <w:sz w:val="24"/>
        </w:rPr>
        <w:t>February 24, 2017</w:t>
      </w:r>
    </w:p>
    <w:p>
      <w:pPr>
        <w:spacing w:after="0"/>
        <w:jc w:val="left"/>
        <w:rPr>
          <w:rFonts w:ascii="Century Gothic"/>
          <w:sz w:val="24"/>
        </w:rPr>
        <w:sectPr>
          <w:type w:val="continuous"/>
          <w:pgSz w:w="15840" w:h="24480"/>
          <w:pgMar w:top="1480" w:bottom="1320" w:left="0" w:right="0"/>
          <w:cols w:num="2" w:equalWidth="0">
            <w:col w:w="2969" w:space="9050"/>
            <w:col w:w="3821"/>
          </w:cols>
        </w:sectPr>
      </w:pPr>
    </w:p>
    <w:p>
      <w:pPr>
        <w:pStyle w:val="BodyText"/>
        <w:spacing w:before="8"/>
        <w:rPr>
          <w:rFonts w:ascii="Century Gothic"/>
          <w:sz w:val="13"/>
        </w:rPr>
      </w:pPr>
    </w:p>
    <w:p>
      <w:pPr>
        <w:spacing w:before="100"/>
        <w:ind w:left="3842" w:right="3837" w:firstLine="0"/>
        <w:jc w:val="center"/>
        <w:rPr>
          <w:rFonts w:ascii="Century Gothic"/>
          <w:b/>
          <w:sz w:val="72"/>
        </w:rPr>
      </w:pPr>
      <w:r>
        <w:rPr>
          <w:rFonts w:ascii="Century Gothic"/>
          <w:b/>
          <w:color w:val="004CA7"/>
          <w:sz w:val="72"/>
        </w:rPr>
        <w:t>City of</w:t>
      </w:r>
      <w:r>
        <w:rPr>
          <w:rFonts w:ascii="Century Gothic"/>
          <w:b/>
          <w:color w:val="004CA7"/>
          <w:spacing w:val="-1"/>
          <w:sz w:val="72"/>
        </w:rPr>
        <w:t> </w:t>
      </w:r>
      <w:r>
        <w:rPr>
          <w:rFonts w:ascii="Century Gothic"/>
          <w:b/>
          <w:color w:val="004CA7"/>
          <w:sz w:val="72"/>
        </w:rPr>
        <w:t>Richland</w:t>
      </w:r>
    </w:p>
    <w:p>
      <w:pPr>
        <w:pStyle w:val="ListParagraph"/>
        <w:numPr>
          <w:ilvl w:val="1"/>
          <w:numId w:val="6"/>
        </w:numPr>
        <w:tabs>
          <w:tab w:pos="1239" w:val="left" w:leader="none"/>
          <w:tab w:pos="5600" w:val="left" w:leader="none"/>
        </w:tabs>
        <w:spacing w:line="240" w:lineRule="auto" w:before="47" w:after="0"/>
        <w:ind w:left="5599" w:right="0" w:hanging="5425"/>
        <w:jc w:val="left"/>
        <w:rPr>
          <w:rFonts w:ascii="Century Gothic"/>
          <w:b/>
          <w:sz w:val="40"/>
        </w:rPr>
      </w:pPr>
      <w:r>
        <w:rPr>
          <w:rFonts w:ascii="Century Gothic"/>
          <w:b/>
          <w:w w:val="95"/>
          <w:sz w:val="40"/>
        </w:rPr>
        <w:t>-</w:t>
        <w:tab/>
      </w:r>
      <w:r>
        <w:rPr>
          <w:rFonts w:ascii="Century Gothic"/>
          <w:b/>
          <w:sz w:val="40"/>
        </w:rPr>
        <w:t>2016 All Day Traffic</w:t>
      </w:r>
      <w:r>
        <w:rPr>
          <w:rFonts w:ascii="Century Gothic"/>
          <w:b/>
          <w:spacing w:val="-5"/>
          <w:sz w:val="40"/>
        </w:rPr>
        <w:t> </w:t>
      </w:r>
      <w:r>
        <w:rPr>
          <w:rFonts w:ascii="Century Gothic"/>
          <w:b/>
          <w:sz w:val="40"/>
        </w:rPr>
        <w:t>Counts</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5"/>
        <w:rPr>
          <w:rFonts w:ascii="Century Gothic"/>
          <w:b/>
        </w:rPr>
      </w:pPr>
    </w:p>
    <w:p>
      <w:pPr>
        <w:spacing w:after="0"/>
        <w:rPr>
          <w:rFonts w:ascii="Century Gothic"/>
        </w:rPr>
        <w:sectPr>
          <w:footerReference w:type="default" r:id="rId147"/>
          <w:pgSz w:w="15840" w:h="24480"/>
          <w:pgMar w:footer="0" w:header="0" w:top="760" w:bottom="280" w:left="0" w:right="0"/>
        </w:sectPr>
      </w:pPr>
    </w:p>
    <w:p>
      <w:pPr>
        <w:pStyle w:val="BodyText"/>
        <w:spacing w:before="7"/>
        <w:rPr>
          <w:rFonts w:ascii="Century Gothic"/>
          <w:b/>
          <w:sz w:val="35"/>
        </w:rPr>
      </w:pPr>
    </w:p>
    <w:p>
      <w:pPr>
        <w:spacing w:before="0"/>
        <w:ind w:left="0" w:right="0" w:firstLine="0"/>
        <w:jc w:val="right"/>
        <w:rPr>
          <w:rFonts w:ascii="Arial"/>
          <w:b/>
          <w:sz w:val="13"/>
        </w:rPr>
      </w:pPr>
      <w:r>
        <w:rPr>
          <w:rFonts w:ascii="Arial Black"/>
          <w:color w:val="FFFFFF"/>
          <w:spacing w:val="-271"/>
          <w:w w:val="101"/>
          <w:position w:val="-2"/>
          <w:sz w:val="32"/>
        </w:rPr>
        <w:t>U</w:t>
      </w:r>
      <w:r>
        <w:rPr>
          <w:rFonts w:ascii="Arial Black"/>
          <w:spacing w:val="-246"/>
          <w:w w:val="108"/>
          <w:position w:val="-2"/>
          <w:sz w:val="32"/>
        </w:rPr>
        <w:t>V</w:t>
      </w:r>
      <w:r>
        <w:rPr>
          <w:rFonts w:ascii="Arial"/>
          <w:b/>
          <w:spacing w:val="-2"/>
          <w:w w:val="102"/>
          <w:sz w:val="13"/>
        </w:rPr>
        <w:t>2</w:t>
      </w:r>
      <w:r>
        <w:rPr>
          <w:rFonts w:ascii="Arial"/>
          <w:b/>
          <w:spacing w:val="3"/>
          <w:w w:val="102"/>
          <w:sz w:val="13"/>
        </w:rPr>
        <w:t>4</w:t>
      </w:r>
      <w:r>
        <w:rPr>
          <w:rFonts w:ascii="Arial"/>
          <w:b/>
          <w:w w:val="102"/>
          <w:sz w:val="13"/>
        </w:rPr>
        <w:t>0</w:t>
      </w:r>
    </w:p>
    <w:p>
      <w:pPr>
        <w:spacing w:before="107"/>
        <w:ind w:left="3726" w:right="0" w:firstLine="0"/>
        <w:jc w:val="left"/>
        <w:rPr>
          <w:rFonts w:ascii="Century Gothic"/>
          <w:b/>
          <w:sz w:val="13"/>
        </w:rPr>
      </w:pPr>
      <w:r>
        <w:rPr/>
        <w:br w:type="column"/>
      </w:r>
      <w:r>
        <w:rPr>
          <w:rFonts w:ascii="Century Gothic"/>
          <w:b/>
          <w:color w:val="4D4D4D"/>
          <w:sz w:val="13"/>
        </w:rPr>
        <w:t>Horn Rapids Rd</w:t>
      </w:r>
    </w:p>
    <w:p>
      <w:pPr>
        <w:pStyle w:val="BodyText"/>
        <w:rPr>
          <w:rFonts w:ascii="Century Gothic"/>
          <w:b/>
          <w:sz w:val="16"/>
        </w:rPr>
      </w:pPr>
    </w:p>
    <w:p>
      <w:pPr>
        <w:pStyle w:val="BodyText"/>
        <w:rPr>
          <w:rFonts w:ascii="Century Gothic"/>
          <w:b/>
          <w:sz w:val="16"/>
        </w:rPr>
      </w:pPr>
    </w:p>
    <w:p>
      <w:pPr>
        <w:pStyle w:val="BodyText"/>
        <w:spacing w:before="4"/>
        <w:rPr>
          <w:rFonts w:ascii="Century Gothic"/>
          <w:b/>
          <w:sz w:val="14"/>
        </w:rPr>
      </w:pPr>
    </w:p>
    <w:p>
      <w:pPr>
        <w:spacing w:before="1"/>
        <w:ind w:left="3896" w:right="6662" w:firstLine="0"/>
        <w:jc w:val="center"/>
        <w:rPr>
          <w:rFonts w:ascii="Century Gothic"/>
          <w:b/>
          <w:sz w:val="13"/>
        </w:rPr>
      </w:pPr>
      <w:r>
        <w:rPr/>
        <w:pict>
          <v:shape style="position:absolute;margin-left:232.788712pt;margin-top:-6.663767pt;width:10.7pt;height:51.35pt;mso-position-horizontal-relative:page;mso-position-vertical-relative:paragraph;z-index:251836416"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position w:val="1"/>
                      <w:sz w:val="13"/>
                    </w:rPr>
                    <w:t>Twin Br</w:t>
                  </w:r>
                  <w:r>
                    <w:rPr>
                      <w:rFonts w:ascii="Century Gothic"/>
                      <w:b/>
                      <w:color w:val="4D4D4D"/>
                      <w:sz w:val="13"/>
                    </w:rPr>
                    <w:t>idges Rd</w:t>
                  </w:r>
                </w:p>
              </w:txbxContent>
            </v:textbox>
            <w10:wrap type="none"/>
          </v:shape>
        </w:pict>
      </w:r>
      <w:r>
        <w:rPr/>
        <w:pict>
          <v:shape style="position:absolute;margin-left:345.243408pt;margin-top:-10.712557pt;width:11.75pt;height:50.45pt;mso-position-horizontal-relative:page;mso-position-vertical-relative:paragraph;z-index:251839488"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Kin</w:t>
                  </w:r>
                  <w:r>
                    <w:rPr>
                      <w:rFonts w:ascii="Century Gothic"/>
                      <w:b/>
                      <w:color w:val="4D4D4D"/>
                      <w:position w:val="1"/>
                      <w:sz w:val="13"/>
                    </w:rPr>
                    <w:t>gsga</w:t>
                  </w:r>
                  <w:r>
                    <w:rPr>
                      <w:rFonts w:ascii="Century Gothic"/>
                      <w:b/>
                      <w:color w:val="4D4D4D"/>
                      <w:position w:val="2"/>
                      <w:sz w:val="13"/>
                    </w:rPr>
                    <w:t>te W</w:t>
                  </w:r>
                  <w:r>
                    <w:rPr>
                      <w:rFonts w:ascii="Century Gothic"/>
                      <w:b/>
                      <w:color w:val="4D4D4D"/>
                      <w:position w:val="3"/>
                      <w:sz w:val="13"/>
                    </w:rPr>
                    <w:t>ay</w:t>
                  </w:r>
                </w:p>
              </w:txbxContent>
            </v:textbox>
            <w10:wrap type="none"/>
          </v:shape>
        </w:pict>
      </w:r>
      <w:r>
        <w:rPr>
          <w:rFonts w:ascii="Century Gothic"/>
          <w:b/>
          <w:color w:val="4D4D4D"/>
          <w:sz w:val="13"/>
        </w:rPr>
        <w:t>Battelle B</w:t>
      </w:r>
      <w:r>
        <w:rPr>
          <w:rFonts w:ascii="Century Gothic"/>
          <w:b/>
          <w:color w:val="4D4D4D"/>
          <w:position w:val="1"/>
          <w:sz w:val="13"/>
        </w:rPr>
        <w:t>lvd</w:t>
      </w:r>
    </w:p>
    <w:p>
      <w:pPr>
        <w:spacing w:after="0"/>
        <w:jc w:val="center"/>
        <w:rPr>
          <w:rFonts w:ascii="Century Gothic"/>
          <w:sz w:val="13"/>
        </w:rPr>
        <w:sectPr>
          <w:type w:val="continuous"/>
          <w:pgSz w:w="15840" w:h="24480"/>
          <w:pgMar w:top="1480" w:bottom="1320" w:left="0" w:right="0"/>
          <w:cols w:num="2" w:equalWidth="0">
            <w:col w:w="4168" w:space="40"/>
            <w:col w:w="11632"/>
          </w:cols>
        </w:sect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1"/>
        <w:rPr>
          <w:rFonts w:ascii="Century Gothic"/>
          <w:b/>
          <w:sz w:val="18"/>
        </w:rPr>
      </w:pPr>
    </w:p>
    <w:p>
      <w:pPr>
        <w:spacing w:before="0"/>
        <w:ind w:left="7746" w:right="3862" w:firstLine="0"/>
        <w:jc w:val="center"/>
        <w:rPr>
          <w:rFonts w:ascii="Century Gothic"/>
          <w:b/>
          <w:sz w:val="13"/>
        </w:rPr>
      </w:pPr>
      <w:r>
        <w:rPr/>
        <w:pict>
          <v:shape style="position:absolute;margin-left:448.586078pt;margin-top:39.865178pt;width:33.25pt;height:6.65pt;mso-position-horizontal-relative:page;mso-position-vertical-relative:paragraph;z-index:251849728;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66.730322pt;margin-top:67.483144pt;width:80.6pt;height:6.65pt;mso-position-horizontal-relative:page;mso-position-vertical-relative:paragraph;z-index:251851776;rotation:272" type="#_x0000_t136" fillcolor="#4d4d4d" stroked="f">
            <o:extrusion v:ext="view" autorotationcenter="t"/>
            <v:textpath style="font-family:&quot;Century Gothic&quot;;font-size:6pt;v-text-kern:t;mso-text-shadow:auto;font-weight:bold" string="George Washington Way"/>
            <w10:wrap type="none"/>
          </v:shape>
        </w:pict>
      </w:r>
      <w:r>
        <w:rPr/>
        <w:pict>
          <v:shape style="position:absolute;margin-left:412.456348pt;margin-top:75.466512pt;width:40.75pt;height:6.65pt;mso-position-horizontal-relative:page;mso-position-vertical-relative:paragraph;z-index:251852800;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393.600909pt;margin-top:62.968308pt;width:40.25pt;height:6.65pt;mso-position-horizontal-relative:page;mso-position-vertical-relative:paragraph;z-index:251854848;rotation:306" type="#_x0000_t136" fillcolor="#4d4d4d" stroked="f">
            <o:extrusion v:ext="view" autorotationcenter="t"/>
            <v:textpath style="font-family:&quot;Century Gothic&quot;;font-size:6pt;v-text-kern:t;mso-text-shadow:auto;font-weight:bold" string="Logston Blvd"/>
            <w10:wrap type="none"/>
          </v:shape>
        </w:pict>
      </w:r>
      <w:r>
        <w:rPr>
          <w:rFonts w:ascii="Century Gothic"/>
          <w:b/>
          <w:color w:val="4D4D4D"/>
          <w:sz w:val="13"/>
        </w:rPr>
        <w:t>Univer</w:t>
      </w:r>
      <w:r>
        <w:rPr>
          <w:rFonts w:ascii="Century Gothic"/>
          <w:b/>
          <w:color w:val="4D4D4D"/>
          <w:position w:val="1"/>
          <w:sz w:val="13"/>
        </w:rPr>
        <w:t>sity 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0"/>
        <w:rPr>
          <w:rFonts w:ascii="Century Gothic"/>
          <w:b/>
          <w:sz w:val="21"/>
        </w:rPr>
      </w:pPr>
    </w:p>
    <w:p>
      <w:pPr>
        <w:spacing w:after="0"/>
        <w:rPr>
          <w:rFonts w:ascii="Century Gothic"/>
          <w:sz w:val="21"/>
        </w:rPr>
        <w:sectPr>
          <w:type w:val="continuous"/>
          <w:pgSz w:w="15840" w:h="24480"/>
          <w:pgMar w:top="1480" w:bottom="1320" w:left="0" w:right="0"/>
        </w:sectPr>
      </w:pPr>
    </w:p>
    <w:p>
      <w:pPr>
        <w:pStyle w:val="BodyText"/>
        <w:spacing w:before="11"/>
        <w:rPr>
          <w:rFonts w:ascii="Century Gothic"/>
          <w:b/>
          <w:sz w:val="21"/>
        </w:rPr>
      </w:pPr>
    </w:p>
    <w:p>
      <w:pPr>
        <w:spacing w:before="0"/>
        <w:ind w:left="2243" w:right="0" w:firstLine="0"/>
        <w:jc w:val="left"/>
        <w:rPr>
          <w:rFonts w:ascii="Arial"/>
          <w:sz w:val="24"/>
        </w:rPr>
      </w:pPr>
      <w:r>
        <w:rPr/>
        <w:pict>
          <v:shape style="position:absolute;margin-left:328.539368pt;margin-top:-45.360104pt;width:10.25pt;height:30.8pt;mso-position-horizontal-relative:page;mso-position-vertical-relative:paragraph;z-index:251838464"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Jones Rd</w:t>
                  </w:r>
                </w:p>
              </w:txbxContent>
            </v:textbox>
            <w10:wrap type="none"/>
          </v:shape>
        </w:pict>
      </w:r>
      <w:r>
        <w:rPr/>
        <w:pict>
          <v:shape style="position:absolute;margin-left:409.565027pt;margin-top:-94.533388pt;width:31.7pt;height:6.65pt;mso-position-horizontal-relative:page;mso-position-vertical-relative:paragraph;z-index:251853824;rotation:282" type="#_x0000_t136" fillcolor="#4d4d4d" stroked="f">
            <o:extrusion v:ext="view" autorotationcenter="t"/>
            <v:textpath style="font-family:&quot;Century Gothic&quot;;font-size:6pt;v-text-kern:t;mso-text-shadow:auto;font-weight:bold" string="Hagen Rd"/>
            <w10:wrap type="none"/>
          </v:shape>
        </w:pict>
      </w:r>
      <w:r>
        <w:rPr/>
        <w:pict>
          <v:shape style="position:absolute;margin-left:422.251764pt;margin-top:-65.263422pt;width:40.7pt;height:6.65pt;mso-position-horizontal-relative:page;mso-position-vertical-relative:paragraph;z-index:251855872;rotation:312" type="#_x0000_t136" fillcolor="#4d4d4d" stroked="f">
            <o:extrusion v:ext="view" autorotationcenter="t"/>
            <v:textpath style="font-family:&quot;Century Gothic&quot;;font-size:6pt;v-text-kern:t;mso-text-shadow:auto;font-weight:bold" string="By-pass Hwy"/>
            <w10:wrap type="none"/>
          </v:shape>
        </w:pict>
      </w:r>
      <w:r>
        <w:rPr>
          <w:rFonts w:ascii="Arial"/>
          <w:emboss/>
          <w:color w:val="757576"/>
          <w:sz w:val="24"/>
        </w:rPr>
        <w:t>W</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s</w:t>
      </w:r>
      <w:r>
        <w:rPr>
          <w:rFonts w:ascii="Arial"/>
          <w:shadow w:val="0"/>
          <w:color w:val="757576"/>
          <w:sz w:val="24"/>
        </w:rPr>
        <w:t> </w:t>
      </w:r>
      <w:r>
        <w:rPr>
          <w:rFonts w:ascii="Arial"/>
          <w:emboss/>
          <w:color w:val="757576"/>
          <w:sz w:val="24"/>
        </w:rPr>
        <w:t>t</w:t>
      </w:r>
      <w:r>
        <w:rPr>
          <w:rFonts w:ascii="Arial"/>
          <w:shadow w:val="0"/>
          <w:color w:val="757576"/>
          <w:sz w:val="24"/>
        </w:rPr>
        <w:t> </w:t>
      </w:r>
      <w:r>
        <w:rPr>
          <w:rFonts w:ascii="Arial"/>
          <w:emboss/>
          <w:color w:val="757576"/>
          <w:sz w:val="24"/>
        </w:rPr>
        <w:t>R</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h</w:t>
      </w:r>
      <w:r>
        <w:rPr>
          <w:rFonts w:ascii="Arial"/>
          <w:shadow w:val="0"/>
          <w:color w:val="757576"/>
          <w:sz w:val="24"/>
        </w:rPr>
        <w:t> </w:t>
      </w:r>
      <w:r>
        <w:rPr>
          <w:rFonts w:ascii="Arial"/>
          <w:emboss/>
          <w:color w:val="757576"/>
          <w:sz w:val="24"/>
        </w:rPr>
        <w:t>l</w:t>
      </w:r>
      <w:r>
        <w:rPr>
          <w:rFonts w:ascii="Arial"/>
          <w:shadow w:val="0"/>
          <w:color w:val="757576"/>
          <w:sz w:val="24"/>
        </w:rPr>
        <w:t> </w:t>
      </w:r>
      <w:r>
        <w:rPr>
          <w:rFonts w:ascii="Arial"/>
          <w:emboss/>
          <w:color w:val="757576"/>
          <w:sz w:val="24"/>
        </w:rPr>
        <w:t>a</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d</w:t>
      </w:r>
    </w:p>
    <w:p>
      <w:pPr>
        <w:spacing w:before="106"/>
        <w:ind w:left="2243" w:right="0" w:firstLine="0"/>
        <w:jc w:val="left"/>
        <w:rPr>
          <w:rFonts w:ascii="Century Gothic"/>
          <w:b/>
          <w:sz w:val="13"/>
        </w:rPr>
      </w:pPr>
      <w:r>
        <w:rPr/>
        <w:br w:type="column"/>
      </w:r>
      <w:r>
        <w:rPr>
          <w:rFonts w:ascii="Century Gothic"/>
          <w:b/>
          <w:color w:val="4D4D4D"/>
          <w:sz w:val="13"/>
        </w:rPr>
        <w:t>Van Giesen St</w:t>
      </w:r>
    </w:p>
    <w:p>
      <w:pPr>
        <w:spacing w:after="0"/>
        <w:jc w:val="left"/>
        <w:rPr>
          <w:rFonts w:ascii="Century Gothic"/>
          <w:sz w:val="13"/>
        </w:rPr>
        <w:sectPr>
          <w:type w:val="continuous"/>
          <w:pgSz w:w="15840" w:h="24480"/>
          <w:pgMar w:top="1480" w:bottom="1320" w:left="0" w:right="0"/>
          <w:cols w:num="2" w:equalWidth="0">
            <w:col w:w="4537" w:space="973"/>
            <w:col w:w="10330"/>
          </w:cols>
        </w:sectPr>
      </w:pPr>
    </w:p>
    <w:p>
      <w:pPr>
        <w:pStyle w:val="BodyText"/>
        <w:spacing w:before="10"/>
        <w:rPr>
          <w:rFonts w:ascii="Century Gothic"/>
          <w:b/>
          <w:sz w:val="15"/>
        </w:rPr>
      </w:pPr>
    </w:p>
    <w:p>
      <w:pPr>
        <w:spacing w:before="103"/>
        <w:ind w:left="3842" w:right="1153" w:firstLine="0"/>
        <w:jc w:val="center"/>
        <w:rPr>
          <w:rFonts w:ascii="Century Gothic"/>
          <w:b/>
          <w:sz w:val="13"/>
        </w:rPr>
      </w:pPr>
      <w:r>
        <w:rPr/>
        <w:pict>
          <v:shape style="position:absolute;margin-left:478.482635pt;margin-top:-29.872261pt;width:37.9pt;height:6.65pt;mso-position-horizontal-relative:page;mso-position-vertical-relative:paragraph;z-index:251834368;rotation:69" type="#_x0000_t136" fillcolor="#4d4d4d" stroked="f">
            <o:extrusion v:ext="view" autorotationcenter="t"/>
            <v:textpath style="font-family:&quot;Century Gothic&quot;;font-size:6pt;v-text-kern:t;mso-text-shadow:auto;font-weight:bold" string="Jadwin Ave"/>
            <w10:wrap type="none"/>
          </v:shape>
        </w:pict>
      </w:r>
      <w:r>
        <w:rPr/>
        <w:pict>
          <v:shape style="position:absolute;margin-left:414.476715pt;margin-top:-1.411538pt;width:10.65pt;height:36.85pt;mso-position-horizontal-relative:page;mso-position-vertical-relative:paragraph;z-index:251841536"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sz w:val="13"/>
                    </w:rPr>
                    <w:t>Wrigh</w:t>
                  </w:r>
                  <w:r>
                    <w:rPr>
                      <w:rFonts w:ascii="Century Gothic"/>
                      <w:b/>
                      <w:color w:val="4D4D4D"/>
                      <w:position w:val="1"/>
                      <w:sz w:val="13"/>
                    </w:rPr>
                    <w:t>t Ave</w:t>
                  </w:r>
                </w:p>
              </w:txbxContent>
            </v:textbox>
            <w10:wrap type="none"/>
          </v:shape>
        </w:pict>
      </w:r>
      <w:r>
        <w:rPr/>
        <w:pict>
          <v:shape style="position:absolute;margin-left:461.041168pt;margin-top:-45.53001pt;width:10.6pt;height:35.25pt;mso-position-horizontal-relative:page;mso-position-vertical-relative:paragraph;z-index:251843584"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Steven</w:t>
                  </w:r>
                  <w:r>
                    <w:rPr>
                      <w:rFonts w:ascii="Century Gothic"/>
                      <w:b/>
                      <w:color w:val="4D4D4D"/>
                      <w:position w:val="1"/>
                      <w:sz w:val="13"/>
                    </w:rPr>
                    <w:t>s Dr</w:t>
                  </w:r>
                </w:p>
              </w:txbxContent>
            </v:textbox>
            <w10:wrap type="none"/>
          </v:shape>
        </w:pict>
      </w:r>
      <w:r>
        <w:rPr>
          <w:rFonts w:ascii="Century Gothic"/>
          <w:b/>
          <w:color w:val="4D4D4D"/>
          <w:sz w:val="13"/>
        </w:rPr>
        <w:t>William</w:t>
      </w:r>
      <w:r>
        <w:rPr>
          <w:rFonts w:ascii="Century Gothic"/>
          <w:b/>
          <w:color w:val="4D4D4D"/>
          <w:position w:val="1"/>
          <w:sz w:val="13"/>
        </w:rPr>
        <w:t>s Blvd</w:t>
      </w:r>
    </w:p>
    <w:p>
      <w:pPr>
        <w:pStyle w:val="BodyText"/>
        <w:rPr>
          <w:rFonts w:ascii="Century Gothic"/>
          <w:b/>
          <w:sz w:val="20"/>
        </w:rPr>
      </w:pPr>
    </w:p>
    <w:p>
      <w:pPr>
        <w:pStyle w:val="BodyText"/>
        <w:spacing w:before="2"/>
        <w:rPr>
          <w:rFonts w:ascii="Century Gothic"/>
          <w:b/>
          <w:sz w:val="15"/>
        </w:rPr>
      </w:pPr>
    </w:p>
    <w:p>
      <w:pPr>
        <w:spacing w:after="0"/>
        <w:rPr>
          <w:rFonts w:ascii="Century Gothic"/>
          <w:sz w:val="15"/>
        </w:rPr>
        <w:sectPr>
          <w:type w:val="continuous"/>
          <w:pgSz w:w="15840" w:h="24480"/>
          <w:pgMar w:top="1480" w:bottom="1320" w:left="0" w:right="0"/>
        </w:sectPr>
      </w:pPr>
    </w:p>
    <w:p>
      <w:pPr>
        <w:spacing w:before="103"/>
        <w:ind w:left="0" w:right="0" w:firstLine="0"/>
        <w:jc w:val="right"/>
        <w:rPr>
          <w:rFonts w:ascii="Century Gothic"/>
          <w:b/>
          <w:sz w:val="13"/>
        </w:rPr>
      </w:pPr>
      <w:r>
        <w:rPr/>
        <w:pict>
          <v:shape style="position:absolute;margin-left:382.898438pt;margin-top:-11.930779pt;width:10.65pt;height:42.8pt;mso-position-horizontal-relative:page;mso-position-vertical-relative:paragraph;z-index:251840512"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sz w:val="13"/>
                    </w:rPr>
                    <w:t>By-pas</w:t>
                  </w:r>
                  <w:r>
                    <w:rPr>
                      <w:rFonts w:ascii="Century Gothic"/>
                      <w:b/>
                      <w:color w:val="4D4D4D"/>
                      <w:position w:val="1"/>
                      <w:sz w:val="13"/>
                    </w:rPr>
                    <w:t>s Hwy</w:t>
                  </w:r>
                </w:p>
              </w:txbxContent>
            </v:textbox>
            <w10:wrap type="none"/>
          </v:shape>
        </w:pict>
      </w:r>
      <w:r>
        <w:rPr>
          <w:rFonts w:ascii="Century Gothic"/>
          <w:b/>
          <w:color w:val="4D4D4D"/>
          <w:sz w:val="13"/>
        </w:rPr>
        <w:t>Swift </w:t>
      </w:r>
      <w:r>
        <w:rPr>
          <w:rFonts w:ascii="Century Gothic"/>
          <w:b/>
          <w:color w:val="4D4D4D"/>
          <w:position w:val="1"/>
          <w:sz w:val="13"/>
        </w:rPr>
        <w:t>Blvd</w:t>
      </w:r>
    </w:p>
    <w:p>
      <w:pPr>
        <w:pStyle w:val="BodyText"/>
        <w:rPr>
          <w:rFonts w:ascii="Century Gothic"/>
          <w:b/>
          <w:sz w:val="16"/>
        </w:rPr>
      </w:pPr>
      <w:r>
        <w:rPr/>
        <w:br w:type="column"/>
      </w:r>
      <w:r>
        <w:rPr>
          <w:rFonts w:ascii="Century Gothic"/>
          <w:b/>
          <w:sz w:val="16"/>
        </w:rPr>
      </w:r>
    </w:p>
    <w:p>
      <w:pPr>
        <w:pStyle w:val="BodyText"/>
        <w:rPr>
          <w:rFonts w:ascii="Century Gothic"/>
          <w:b/>
          <w:sz w:val="16"/>
        </w:rPr>
      </w:pPr>
    </w:p>
    <w:p>
      <w:pPr>
        <w:pStyle w:val="BodyText"/>
        <w:spacing w:before="11"/>
        <w:rPr>
          <w:rFonts w:ascii="Century Gothic"/>
          <w:b/>
          <w:sz w:val="14"/>
        </w:rPr>
      </w:pPr>
    </w:p>
    <w:p>
      <w:pPr>
        <w:spacing w:before="1"/>
        <w:ind w:left="568" w:right="0" w:firstLine="0"/>
        <w:jc w:val="left"/>
        <w:rPr>
          <w:rFonts w:ascii="Century Gothic"/>
          <w:b/>
          <w:sz w:val="13"/>
        </w:rPr>
      </w:pPr>
      <w:r>
        <w:rPr/>
        <w:pict>
          <v:shape style="position:absolute;margin-left:442.228058pt;margin-top:-36.178394pt;width:10.55pt;height:32.2pt;mso-position-horizontal-relative:page;mso-position-vertical-relative:paragraph;z-index:251842560" type="#_x0000_t202" filled="false" stroked="false">
            <v:textbox inset="0,0,0,0" style="layout-flow:vertical;mso-layout-flow-alt:bottom-to-top">
              <w:txbxContent>
                <w:p>
                  <w:pPr>
                    <w:spacing w:before="20"/>
                    <w:ind w:left="20" w:right="0" w:firstLine="0"/>
                    <w:jc w:val="left"/>
                    <w:rPr>
                      <w:rFonts w:ascii="Century Gothic"/>
                      <w:b/>
                      <w:sz w:val="13"/>
                    </w:rPr>
                  </w:pPr>
                  <w:r>
                    <w:rPr>
                      <w:rFonts w:ascii="Century Gothic"/>
                      <w:b/>
                      <w:color w:val="4D4D4D"/>
                      <w:sz w:val="13"/>
                    </w:rPr>
                    <w:t>Thayer </w:t>
                  </w:r>
                  <w:r>
                    <w:rPr>
                      <w:rFonts w:ascii="Century Gothic"/>
                      <w:b/>
                      <w:color w:val="4D4D4D"/>
                      <w:position w:val="1"/>
                      <w:sz w:val="13"/>
                    </w:rPr>
                    <w:t>Dr</w:t>
                  </w:r>
                </w:p>
              </w:txbxContent>
            </v:textbox>
            <w10:wrap type="none"/>
          </v:shape>
        </w:pict>
      </w:r>
      <w:r>
        <w:rPr>
          <w:rFonts w:ascii="Century Gothic"/>
          <w:b/>
          <w:color w:val="4D4D4D"/>
          <w:sz w:val="13"/>
        </w:rPr>
        <w:t>Lee Blvd</w:t>
      </w:r>
    </w:p>
    <w:p>
      <w:pPr>
        <w:pStyle w:val="BodyText"/>
        <w:rPr>
          <w:rFonts w:ascii="Century Gothic"/>
          <w:b/>
          <w:sz w:val="16"/>
        </w:rPr>
      </w:pPr>
      <w:r>
        <w:rPr/>
        <w:br w:type="column"/>
      </w:r>
      <w:r>
        <w:rPr>
          <w:rFonts w:ascii="Century Gothic"/>
          <w:b/>
          <w:sz w:val="16"/>
        </w:rPr>
      </w:r>
    </w:p>
    <w:p>
      <w:pPr>
        <w:pStyle w:val="BodyText"/>
        <w:spacing w:before="12"/>
        <w:rPr>
          <w:rFonts w:ascii="Century Gothic"/>
          <w:b/>
          <w:sz w:val="14"/>
        </w:rPr>
      </w:pPr>
    </w:p>
    <w:p>
      <w:pPr>
        <w:spacing w:before="0"/>
        <w:ind w:left="41" w:right="0" w:firstLine="0"/>
        <w:jc w:val="left"/>
        <w:rPr>
          <w:rFonts w:ascii="Century Gothic"/>
          <w:b/>
          <w:sz w:val="13"/>
        </w:rPr>
      </w:pPr>
      <w:r>
        <w:rPr>
          <w:rFonts w:ascii="Century Gothic"/>
          <w:b/>
          <w:color w:val="4D4D4D"/>
          <w:sz w:val="13"/>
        </w:rPr>
        <w:t>Knigh</w:t>
      </w:r>
      <w:r>
        <w:rPr>
          <w:rFonts w:ascii="Century Gothic"/>
          <w:b/>
          <w:color w:val="4D4D4D"/>
          <w:position w:val="1"/>
          <w:sz w:val="13"/>
        </w:rPr>
        <w:t>t St</w:t>
      </w:r>
    </w:p>
    <w:p>
      <w:pPr>
        <w:spacing w:after="0"/>
        <w:jc w:val="left"/>
        <w:rPr>
          <w:rFonts w:ascii="Century Gothic"/>
          <w:sz w:val="13"/>
        </w:rPr>
        <w:sectPr>
          <w:type w:val="continuous"/>
          <w:pgSz w:w="15840" w:h="24480"/>
          <w:pgMar w:top="1480" w:bottom="1320" w:left="0" w:right="0"/>
          <w:cols w:num="3" w:equalWidth="0">
            <w:col w:w="8499" w:space="40"/>
            <w:col w:w="1107" w:space="39"/>
            <w:col w:w="6155"/>
          </w:cols>
        </w:sectPr>
      </w:pPr>
    </w:p>
    <w:p>
      <w:pPr>
        <w:pStyle w:val="BodyText"/>
        <w:spacing w:before="10"/>
        <w:rPr>
          <w:rFonts w:ascii="Century Gothic"/>
          <w:b/>
          <w:sz w:val="27"/>
        </w:rPr>
      </w:pPr>
    </w:p>
    <w:p>
      <w:pPr>
        <w:spacing w:before="122"/>
        <w:ind w:left="0" w:right="2845" w:firstLine="0"/>
        <w:jc w:val="right"/>
        <w:rPr>
          <w:rFonts w:ascii="Arial" w:hAnsi="Arial"/>
          <w:b/>
          <w:sz w:val="11"/>
        </w:rPr>
      </w:pPr>
      <w:r>
        <w:rPr/>
        <w:pict>
          <v:shape style="position:absolute;margin-left:462.055511pt;margin-top:-8.715364pt;width:10.75pt;height:44.5pt;mso-position-horizontal-relative:page;mso-position-vertical-relative:paragraph;z-index:251844608"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Wellsi</w:t>
                  </w:r>
                  <w:r>
                    <w:rPr>
                      <w:rFonts w:ascii="Century Gothic"/>
                      <w:b/>
                      <w:color w:val="4D4D4D"/>
                      <w:position w:val="1"/>
                      <w:sz w:val="13"/>
                    </w:rPr>
                    <w:t>an Way</w:t>
                  </w:r>
                </w:p>
              </w:txbxContent>
            </v:textbox>
            <w10:wrap type="none"/>
          </v:shape>
        </w:pict>
      </w:r>
      <w:r>
        <w:rPr/>
        <w:pict>
          <v:shape style="position:absolute;margin-left:479.536377pt;margin-top:3.121575pt;width:10.7pt;height:39.7pt;mso-position-horizontal-relative:page;mso-position-vertical-relative:paragraph;z-index:251845632"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sz w:val="13"/>
                    </w:rPr>
                    <w:t>Goeth</w:t>
                  </w:r>
                  <w:r>
                    <w:rPr>
                      <w:rFonts w:ascii="Century Gothic"/>
                      <w:b/>
                      <w:color w:val="4D4D4D"/>
                      <w:position w:val="1"/>
                      <w:sz w:val="13"/>
                    </w:rPr>
                    <w:t>als Dr</w:t>
                  </w:r>
                </w:p>
              </w:txbxContent>
            </v:textbox>
            <w10:wrap type="none"/>
          </v:shape>
        </w:pict>
      </w:r>
      <w:r>
        <w:rPr/>
        <w:pict>
          <v:shape style="position:absolute;margin-left:388.879413pt;margin-top:12.526297pt;width:36.5pt;height:6.65pt;mso-position-horizontal-relative:page;mso-position-vertical-relative:paragraph;z-index:251856896;rotation:312" type="#_x0000_t136" fillcolor="#4d4d4d" stroked="f">
            <o:extrusion v:ext="view" autorotationcenter="t"/>
            <v:textpath style="font-family:&quot;Century Gothic&quot;;font-size:6pt;v-text-kern:t;mso-text-shadow:auto;font-weight:bold" string="Duportail St"/>
            <w10:wrap type="none"/>
          </v:shape>
        </w:pict>
      </w:r>
      <w:r>
        <w:rPr/>
        <w:pict>
          <v:shape style="position:absolute;margin-left:492.68277pt;margin-top:25.337523pt;width:40.25pt;height:6.65pt;mso-position-horizontal-relative:page;mso-position-vertical-relative:paragraph;z-index:251858944;rotation:354" type="#_x0000_t136" fillcolor="#4d4d4d" stroked="f">
            <o:extrusion v:ext="view" autorotationcenter="t"/>
            <v:textpath style="font-family:&quot;Century Gothic&quot;;font-size:6pt;v-text-kern:t;mso-text-shadow:auto;font-weight:bold" string="Comstock St"/>
            <w10:wrap type="none"/>
          </v:shape>
        </w:pict>
      </w:r>
      <w:r>
        <w:rPr>
          <w:rFonts w:ascii="Arial" w:hAnsi="Arial"/>
          <w:color w:val="FF0000"/>
          <w:spacing w:val="-284"/>
          <w:w w:val="127"/>
          <w:position w:val="-8"/>
          <w:sz w:val="40"/>
        </w:rPr>
        <w:t>§</w:t>
      </w:r>
      <w:r>
        <w:rPr>
          <w:rFonts w:ascii="Arial" w:hAnsi="Arial"/>
          <w:spacing w:val="-284"/>
          <w:w w:val="272"/>
          <w:position w:val="-9"/>
          <w:sz w:val="40"/>
        </w:rPr>
        <w:t>¦</w:t>
      </w:r>
      <w:r>
        <w:rPr>
          <w:rFonts w:ascii="Arial" w:hAnsi="Arial"/>
          <w:color w:val="0000FF"/>
          <w:spacing w:val="-236"/>
          <w:w w:val="21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pStyle w:val="BodyText"/>
        <w:spacing w:before="5"/>
        <w:rPr>
          <w:rFonts w:ascii="Arial"/>
          <w:b/>
          <w:sz w:val="26"/>
        </w:rPr>
      </w:pPr>
    </w:p>
    <w:p>
      <w:pPr>
        <w:spacing w:before="101"/>
        <w:ind w:left="8128" w:right="3862" w:firstLine="0"/>
        <w:jc w:val="center"/>
        <w:rPr>
          <w:rFonts w:ascii="Century Gothic"/>
          <w:b/>
          <w:sz w:val="13"/>
        </w:rPr>
      </w:pPr>
      <w:r>
        <w:rPr/>
        <w:pict>
          <v:shape style="position:absolute;margin-left:319.687775pt;margin-top:21.307932pt;width:39.050pt;height:6.65pt;mso-position-horizontal-relative:page;mso-position-vertical-relative:paragraph;z-index:251827200;rotation:13" type="#_x0000_t136" fillcolor="#4d4d4d" stroked="f">
            <o:extrusion v:ext="view" autorotationcenter="t"/>
            <v:textpath style="font-family:&quot;Century Gothic&quot;;font-size:6pt;v-text-kern:t;mso-text-shadow:auto;font-weight:bold" string="Kennedy Rd"/>
            <w10:wrap type="none"/>
          </v:shape>
        </w:pict>
      </w:r>
      <w:r>
        <w:rPr/>
        <w:pict>
          <v:shape style="position:absolute;margin-left:388.109027pt;margin-top:42.976699pt;width:48.75pt;height:6.65pt;mso-position-horizontal-relative:page;mso-position-vertical-relative:paragraph;z-index:251833344;rotation:64" type="#_x0000_t136" fillcolor="#4d4d4d" stroked="f">
            <o:extrusion v:ext="view" autorotationcenter="t"/>
            <v:textpath style="font-family:&quot;Century Gothic&quot;;font-size:6pt;v-text-kern:t;mso-text-shadow:auto;font-weight:bold" string="Queensgate Dr"/>
            <w10:wrap type="none"/>
          </v:shape>
        </w:pict>
      </w:r>
      <w:r>
        <w:rPr/>
        <w:pict>
          <v:shape style="position:absolute;margin-left:340.231781pt;margin-top:35.53228pt;width:36.450pt;height:6.65pt;mso-position-horizontal-relative:page;mso-position-vertical-relative:paragraph;z-index:251857920;rotation:334" type="#_x0000_t136" fillcolor="#4d4d4d" stroked="f">
            <o:extrusion v:ext="view" autorotationcenter="t"/>
            <v:textpath style="font-family:&quot;Century Gothic&quot;;font-size:6pt;v-text-kern:t;mso-text-shadow:auto;font-weight:bold" string="Duportail St"/>
            <w10:wrap type="none"/>
          </v:shape>
        </w:pict>
      </w:r>
      <w:r>
        <w:rPr>
          <w:rFonts w:ascii="Century Gothic"/>
          <w:b/>
          <w:color w:val="4D4D4D"/>
          <w:sz w:val="13"/>
        </w:rPr>
        <w:t>Aaron </w:t>
      </w:r>
      <w:r>
        <w:rPr>
          <w:rFonts w:ascii="Century Gothic"/>
          <w:b/>
          <w:color w:val="4D4D4D"/>
          <w:position w:val="1"/>
          <w:sz w:val="13"/>
        </w:rPr>
        <w:t>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9"/>
        <w:rPr>
          <w:rFonts w:ascii="Century Gothic"/>
          <w:b/>
          <w:sz w:val="25"/>
        </w:rPr>
      </w:pPr>
    </w:p>
    <w:p>
      <w:pPr>
        <w:spacing w:after="0"/>
        <w:rPr>
          <w:rFonts w:ascii="Century Gothic"/>
          <w:sz w:val="25"/>
        </w:rPr>
        <w:sectPr>
          <w:type w:val="continuous"/>
          <w:pgSz w:w="15840" w:h="24480"/>
          <w:pgMar w:top="1480" w:bottom="1320" w:left="0" w:right="0"/>
        </w:sectPr>
      </w:pPr>
    </w:p>
    <w:p>
      <w:pPr>
        <w:spacing w:line="458" w:lineRule="exact" w:before="258"/>
        <w:ind w:left="0" w:right="38" w:firstLine="0"/>
        <w:jc w:val="right"/>
        <w:rPr>
          <w:rFonts w:ascii="Arial" w:hAnsi="Arial"/>
          <w:b/>
          <w:sz w:val="11"/>
        </w:rPr>
      </w:pPr>
      <w:r>
        <w:rPr>
          <w:rFonts w:ascii="Arial" w:hAnsi="Arial"/>
          <w:color w:val="FF0000"/>
          <w:spacing w:val="-284"/>
          <w:w w:val="127"/>
          <w:position w:val="-8"/>
          <w:sz w:val="40"/>
        </w:rPr>
        <w:t>§</w:t>
      </w:r>
      <w:r>
        <w:rPr>
          <w:rFonts w:ascii="Arial" w:hAnsi="Arial"/>
          <w:color w:val="0000FF"/>
          <w:spacing w:val="-284"/>
          <w:w w:val="212"/>
          <w:position w:val="-9"/>
          <w:sz w:val="40"/>
        </w:rPr>
        <w:t>¨</w:t>
      </w:r>
      <w:r>
        <w:rPr>
          <w:rFonts w:ascii="Arial" w:hAnsi="Arial"/>
          <w:spacing w:val="-242"/>
          <w:w w:val="27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spacing w:before="59"/>
        <w:ind w:left="5616" w:right="3783" w:firstLine="0"/>
        <w:jc w:val="center"/>
        <w:rPr>
          <w:rFonts w:ascii="Arial"/>
          <w:b/>
          <w:sz w:val="13"/>
        </w:rPr>
      </w:pPr>
      <w:r>
        <w:rPr/>
        <w:br w:type="column"/>
      </w:r>
      <w:r>
        <w:rPr>
          <w:rFonts w:ascii="Arial Black"/>
          <w:spacing w:val="-271"/>
          <w:w w:val="108"/>
          <w:position w:val="-2"/>
          <w:sz w:val="32"/>
        </w:rPr>
        <w:t>V</w:t>
      </w:r>
      <w:r>
        <w:rPr>
          <w:rFonts w:ascii="Arial Black"/>
          <w:color w:val="FFFFFF"/>
          <w:spacing w:val="-252"/>
          <w:w w:val="101"/>
          <w:position w:val="-2"/>
          <w:sz w:val="32"/>
        </w:rPr>
        <w:t>U</w:t>
      </w:r>
      <w:r>
        <w:rPr>
          <w:rFonts w:ascii="Arial"/>
          <w:b/>
          <w:spacing w:val="-2"/>
          <w:w w:val="102"/>
          <w:sz w:val="13"/>
        </w:rPr>
        <w:t>2</w:t>
      </w:r>
      <w:r>
        <w:rPr>
          <w:rFonts w:ascii="Arial"/>
          <w:b/>
          <w:spacing w:val="3"/>
          <w:w w:val="102"/>
          <w:sz w:val="13"/>
        </w:rPr>
        <w:t>4</w:t>
      </w:r>
      <w:r>
        <w:rPr>
          <w:rFonts w:ascii="Arial"/>
          <w:b/>
          <w:w w:val="102"/>
          <w:sz w:val="13"/>
        </w:rPr>
        <w:t>0</w:t>
      </w:r>
    </w:p>
    <w:p>
      <w:pPr>
        <w:spacing w:after="0"/>
        <w:jc w:val="center"/>
        <w:rPr>
          <w:rFonts w:ascii="Arial"/>
          <w:sz w:val="13"/>
        </w:rPr>
        <w:sectPr>
          <w:type w:val="continuous"/>
          <w:pgSz w:w="15840" w:h="24480"/>
          <w:pgMar w:top="1480" w:bottom="1320" w:left="0" w:right="0"/>
          <w:cols w:num="2" w:equalWidth="0">
            <w:col w:w="5910" w:space="249"/>
            <w:col w:w="9681"/>
          </w:cols>
        </w:sectPr>
      </w:pPr>
    </w:p>
    <w:p>
      <w:pPr>
        <w:spacing w:before="3"/>
        <w:ind w:left="3842" w:right="2837" w:firstLine="0"/>
        <w:jc w:val="center"/>
        <w:rPr>
          <w:rFonts w:ascii="Century Gothic"/>
          <w:b/>
          <w:sz w:val="13"/>
        </w:rPr>
      </w:pPr>
      <w:r>
        <w:rPr/>
        <w:pict>
          <v:shape style="position:absolute;margin-left:560.044678pt;margin-top:5.086373pt;width:56.3pt;height:6.65pt;mso-position-horizontal-relative:page;mso-position-vertical-relative:paragraph;z-index:251828224;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446.434021pt;margin-top:7.39241pt;width:31.05pt;height:6.65pt;mso-position-horizontal-relative:page;mso-position-vertical-relative:paragraph;z-index:251831296;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438.859766pt;margin-top:16.175684pt;width:22.2pt;height:6.65pt;mso-position-horizontal-relative:page;mso-position-vertical-relative:paragraph;z-index:251832320;rotation:48" type="#_x0000_t136" fillcolor="#4d4d4d" stroked="f">
            <o:extrusion v:ext="view" autorotationcenter="t"/>
            <v:textpath style="font-family:&quot;Century Gothic&quot;;font-size:6pt;v-text-kern:t;mso-text-shadow:auto;font-weight:bold" string="Fuji Wy"/>
            <w10:wrap type="none"/>
          </v:shape>
        </w:pict>
      </w:r>
      <w:r>
        <w:rPr/>
        <w:pict>
          <v:shape style="position:absolute;margin-left:482.537903pt;margin-top:17.081999pt;width:44.65pt;height:6.65pt;mso-position-horizontal-relative:page;mso-position-vertical-relative:paragraph;z-index:251859968;rotation:358" type="#_x0000_t136" fillcolor="#4d4d4d" stroked="f">
            <o:extrusion v:ext="view" autorotationcenter="t"/>
            <v:textpath style="font-family:&quot;Century Gothic&quot;;font-size:6pt;v-text-kern:t;mso-text-shadow:auto;font-weight:bold" string="Englewood Dr"/>
            <w10:wrap type="none"/>
          </v:shape>
        </w:pict>
      </w:r>
      <w:r>
        <w:rPr>
          <w:rFonts w:ascii="Century Gothic"/>
          <w:b/>
          <w:color w:val="4D4D4D"/>
          <w:sz w:val="13"/>
        </w:rPr>
        <w:t>Shockl</w:t>
      </w:r>
      <w:r>
        <w:rPr>
          <w:rFonts w:ascii="Century Gothic"/>
          <w:b/>
          <w:color w:val="4D4D4D"/>
          <w:position w:val="1"/>
          <w:sz w:val="13"/>
        </w:rPr>
        <w:t>ey Rd</w:t>
      </w:r>
    </w:p>
    <w:p>
      <w:pPr>
        <w:pStyle w:val="BodyText"/>
        <w:spacing w:before="10"/>
        <w:rPr>
          <w:rFonts w:ascii="Century Gothic"/>
          <w:b/>
          <w:sz w:val="26"/>
        </w:rPr>
      </w:pPr>
    </w:p>
    <w:p>
      <w:pPr>
        <w:spacing w:before="107"/>
        <w:ind w:left="3842" w:right="2126" w:firstLine="0"/>
        <w:jc w:val="center"/>
        <w:rPr>
          <w:rFonts w:ascii="Century Gothic"/>
          <w:b/>
          <w:sz w:val="13"/>
        </w:rPr>
      </w:pPr>
      <w:r>
        <w:rPr/>
        <w:pict>
          <v:shape style="position:absolute;margin-left:663.933105pt;margin-top:10.59166pt;width:28.1pt;height:6.65pt;mso-position-horizontal-relative:page;mso-position-vertical-relative:paragraph;z-index:251826176;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639.650818pt;margin-top:34.630219pt;width:32.7pt;height:6.65pt;mso-position-horizontal-relative:page;mso-position-vertical-relative:paragraph;z-index:251829248;rotation:25" type="#_x0000_t136" fillcolor="#4d4d4d" stroked="f">
            <o:extrusion v:ext="view" autorotationcenter="t"/>
            <v:textpath style="font-family:&quot;Century Gothic&quot;;font-size:6pt;v-text-kern:t;mso-text-shadow:auto;font-weight:bold" string="Tapteal Dr"/>
            <w10:wrap type="none"/>
          </v:shape>
        </w:pict>
      </w:r>
      <w:r>
        <w:rPr/>
        <w:pict>
          <v:shape style="position:absolute;margin-left:448.654663pt;margin-top:50.236023pt;width:31.25pt;height:6.65pt;mso-position-horizontal-relative:page;mso-position-vertical-relative:paragraph;z-index:251830272;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615.745056pt;margin-top:13.605577pt;width:10.8pt;height:34.050pt;mso-position-horizontal-relative:page;mso-position-vertical-relative:paragraph;z-index:251847680"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Step</w:t>
                  </w:r>
                  <w:r>
                    <w:rPr>
                      <w:rFonts w:ascii="Century Gothic"/>
                      <w:b/>
                      <w:color w:val="4D4D4D"/>
                      <w:position w:val="1"/>
                      <w:sz w:val="13"/>
                    </w:rPr>
                    <w:t>toe St</w:t>
                  </w:r>
                </w:p>
              </w:txbxContent>
            </v:textbox>
            <w10:wrap type="none"/>
          </v:shape>
        </w:pict>
      </w:r>
      <w:r>
        <w:rPr/>
        <w:pict>
          <v:shape style="position:absolute;margin-left:448.014178pt;margin-top:24.915708pt;width:27.75pt;height:6.65pt;mso-position-horizontal-relative:page;mso-position-vertical-relative:paragraph;z-index:251850752;rotation:272" type="#_x0000_t136" fillcolor="#4d4d4d" stroked="f">
            <o:extrusion v:ext="view" autorotationcenter="t"/>
            <v:textpath style="font-family:&quot;Century Gothic&quot;;font-size:6pt;v-text-kern:t;mso-text-shadow:auto;font-weight:bold" string="Gala Wy"/>
            <w10:wrap type="none"/>
          </v:shape>
        </w:pict>
      </w:r>
      <w:r>
        <w:rPr/>
        <w:pict>
          <v:shape style="position:absolute;margin-left:555.806763pt;margin-top:52.121731pt;width:34.1pt;height:6.65pt;mso-position-horizontal-relative:page;mso-position-vertical-relative:paragraph;z-index:251860992;rotation:359" type="#_x0000_t136" fillcolor="#4d4d4d" stroked="f">
            <o:extrusion v:ext="view" autorotationcenter="t"/>
            <v:textpath style="font-family:&quot;Century Gothic&quot;;font-size:6pt;v-text-kern:t;mso-text-shadow:auto;font-weight:bold" string="Gage Blvd"/>
            <w10:wrap type="none"/>
          </v:shape>
        </w:pict>
      </w:r>
      <w:r>
        <w:rPr>
          <w:rFonts w:ascii="Century Gothic"/>
          <w:b/>
          <w:color w:val="4D4D4D"/>
          <w:sz w:val="13"/>
        </w:rPr>
        <w:t>Westcliffe Blvd</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spacing w:after="0"/>
        <w:rPr>
          <w:rFonts w:ascii="Century Gothic"/>
          <w:sz w:val="20"/>
        </w:rPr>
        <w:sectPr>
          <w:type w:val="continuous"/>
          <w:pgSz w:w="15840" w:h="24480"/>
          <w:pgMar w:top="1480" w:bottom="1320" w:left="0" w:right="0"/>
        </w:sectPr>
      </w:pPr>
    </w:p>
    <w:p>
      <w:pPr>
        <w:spacing w:before="248"/>
        <w:ind w:left="1260" w:right="0" w:firstLine="0"/>
        <w:jc w:val="left"/>
        <w:rPr>
          <w:rFonts w:ascii="Arial"/>
          <w:b/>
          <w:sz w:val="26"/>
        </w:rPr>
      </w:pPr>
      <w:r>
        <w:rPr/>
        <w:pict>
          <v:group style="position:absolute;margin-left:34.478645pt;margin-top:35.445774pt;width:722.3pt;height:1153.1pt;mso-position-horizontal-relative:page;mso-position-vertical-relative:page;z-index:-268213248" coordorigin="690,709" coordsize="14446,23062">
            <v:rect style="position:absolute;left:720;top:2879;width:14401;height:20880" filled="true" fillcolor="#e5e2cf" stroked="false">
              <v:fill type="solid"/>
            </v:rect>
            <v:shape style="position:absolute;left:717;top:3275;width:14412;height:20493" type="#_x0000_t75" stroked="false">
              <v:imagedata r:id="rId60" o:title=""/>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3.04631pt" strokecolor="#818181">
              <v:path arrowok="t"/>
              <v:stroke dashstyle="solid"/>
            </v:shape>
            <v:shape style="position:absolute;left:9568;top:5928;width:194;height:150" type="#_x0000_t75" stroked="false">
              <v:imagedata r:id="rId61"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3.04631pt" strokecolor="#818181">
              <v:path arrowok="t"/>
              <v:stroke dashstyle="solid"/>
            </v:shape>
            <v:shape style="position:absolute;left:13334;top:19254;width:338;height:161" type="#_x0000_t75" stroked="false">
              <v:imagedata r:id="rId62"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3.04631pt" strokecolor="#818181">
              <v:path arrowok="t"/>
              <v:stroke dashstyle="solid"/>
            </v:shape>
            <v:shape style="position:absolute;left:714;top:2871;width:14421;height:20858" type="#_x0000_t75" stroked="false">
              <v:imagedata r:id="rId148" o:title=""/>
            </v:shape>
            <v:shape style="position:absolute;left:1473;top:5100;width:3451;height:1047" coordorigin="1473,5101" coordsize="3451,1047" path="m1473,5129l1479,5123,1479,5117,1484,5117,1484,5112,1490,5112,1490,5106,1495,5106,1501,5106,1501,5101,1540,5101,4924,6148e" filled="false" stroked="true" strokeweight=".55387pt" strokecolor="#b2b2b2">
              <v:path arrowok="t"/>
              <v:stroke dashstyle="solid"/>
            </v:shape>
            <v:shape style="position:absolute;left:714;top:4549;width:14418;height:19222" type="#_x0000_t75" stroked="false">
              <v:imagedata r:id="rId130" o:title=""/>
            </v:shape>
            <v:line style="position:absolute" from="10058,5943" to="10058,6308" stroked="true" strokeweight="2.21549pt" strokecolor="#b2b2b2">
              <v:stroke dashstyle="solid"/>
            </v:line>
            <v:shape style="position:absolute;left:9377;top:3223;width:809;height:2172" coordorigin="9377,3223" coordsize="809,2172" path="m10186,5394l10186,5300m10186,5300l10180,5151,10180,5068,10180,5057m9405,4209l9388,4209m9410,4647l9388,4647m9377,3223l9388,4209m9405,4209l9394,3223e" filled="false" stroked="true" strokeweight=".55387pt" strokecolor="#b2b2b2">
              <v:path arrowok="t"/>
              <v:stroke dashstyle="solid"/>
            </v:shape>
            <v:shape style="position:absolute;left:9367;top:2874;width:199;height:421" type="#_x0000_t75" stroked="false">
              <v:imagedata r:id="rId65" o:title=""/>
            </v:shape>
            <v:shape style="position:absolute;left:720;top:16127;width:4509;height:5212" coordorigin="720,16128" coordsize="4509,5212" path="m4708,20187l4658,20071,4553,19789,4492,19623,3966,18155,3827,17861,3700,17673,3512,17479,2243,16571m2243,16571l2238,16565,2232,16565,2227,16560,2221,16554,2215,16554,2210,16549,2204,16543,2199,16543,2193,16538,2188,16532,2182,16532,2177,16527,2171,16521,2166,16521,2160,16516,2155,16510,2149,16510,2143,16504,2138,16499,2132,16499,2127,16493,2121,16488,2116,16488,2110,16482,2105,16482,2099,16477,2094,16471,2088,16471,2083,16466,2077,16466,2071,16460,2066,16455,2060,16455,2055,16449,2049,16449,2044,16444,2038,16438,2033,16438,2027,16432,2022,16432,2016,16427,2011,16427,2005,16421,1999,16421,1994,16416,1988,16410,1983,16410,1977,16405,1972,16405,1966,16399,1961,16399,1955,16394,1950,16394,1944,16388,1939,16388,1933,16383,1927,16383,1922,16377,1916,16377,1911,16372,1905,16372,1900,16366,1894,16366,1889,16360,1883,16360,1878,16355,1872,16355,1867,16349,1861,16349,1855,16344,1850,16344,1844,16344,1839,16338,1833,16338,1828,16333,1822,16333,1817,16327,1811,16327,1806,16322,1800,16322,1795,16322,1789,16316,1783,16316,1778,16311,1772,16311,1767,16311,1761,16305,1756,16305,1750,16300,1745,16300,1739,16294,1734,16294,1728,16294,1723,16288,1717,16288,1711,16288,1706,16283,1700,16283,1695,16277,1689,16277,1684,16277,1678,16272,1673,16272,1667,16272,1662,16266,1656,16266,1651,16261,1645,16261,1639,16261,1634,16255,1628,16255,1623,16255,1617,16250,1612,16250,1606,16250,1601,16244,1595,16244,1590,16244,1584,16239,1579,16239,1573,16239,1567,16233,1562,16233,1556,16233,1551,16233,1545,16228,1540,16228,1534,16228,1529,16222,1523,16222,1518,16222,1512,16222,1507,16216,1501,16216,1495,16216,1490,16211,1484,16211,1479,16211,1473,16211,1468,16205,1462,16205,1457,16205,1451,16205,1446,16200,1440,16200,1435,16200,1429,16200,1423,16194,1418,16194,1412,16194,1407,16194,1401,16189,1396,16189,1390,16189,1385,16189,1379,16183,1374,16183,1368,16183,1363,16183,1357,16183,1351,16178,1346,16178,1340,16178,1335,16178,1329,16172,1324,16172,1318,16172,1313,16172,1307,16172,1302,16172,1296,16167,1291,16167,1285,16167,1279,16167,1274,16167,1268,16161,1263,16161,1257,16161,1252,16161,1246,16161,1241,16161,1235,16156,1230,16156,1224,16156,1219,16156,1213,16156,1207,16156,1202,16150,1196,16150,1191,16150,1185,16150,1180,16150,1174,16150,1169,16150,1163,16150,1158,16144,1152,16144,1147,16144,1141,16144,1135,16144,1130,16144,1124,16144,1119,16144,1113,16139,1108,16139,1102,16139,1097,16139,1091,16139,1086,16139,1080,16139,1075,16139,1069,16139,1063,16139,1058,16139,1052,16133,1047,16133,1041,16133,1036,16133,1030,16133,1025,16133,1019,16133,1014,16133,1008,16133,1003,16133,997,16133,991,16133,986,16133,980,16133,975,16133,969,16128,964,16128,958,16128,953,16128,947,16128,942,16128,936,16128,931,16128,925,16128,919,16128,914,16128,908,16128,903,16128,897,16128,892,16128,886,16128,881,16128,875,16128,870,16128,864,16128,859,16128,853,16128,847,16128,842,16128,836,16128,831,16128,825,16128,820,16128,814,16128,809,16128,803,16128,798,16128,792,16128,787,16128,781,16128,775,16128,770,16128,764,16128,759,16128,753,16128,748,16128,742,16133,737,16133,731,16133,726,16133,720,16133m4896,20880l4941,20913m4941,20913l4974,20952m4974,20952l5079,21123,5229,21339m4896,20880l4852,20835m4852,20835l4846,20830,4841,20824,4835,20819,4835,20813,4830,20808,4824,20802,4824,20797,4819,20791,4819,20786,4819,20780,4819,20775,4813,20769,4813,20763,4813,20758,4813,20752,4813,20747,4813,20741e" filled="false" stroked="true" strokeweight=".55387pt" strokecolor="#b2b2b2">
              <v:path arrowok="t"/>
              <v:stroke dashstyle="solid"/>
            </v:shape>
            <v:line style="position:absolute" from="4819,20631" to="4819,20747" stroked="true" strokeweight="1.10774pt" strokecolor="#b2b2b2">
              <v:stroke dashstyle="solid"/>
            </v:line>
            <v:shape style="position:absolute;left:4431;top:19639;width:466;height:1280" coordorigin="4431,19639" coordsize="466,1280" path="m4824,20636l4824,20631,4824,20625,4824,20619,4824,20614,4824,20608,4824,20603,4824,20597,4824,20592,4824,20586,4824,20581,4819,20575,4819,20570,4819,20564,4819,20559,4819,20553,4813,20547m4813,20547l4725,20304m4896,20880l4863,20919m4431,19639l4597,20088,4730,20403e" filled="false" stroked="true" strokeweight=".55387pt" strokecolor="#b2b2b2">
              <v:path arrowok="t"/>
              <v:stroke dashstyle="solid"/>
            </v:shape>
            <v:shape style="position:absolute;left:4724;top:20397;width:144;height:527" type="#_x0000_t75" stroked="false">
              <v:imagedata r:id="rId66" o:title=""/>
            </v:shape>
            <v:shape style="position:absolute;left:4702;top:7404;width:527;height:13935" coordorigin="4702,7405" coordsize="527,13935" path="m5229,21339l5157,21223,5051,21018,4957,20813m4957,20813l4785,20431,4725,20304m4907,7427l4725,7421m4725,7421l4719,7421,4713,7421,4708,7416,4702,7410,4702,7405e" filled="false" stroked="true" strokeweight=".55387pt" strokecolor="#b2b2b2">
              <v:path arrowok="t"/>
              <v:stroke dashstyle="solid"/>
            </v:shape>
            <v:shape style="position:absolute;left:8452;top:19107;width:205;height:493" type="#_x0000_t75" stroked="false">
              <v:imagedata r:id="rId67" o:title=""/>
            </v:shape>
            <v:shape style="position:absolute;left:9565;top:18492;width:637;height:178" type="#_x0000_t75" stroked="false">
              <v:imagedata r:id="rId68" o:title=""/>
            </v:shape>
            <v:shape style="position:absolute;left:8795;top:19107;width:183;height:311" type="#_x0000_t75" stroked="false">
              <v:imagedata r:id="rId69" o:title=""/>
            </v:shape>
            <v:shape style="position:absolute;left:9150;top:19528;width:261;height:78" coordorigin="9150,19528" coordsize="261,78" path="m9150,19595l9167,19595m9167,19595l9183,19589m9183,19589l9205,19573m9205,19573l9211,19573m9211,19573l9228,19545m9228,19545l9233,19540,9239,19534,9244,19534,9250,19528,9255,19528,9261,19528m9261,19528l9410,19528m9211,19573l9216,19584m9216,19584l9222,19589,9228,19595,9233,19595,9239,19600,9244,19600,9250,19606,9255,19606,9261,19606e" filled="false" stroked="true" strokeweight=".55387pt" strokecolor="#b2b2b2">
              <v:path arrowok="t"/>
              <v:stroke dashstyle="solid"/>
            </v:shape>
            <v:line style="position:absolute" from="9255,19609" to="9399,19609" stroked="true" strokeweight=".83079pt" strokecolor="#b2b2b2">
              <v:stroke dashstyle="solid"/>
            </v:line>
            <v:line style="position:absolute" from="9394,19611" to="9399,19611" stroked="true" strokeweight=".55387pt" strokecolor="#b2b2b2">
              <v:stroke dashstyle="solid"/>
            </v:line>
            <v:line style="position:absolute" from="9402,19606" to="9402,19617" stroked="true" strokeweight=".27693pt" strokecolor="#b2b2b2">
              <v:stroke dashstyle="solid"/>
            </v:line>
            <v:shape style="position:absolute;left:8884;top:8556;width:1225;height:10385" coordorigin="8884,8557" coordsize="1225,10385" path="m9970,8557l9837,8557m9970,8557l10108,8557m8945,18941l8912,18936m8912,18936l8895,18936m8895,18936l8890,18936,8884,18930,8884,18925e" filled="false" stroked="true" strokeweight=".55387pt" strokecolor="#b2b2b2">
              <v:path arrowok="t"/>
              <v:stroke dashstyle="solid"/>
            </v:shape>
            <v:line style="position:absolute" from="8881,18869" to="8881,18930" stroked="true" strokeweight=".83081pt" strokecolor="#b2b2b2">
              <v:stroke dashstyle="solid"/>
            </v:line>
            <v:shape style="position:absolute;left:8812;top:18858;width:106;height:17" coordorigin="8812,18858" coordsize="106,17" path="m8917,18869l8912,18869,8906,18869,8901,18869,8895,18869,8895,18875,8890,18875,8884,18875,8879,18875m8812,18858l8818,18858,8823,18864,8829,18864,8834,18869,8840,18869,8845,18869,8851,18869,8856,18875,8862,18875,8868,18875,8873,18875,8879,18875,8879,18875e" filled="false" stroked="true" strokeweight=".55387pt" strokecolor="#b2b2b2">
              <v:path arrowok="t"/>
              <v:stroke dashstyle="solid"/>
            </v:shape>
            <v:shape style="position:absolute;left:8717;top:17052;width:455;height:493" type="#_x0000_t75" stroked="false">
              <v:imagedata r:id="rId70" o:title=""/>
            </v:shape>
            <v:shape style="position:absolute;left:9809;top:13635;width:3700;height:6636" coordorigin="9809,13636" coordsize="3700,6636" path="m9942,13807l9997,13929,10003,13940,10009,13951,10014,13962,10014,13973,10020,13984,10020,13996,10025,14007,10025,14018,10031,14029,10031,14040,10031,14051,10031,14062,10031,14073,10031,14079m10031,13768l9942,13807m9809,13652l9864,13636,9942,13807m10003,20271l10020,20254,10025,20248,10031,20243,10036,20243,10042,20237,10047,20237,10053,20232,10119,20199m13503,17202l13509,17202m13509,17202l13509,17202m9809,13708l9809,13785m9809,13918l9815,14084e" filled="false" stroked="true" strokeweight=".55387pt" strokecolor="#b2b2b2">
              <v:path arrowok="t"/>
              <v:stroke dashstyle="solid"/>
            </v:shape>
            <v:shape style="position:absolute;left:12218;top:20730;width:167;height:394" type="#_x0000_t75" stroked="false">
              <v:imagedata r:id="rId71" o:title=""/>
            </v:shape>
            <v:line style="position:absolute" from="13498,17202" to="13503,17202" stroked="true" strokeweight=".55387pt" strokecolor="#b2b2b2">
              <v:stroke dashstyle="solid"/>
            </v:line>
            <v:shape style="position:absolute;left:12716;top:21494;width:427;height:211" type="#_x0000_t75" stroked="false">
              <v:imagedata r:id="rId72" o:title=""/>
            </v:shape>
            <v:shape style="position:absolute;left:7959;top:9426;width:1479;height:8707" coordorigin="7959,9426" coordsize="1479,8707" path="m8087,18133l8075,18127,7998,18127,7976,18133,7959,18133m8219,9991l8286,9903m8685,10185l8624,10268,8624,10274,8618,10274,8219,9991m8219,9991l8131,10124m8286,9903l8685,10185m8685,10185l8701,10196m9438,10102l9383,10102m9360,9426l9349,9437m9349,9437l9355,9476e" filled="false" stroked="true" strokeweight=".55387pt" strokecolor="#b2b2b2">
              <v:path arrowok="t"/>
              <v:stroke dashstyle="solid"/>
            </v:shape>
            <v:line style="position:absolute" from="9349,9485" to="9360,9485" stroked="true" strokeweight=".83076pt" strokecolor="#b2b2b2">
              <v:stroke dashstyle="solid"/>
            </v:line>
            <v:line style="position:absolute" from="9355,9493" to="9360,9521" stroked="true" strokeweight=".55387pt" strokecolor="#b2b2b2">
              <v:stroke dashstyle="solid"/>
            </v:line>
            <v:line style="position:absolute" from="9360,9521" to="9360,9836" stroked="true" strokeweight=".55387pt" strokecolor="#b2b2b2">
              <v:stroke dashstyle="solid"/>
            </v:line>
            <v:shape style="position:absolute;left:9360;top:9836;width:23;height:266" coordorigin="9360,9836" coordsize="23,266" path="m9360,9836l9366,9869m9366,9869l9372,9897m9372,9897l9377,9930m9377,9930l9383,10102e" filled="false" stroked="true" strokeweight=".55387pt" strokecolor="#b2b2b2">
              <v:path arrowok="t"/>
              <v:stroke dashstyle="solid"/>
            </v:shape>
            <v:line style="position:absolute" from="9374,10407" to="9374,10490" stroked="true" strokeweight=".83081pt" strokecolor="#b2b2b2">
              <v:stroke dashstyle="solid"/>
            </v:line>
            <v:shape style="position:absolute;left:9377;top:10356;width:23;height:56" coordorigin="9377,10357" coordsize="23,56" path="m9377,10412l9383,10385m9383,10385l9399,10357e" filled="false" stroked="true" strokeweight=".55387pt" strokecolor="#b2b2b2">
              <v:path arrowok="t"/>
              <v:stroke dashstyle="solid"/>
            </v:shape>
            <v:line style="position:absolute" from="9394,10349" to="9405,10349" stroked="true" strokeweight=".83076pt" strokecolor="#b2b2b2">
              <v:stroke dashstyle="solid"/>
            </v:line>
            <v:shape style="position:absolute;left:9382;top:10118;width:23;height:222" coordorigin="9383,10119" coordsize="23,222" path="m9399,10340l9405,10263,9405,10180m9405,10180l9399,10157m9399,10157l9388,10135m9388,10135l9383,10119e" filled="false" stroked="true" strokeweight=".55387pt" strokecolor="#b2b2b2">
              <v:path arrowok="t"/>
              <v:stroke dashstyle="solid"/>
            </v:shape>
            <v:line style="position:absolute" from="9377,10110" to="9388,10110" stroked="true" strokeweight=".83076pt" strokecolor="#b2b2b2">
              <v:stroke dashstyle="solid"/>
            </v:line>
            <v:line style="position:absolute" from="9449,9426" to="9360,9426" stroked="true" strokeweight=".55387pt" strokecolor="#b2b2b2">
              <v:stroke dashstyle="solid"/>
            </v:line>
            <v:line style="position:absolute" from="9352,9288" to="9352,9421" stroked="true" strokeweight=".83081pt" strokecolor="#b2b2b2">
              <v:stroke dashstyle="solid"/>
            </v:line>
            <v:line style="position:absolute" from="9349,9418" to="9360,9418" stroked="true" strokeweight=".27692pt" strokecolor="#b2b2b2">
              <v:stroke dashstyle="solid"/>
            </v:line>
            <v:shape style="position:absolute;left:9216;top:9420;width:144;height:1579" coordorigin="9216,9421" coordsize="144,1579" path="m9355,9421l9360,9426m9316,10484l9322,10617,9311,10689m9311,10689l9311,10728m9311,10728l9316,10756,9316,10866m9316,10866l9316,10999m9316,10866l9216,10866e" filled="false" stroked="true" strokeweight=".55387pt" strokecolor="#b2b2b2">
              <v:path arrowok="t"/>
              <v:stroke dashstyle="solid"/>
            </v:shape>
            <v:line style="position:absolute" from="9311,10864" to="9427,10864" stroked="true" strokeweight=".83079pt" strokecolor="#b2b2b2">
              <v:stroke dashstyle="solid"/>
            </v:line>
            <v:shape style="position:absolute;left:9316;top:10484;width:3230;height:10701" coordorigin="9316,10484" coordsize="3230,10701" path="m9372,10484l9316,10484m9427,10484l9372,10484m12545,21184l12534,21162e" filled="false" stroked="true" strokeweight=".55387pt" strokecolor="#b2b2b2">
              <v:path arrowok="t"/>
              <v:stroke dashstyle="solid"/>
            </v:shape>
            <v:line style="position:absolute" from="13163,20991" to="13163,21051" stroked="true" strokeweight=".83081pt" strokecolor="#b2b2b2">
              <v:stroke dashstyle="solid"/>
            </v:line>
            <v:shape style="position:absolute;left:12611;top:21045;width:554;height:117" coordorigin="12612,21046" coordsize="554,117" path="m13166,21046l13166,21051,13166,21057,13166,21063,13166,21068,13160,21074,13160,21079,13160,21085,13155,21090,13155,21096,13149,21101,13149,21107,13143,21112,13138,21118,13132,21123,13127,21129,13121,21135,13116,21140,13110,21140,13105,21146,13099,21146,13094,21151,13088,21151,13083,21151,13077,21157,13071,21157,13066,21157,13060,21157,13055,21157,13049,21157m13049,21157l12656,21162,12628,21162,12617,21162,12612,21162e" filled="false" stroked="true" strokeweight=".55387pt" strokecolor="#b2b2b2">
              <v:path arrowok="t"/>
              <v:stroke dashstyle="solid"/>
            </v:shape>
            <v:shape style="position:absolute;left:12506;top:21079;width:222;height:626" type="#_x0000_t75" stroked="false">
              <v:imagedata r:id="rId73" o:title=""/>
            </v:shape>
            <v:shape style="position:absolute;left:9005;top:17135;width:1197;height:3141" coordorigin="9006,17136" coordsize="1197,3141" path="m9892,17501l9765,17435,9715,17407,9665,17380,9610,17357,9554,17341,9482,17313m9482,17313l9006,17136m10119,20199l10130,20215m10130,20215l10158,20248m10158,20248l10164,20254,10169,20259,10175,20265,10180,20271,10186,20271,10191,20271,10197,20276,10202,20276m10114,20088l10114,20165,10114,20171,10114,20176,10114,20182,10114,20187,10119,20193,10119,20199,10119,20199e" filled="false" stroked="true" strokeweight=".55387pt" strokecolor="#b2b2b2">
              <v:path arrowok="t"/>
              <v:stroke dashstyle="solid"/>
            </v:shape>
            <v:shape style="position:absolute;left:9964;top:20292;width:133;height:128" type="#_x0000_t75" stroked="false">
              <v:imagedata r:id="rId74" o:title=""/>
            </v:shape>
            <v:shape style="position:absolute;left:8501;top:20802;width:261;height:261" type="#_x0000_t75" stroked="false">
              <v:imagedata r:id="rId75" o:title=""/>
            </v:shape>
            <v:shape style="position:absolute;left:8839;top:19207;width:577;height:372" type="#_x0000_t75" stroked="false">
              <v:imagedata r:id="rId76" o:title=""/>
            </v:shape>
            <v:shape style="position:absolute;left:10257;top:8257;width:200;height:294" coordorigin="10258,8258" coordsize="200,294" path="m10269,8551l10302,8551,10308,8551,10313,8551,10319,8546,10324,8546,10324,8540,10457,8407m10269,8551l10258,8258e" filled="false" stroked="true" strokeweight=".55387pt" strokecolor="#b2b2b2">
              <v:path arrowok="t"/>
              <v:stroke dashstyle="solid"/>
            </v:shape>
            <v:shape style="position:absolute;left:13495;top:17191;width:2;height:12" coordorigin="13495,17191" coordsize="0,12" path="m13495,17191l13495,17202m13495,17191l13495,17202m13495,17191l13495,17202e" filled="false" stroked="true" strokeweight=".27693pt" strokecolor="#b2b2b2">
              <v:path arrowok="t"/>
              <v:stroke dashstyle="solid"/>
            </v:shape>
            <v:line style="position:absolute" from="9538,4204" to="9615,4204" stroked="true" strokeweight=".55387pt" strokecolor="#b2b2b2">
              <v:stroke dashstyle="solid"/>
            </v:line>
            <v:line style="position:absolute" from="9657,4636" to="9657,4791" stroked="true" strokeweight=".8308pt" strokecolor="#b2b2b2">
              <v:stroke dashstyle="solid"/>
            </v:line>
            <v:shape style="position:absolute;left:9493;top:4441;width:4016;height:12755" coordorigin="9493,4442" coordsize="4016,12755" path="m13492,17197l13509,17197m13498,17197l13509,17197m13509,17197l13492,17197m13492,17197l13509,17197m13509,17197l13492,17197m13509,17197l13492,17197m13492,17197l13509,17197m9504,4591l9499,4547m9499,4547l9493,4519m9493,4519l9493,4464m9493,4464l9499,4442e" filled="false" stroked="true" strokeweight=".55387pt" strokecolor="#b2b2b2">
              <v:path arrowok="t"/>
              <v:stroke dashstyle="solid"/>
            </v:shape>
            <v:line style="position:absolute" from="9504,4591" to="9504,4829" stroked="true" strokeweight=".55387pt" strokecolor="#b2b2b2">
              <v:stroke dashstyle="solid"/>
            </v:line>
            <v:shape style="position:absolute;left:9659;top:5051;width:433;height:355" type="#_x0000_t75" stroked="false">
              <v:imagedata r:id="rId77" o:title=""/>
            </v:shape>
            <v:shape style="position:absolute;left:9421;top:6679;width:1441;height:13642" coordorigin="9421,6679" coordsize="1441,13642" path="m10834,20320l10861,20320m9576,7438l9471,7438m9471,7438l9466,7383,9432,7056,9427,7006,9421,6951,9421,6895,9421,6679m9471,7438l9449,7438m9477,7970l9477,7543,9471,7493,9471,7438e" filled="false" stroked="true" strokeweight=".55387pt" strokecolor="#b2b2b2">
              <v:path arrowok="t"/>
              <v:stroke dashstyle="solid"/>
            </v:shape>
            <v:shape style="position:absolute;left:9366;top:21444;width:194;height:394" type="#_x0000_t75" stroked="false">
              <v:imagedata r:id="rId78" o:title=""/>
            </v:shape>
            <v:shape style="position:absolute;left:8064;top:11575;width:244;height:211" type="#_x0000_t75" stroked="false">
              <v:imagedata r:id="rId79" o:title=""/>
            </v:shape>
            <v:shape style="position:absolute;left:9493;top:19439;width:167;height:6" coordorigin="9493,19440" coordsize="167,6" path="m9560,19445l9615,19445,9621,19445,9626,19445,9632,19445,9637,19445,9660,19440m9560,19445l9493,19445e" filled="false" stroked="true" strokeweight=".55387pt" strokecolor="#b2b2b2">
              <v:path arrowok="t"/>
              <v:stroke dashstyle="solid"/>
            </v:shape>
            <v:shape style="position:absolute;left:8330;top:19683;width:139;height:294" type="#_x0000_t75" stroked="false">
              <v:imagedata r:id="rId80" o:title=""/>
            </v:shape>
            <v:shape style="position:absolute;left:9449;top:8811;width:4060;height:8397" coordorigin="9449,8812" coordsize="4060,8397" path="m9720,9676l9715,9432m9759,9432l9726,9432,9715,9432m9643,8812l9654,9371m9693,9432l9654,9432m9654,9432l9471,9426m9471,9426l9449,9426m9466,9847l9471,9426m9471,9426l9482,8961,9482,8812m13509,17202l13498,17202m13503,17202l13492,17208e" filled="false" stroked="true" strokeweight=".55387pt" strokecolor="#b2b2b2">
              <v:path arrowok="t"/>
              <v:stroke dashstyle="solid"/>
            </v:shape>
            <v:shape style="position:absolute;left:12406;top:21178;width:144;height:122" type="#_x0000_t75" stroked="false">
              <v:imagedata r:id="rId81" o:title=""/>
            </v:shape>
            <v:shape style="position:absolute;left:8308;top:19107;width:255;height:477" type="#_x0000_t75" stroked="false">
              <v:imagedata r:id="rId82" o:title=""/>
            </v:shape>
            <v:shape style="position:absolute;left:10074;top:5183;width:3446;height:12024" coordorigin="10075,5184" coordsize="3446,12024" path="m10086,5306l10092,5621,10092,5693,10092,5743,10092,5793,10075,5948m13509,17208l13520,17208m10075,5948l10141,6004,10197,6070,10241,6137,10258,6164,10297,6225,10407,6391,10418,6408,10429,6425,10441,6441,10446,6452,10446,6458,10452,6463,10452,6469,10457,6474,10457,6480,10463,6508,10468,6530,10479,6580,10485,6607,10490,6624m13509,17208l13492,17208m13492,17208l13509,17208m13492,17208l13509,17208m13492,17208l13509,17208m13492,17208l13509,17208m13492,17208l13509,17208m13509,17208l13492,17208m13492,17208l13509,17208m13509,17208l13492,17208m13492,17208l13509,17208m10236,5300l10230,5289m10230,5289l10225,5267m10225,5267l10219,5239m10219,5239l10213,5212m10213,5212l10219,5184e" filled="false" stroked="true" strokeweight=".55387pt" strokecolor="#b2b2b2">
              <v:path arrowok="t"/>
              <v:stroke dashstyle="solid"/>
            </v:shape>
            <v:line style="position:absolute" from="10213,5159" to="10225,5159" stroked="true" strokeweight="2.49228pt" strokecolor="#b2b2b2">
              <v:stroke dashstyle="solid"/>
            </v:line>
            <v:shape style="position:absolute;left:8031;top:4945;width:5478;height:17834" coordorigin="8031,4946" coordsize="5478,17834" path="m10219,5134l10230,5112m10230,5112l10247,5106,10263,5095m10263,5095l10269,5090,10274,5084,10274,5079m10274,5079l10263,5051m13492,17208l13509,17208m13492,17208l13509,17208m13509,17208l13492,17208m13509,17208l13492,17208m13509,17208l13492,17208m13492,17208l13509,17208m13509,17208l13492,17208m10335,4946l10341,4957,10341,4968,10346,4979,10346,4985,10346,5023,10346,5029,10346,5034,10346,5040,10341,5040,10335,5045,10324,5051,10302,5051,10269,5051,10263,5051m13509,17202l13498,17197m13509,17197l13498,17197m13492,17191l13503,17197m13503,17197l13498,17197m13503,17202l13498,17197m13509,17202l13492,17202m13509,17197l13487,17197m13487,17197l13503,17197m13498,17202l13503,17197m10236,5300l10297,5300m10297,5300l10313,5295m10313,5295l10324,5295m10324,5295l10330,5300m10330,5300l10330,5356,10330,5394,10335,5494,10335,5677m13498,17197l13498,17197m13498,17202l13492,17197m13503,17197l13492,17197m13509,17197l13492,17197m13509,17197l13492,17197m13492,17197l13509,17197m13492,17197l13509,17197m8303,22392l8303,22497,8303,22591m8303,22591l8308,22779m8303,22591l8208,22591,8070,22591,8031,22602m9228,22619l9222,22619,9216,22624,9211,22624,9205,22630,9200,22630,9194,22635,9189,22635,9183,22635,9178,22641,9172,22641,9167,22641,9161,22641,9156,22641,8784,22641e" filled="false" stroked="true" strokeweight=".55387pt" strokecolor="#b2b2b2">
              <v:path arrowok="t"/>
              <v:stroke dashstyle="solid"/>
            </v:shape>
            <v:line style="position:absolute" from="8784,22569" to="8784,22663" stroked="true" strokeweight=".55387pt" strokecolor="#b2b2b2">
              <v:stroke dashstyle="solid"/>
            </v:line>
            <v:shape style="position:absolute;left:4347;top:20918;width:5024;height:1762" coordorigin="4348,20919" coordsize="5024,1762" path="m9228,22619l9211,22597,9205,22591,9200,22591,9200,22586,9194,22586,9194,22580,9189,22580,9183,22575,9178,22575,9172,22575,9167,22569,9161,22569,9156,22569,9150,22569,9144,22569,9045,22569,8784,22569m9372,22386l8779,22386m8779,22386l8690,22386m8784,22569l8779,22491,8779,22386m8784,22663l8779,22669m8779,22669l8613,22674m8303,22680l8363,22674,8375,22680,8408,22674m4813,20968l4774,21013m4774,21013l4769,21018,4769,21024,4763,21029,4758,21035,4752,21035,4747,21040,4741,21046,4736,21051,4730,21057,4725,21057,4719,21063,4713,21068,4708,21068,4702,21074,4697,21079,4691,21079,4686,21085,4680,21085,4675,21090,4669,21090,4664,21090,4658,21096,4653,21096,4647,21096,4641,21101,4636,21101,4630,21101,4625,21107,4619,21107,4614,21107,4608,21107,4603,21107,4597,21112,4592,21112,4586,21112,4581,21112,4575,21112,4569,21112,4564,21112,4558,21112,4553,21112,4547,21112,4542,21112,4536,21112,4531,21112,4525,21112,4520,21112,4514,21107,4509,21107,4503,21107,4497,21107,4492,21107,4486,21101,4481,21101,4475,21101,4470,21096,4464,21096,4459,21096,4453,21090,4448,21090,4442,21090,4437,21085,4431,21085,4425,21079,4420,21079,4414,21074,4409,21068,4403,21074m4403,21074l4348,21040m4813,20968l4863,20919m5096,21389l5096,21384,5096,21378,5096,21373,5096,21367,5096,21362,5096,21356,5090,21351,5090,21345,5090,21339,5085,21334,5085,21328,5079,21323,5079,21317,5073,21312,5073,21306,5068,21301,5068,21295,5062,21290,5057,21284,5057,21279,5051,21273m5051,21273l4996,21212,4968,21168,4929,21123,4913,21079,4896,21051,4857,21007,4813,20968m5289,21777l5262,21744m5262,21744l5251,21727m5251,21727l5234,21699m5234,21699l5217,21683m5217,21683l5162,21616m5289,21777l5506,22021m5506,22021l5528,22054m5572,22148l5572,22143,5566,22137,5566,22131,5566,22126,5561,22120,5561,22115,5561,22109,5555,22104,5555,22098,5555,22093,5550,22087,5550,22082,5544,22076,5544,22071,5539,22065,5533,22059,5533,22054,5528,22054m5162,21616l5140,21594m5140,21594l5134,21589,5134,21583,5129,21578,5123,21572,5123,21567,5118,21561,5112,21555,5112,21550,5107,21544,5107,21539,5107,21533,5101,21528,5101,21522,5101,21517m5101,21517l5101,21511,5101,21506,5101,21500,5096,21495,5096,21489,5096,21483,5096,21478,5096,21472,5096,21467,5096,21461,5096,21456,5096,21450,5096,21445,5096,21439m5096,21439l5096,21389e" filled="false" stroked="true" strokeweight=".55387pt" strokecolor="#b2b2b2">
              <v:path arrowok="t"/>
              <v:stroke dashstyle="solid"/>
            </v:shape>
            <v:shape style="position:absolute;left:12268;top:20674;width:194;height:449" type="#_x0000_t75" stroked="false">
              <v:imagedata r:id="rId83" o:title=""/>
            </v:shape>
            <v:line style="position:absolute" from="13498,17191" to="13498,17191" stroked="true" strokeweight=".55387pt" strokecolor="#b2b2b2">
              <v:stroke dashstyle="solid"/>
            </v:line>
            <v:shape style="position:absolute;left:9836;top:20292;width:222;height:211" type="#_x0000_t75" stroked="false">
              <v:imagedata r:id="rId84" o:title=""/>
            </v:shape>
            <v:shape style="position:absolute;left:13481;top:17196;width:1645;height:1619" coordorigin="13481,17197" coordsize="1645,1619" path="m14855,18664l14833,18653,14805,18637,14783,18626,14755,18615,14728,18604,14700,18592,14678,18587,14595,18559,14539,18543,14484,18532,14428,18520,14373,18509,14312,18504,14257,18498,14201,18493,14146,18493,14007,18487m15126,18815l14855,18664m13515,17197l13481,17197m13481,17197l13515,17197m13481,17197l13515,17197m13515,17197l13481,17197m13481,17197l13515,17197m13481,17197l13515,17197e" filled="false" stroked="true" strokeweight=".55387pt" strokecolor="#b2b2b2">
              <v:path arrowok="t"/>
              <v:stroke dashstyle="solid"/>
            </v:shape>
            <v:shape style="position:absolute;left:9083;top:14865;width:4282;height:3080" type="#_x0000_t75" stroked="false">
              <v:imagedata r:id="rId85" o:title=""/>
            </v:shape>
            <v:shape style="position:absolute;left:7948;top:18514;width:338;height:405" type="#_x0000_t75" stroked="false">
              <v:imagedata r:id="rId86" o:title=""/>
            </v:shape>
            <v:shape style="position:absolute;left:9449;top:9365;width:244;height:10280" coordorigin="9449,9365" coordsize="244,10280" path="m9693,9365l9693,9432m9449,19307l9449,19407,9455,19423,9455,19440m9493,19445l9455,19440m9455,19440l9449,19645e" filled="false" stroked="true" strokeweight=".55387pt" strokecolor="#b2b2b2">
              <v:path arrowok="t"/>
              <v:stroke dashstyle="solid"/>
            </v:shape>
            <v:line style="position:absolute" from="8084,18166" to="8084,18293" stroked="true" strokeweight=".83081pt" strokecolor="#b2b2b2">
              <v:stroke dashstyle="solid"/>
            </v:line>
            <v:shape style="position:absolute;left:9493;top:10162;width:1429;height:9322" coordorigin="9493,10163" coordsize="1429,9322" path="m10828,10169l10906,10163,10911,10163,10911,10169,10917,10169,10922,10169,10922,10169m9560,19484l9560,19445m9493,19445l9493,19484e" filled="false" stroked="true" strokeweight=".55387pt" strokecolor="#b2b2b2">
              <v:path arrowok="t"/>
              <v:stroke dashstyle="solid"/>
            </v:shape>
            <v:shape style="position:absolute;left:10241;top:7266;width:449;height:322" type="#_x0000_t75" stroked="false">
              <v:imagedata r:id="rId131" o:title=""/>
            </v:shape>
            <v:shape style="position:absolute;left:4951;top:21383;width:781;height:770" type="#_x0000_t75" stroked="false">
              <v:imagedata r:id="rId88" o:title=""/>
            </v:shape>
            <v:shape style="position:absolute;left:7311;top:9154;width:449;height:383" type="#_x0000_t75" stroked="false">
              <v:imagedata r:id="rId89" o:title=""/>
            </v:shape>
            <v:shape style="position:absolute;left:7084;top:7565;width:543;height:1684" coordorigin="7084,7565" coordsize="543,1684" path="m7627,9249l7621,8590m7128,9005l7095,8845,7090,8828,7090,8817,7084,8801,7084,8784,7084,8773,7084,8756,7084,8745,7084,8729,7084,8717,7084,8701,7090,8684,7090,8673,7095,8657,7095,8645,7101,8629,7106,8618,7134,8524m7134,8524l7156,8463,7162,8452,7162,8435,7167,8424,7167,8407,7173,8396,7173,8385,7173,8369,7178,8357,7178,8346,7178,8335,7178,8319,7178,8308,7173,8297,7173,8280,7173,8269,7173,8252,7167,8241,7162,8230,7162,8213,7156,8202,7156,8186,7151,8175,7145,8158,7145,8147,7145,8130,7145,8119,7139,8097,7139,8081,7145,8058,7145,8042,7145,8020,7151,8003,7162,7942,7167,7925,7167,7914,7167,7898,7173,7887,7173,7870,7173,7859,7173,7842,7173,7831,7167,7815,7167,7804,7167,7793,7167,7776,7128,7565e" filled="false" stroked="true" strokeweight=".55387pt" strokecolor="#b2b2b2">
              <v:path arrowok="t"/>
              <v:stroke dashstyle="solid"/>
            </v:shape>
            <v:shape style="position:absolute;left:7128;top:8219;width:499;height:377" type="#_x0000_t75" stroked="false">
              <v:imagedata r:id="rId90" o:title=""/>
            </v:shape>
            <v:line style="position:absolute" from="8286,9903" to="8430,9703" stroked="true" strokeweight=".55387pt" strokecolor="#b2b2b2">
              <v:stroke dashstyle="solid"/>
            </v:line>
            <v:shape style="position:absolute;left:11775;top:20735;width:277;height:576" type="#_x0000_t75" stroked="false">
              <v:imagedata r:id="rId91" o:title=""/>
            </v:shape>
            <v:shape style="position:absolute;left:6962;top:5820;width:3545;height:17552" coordorigin="6962,5821" coordsize="3545,17552" path="m8818,19634l8951,19634m8951,19634l8967,19628m8967,19628l9039,19567m8807,19589l8812,19606,8812,19611,8818,19611,8818,19617,8818,19623,8818,19634m9720,9365l9693,9365m9693,9365l9654,9371m9654,9371l9654,9432m9693,9432l9715,9432m9516,10290l9510,10301,9504,10479m9543,10479l9504,10479m10341,23328l10407,23367m10407,23367l10413,23372,10418,23372,10424,23372,10429,23372,10435,23367m10435,23367l10507,23317m10252,20276l10252,20232,10291,20232m10252,20276l10374,20276m9510,5926l9615,5954,9626,5959,9632,5959,9643,5965,9648,5970,9654,5970,9665,5976,9671,5981,9676,5987,9687,5993,9693,5998,9698,6004,9704,6009,9715,6015,9720,6020,9726,6026,9781,6092,9787,6109,9804,6125,9815,6142,9826,6159,9848,6186,9925,6297,10009,6402m9510,5926l9416,5904m9416,5904l9416,5821m7067,10080l7023,10080m6962,10119l6962,10080m7023,10080l6962,10080m8314,19174l8341,19285m8341,19285l8352,19324e" filled="false" stroked="true" strokeweight=".55387pt" strokecolor="#b2b2b2">
              <v:path arrowok="t"/>
              <v:stroke dashstyle="solid"/>
            </v:shape>
            <v:line style="position:absolute" from="8358,19318" to="8358,19434" stroked="true" strokeweight="1.10775pt" strokecolor="#b2b2b2">
              <v:stroke dashstyle="solid"/>
            </v:line>
            <v:line style="position:absolute" from="8358,19434" to="8369,19434" stroked="true" strokeweight=".55384pt" strokecolor="#b2b2b2">
              <v:stroke dashstyle="solid"/>
            </v:line>
            <v:line style="position:absolute" from="8358,19445" to="8369,19445" stroked="true" strokeweight=".55384pt" strokecolor="#b2b2b2">
              <v:stroke dashstyle="solid"/>
            </v:line>
            <v:shape style="position:absolute;left:8130;top:19173;width:233;height:288" coordorigin="8131,19174" coordsize="233,288" path="m8363,19451l8336,19456m8336,19456l8319,19462m8314,19174l8258,19191m8258,19191l8208,19207m8258,19191l8291,19296m8291,19296l8297,19335m8297,19335l8303,19357m8303,19357l8303,19362,8303,19368,8303,19373,8297,19379,8291,19384,8286,19384m8286,19384l8286,19384m8208,19207l8164,19218m8164,19218l8147,19229m8147,19229l8131,19235m8208,19207l8236,19301m8236,19301l8236,19307,8236,19312,8236,19318,8236,19324,8231,19329e" filled="false" stroked="true" strokeweight=".55387pt" strokecolor="#b2b2b2">
              <v:path arrowok="t"/>
              <v:stroke dashstyle="solid"/>
            </v:shape>
            <v:line style="position:absolute" from="8225,19332" to="8236,19332" stroked="true" strokeweight=".27692pt" strokecolor="#b2b2b2">
              <v:stroke dashstyle="solid"/>
            </v:line>
            <v:shape style="position:absolute;left:8130;top:19234;width:217;height:277" coordorigin="8131,19235" coordsize="217,277" path="m8231,19335l8153,19263m8153,19263l8131,19235m8231,19335l8264,19362m8264,19362l8286,19384m8286,19384l8308,19429m8308,19429l8308,19429m8308,19429l8319,19462m8286,19384l8269,19396m8319,19462l8347,19512e" filled="false" stroked="true" strokeweight=".55387pt" strokecolor="#b2b2b2">
              <v:path arrowok="t"/>
              <v:stroke dashstyle="solid"/>
            </v:shape>
            <v:shape style="position:absolute;left:13514;top:19500;width:421;height:139" type="#_x0000_t75" stroked="false">
              <v:imagedata r:id="rId92" o:title=""/>
            </v:shape>
            <v:shape style="position:absolute;left:5727;top:9066;width:6054;height:12340" coordorigin="5727,9066" coordsize="6054,12340" path="m11781,21279l11781,21400m11781,21279l11781,21245m11781,21245l11748,21245m11748,21245l11742,21245,11737,21251,11737,21256m11737,21256l11737,21406m8679,10866l8674,11249m5794,9161l5766,9149m5766,9149l5727,9144m5849,9210l5849,9210m5849,9210l5854,9199m5854,9199l5871,9172m5871,9172l5877,9161m5877,9161l5882,9127m5882,9127l5893,9111m5893,9111l5910,9094m5910,9094l5910,9089,5915,9083,5915,9077,5915,9072,5915,9066m5849,9210l5838,9199m5838,9199l5821,9183m5821,9183l5816,9188m5816,9188l5794,9199e" filled="false" stroked="true" strokeweight=".55387pt" strokecolor="#b2b2b2">
              <v:path arrowok="t"/>
              <v:stroke dashstyle="solid"/>
            </v:shape>
            <v:line style="position:absolute" from="5677,9194" to="5799,9194" stroked="true" strokeweight="1.10771pt" strokecolor="#b2b2b2">
              <v:stroke dashstyle="solid"/>
            </v:line>
            <v:shape style="position:absolute;left:5560;top:9188;width:156;height:10961" coordorigin="5561,9188" coordsize="156,10961" path="m5683,9188l5661,9188m5661,9188l5627,9194m5583,20027l5561,20071,5699,20132m5699,20132l5716,20149e" filled="false" stroked="true" strokeweight=".55387pt" strokecolor="#b2b2b2">
              <v:path arrowok="t"/>
              <v:stroke dashstyle="solid"/>
            </v:shape>
            <v:line style="position:absolute" from="5710,20151" to="5722,20151" stroked="true" strokeweight=".27692pt" strokecolor="#b2b2b2">
              <v:stroke dashstyle="solid"/>
            </v:line>
            <v:shape style="position:absolute;left:5793;top:9160;width:28;height:23" coordorigin="5794,9161" coordsize="28,23" path="m5821,9183l5810,9172m5810,9172l5794,9161e" filled="false" stroked="true" strokeweight=".55387pt" strokecolor="#b2b2b2">
              <v:path arrowok="t"/>
              <v:stroke dashstyle="solid"/>
            </v:shape>
            <v:line style="position:absolute" from="5816,9053" to="5827,9053" stroked="true" strokeweight=".83076pt" strokecolor="#b2b2b2">
              <v:stroke dashstyle="solid"/>
            </v:line>
            <v:line style="position:absolute" from="5816,9069" to="5827,9069" stroked="true" strokeweight=".83076pt" strokecolor="#b2b2b2">
              <v:stroke dashstyle="solid"/>
            </v:line>
            <v:line style="position:absolute" from="5821,9077" to="5799,9138" stroked="true" strokeweight=".55387pt" strokecolor="#b2b2b2">
              <v:stroke dashstyle="solid"/>
            </v:line>
            <v:line style="position:absolute" from="5794,9144" to="5805,9144" stroked="true" strokeweight=".55384pt" strokecolor="#b2b2b2">
              <v:stroke dashstyle="solid"/>
            </v:line>
            <v:line style="position:absolute" from="5799,9149" to="5794,9161" stroked="true" strokeweight=".55387pt" strokecolor="#b2b2b2">
              <v:stroke dashstyle="solid"/>
            </v:line>
            <v:line style="position:absolute" from="5677,9141" to="5733,9141" stroked="true" strokeweight=".83079pt" strokecolor="#b2b2b2">
              <v:stroke dashstyle="solid"/>
            </v:line>
            <v:shape style="position:absolute;left:5632;top:9138;width:50;height:6" coordorigin="5633,9138" coordsize="50,6" path="m5683,9138l5650,9144m5650,9144l5633,9144e" filled="false" stroked="true" strokeweight=".55387pt" strokecolor="#b2b2b2">
              <v:path arrowok="t"/>
              <v:stroke dashstyle="solid"/>
            </v:shape>
            <v:line style="position:absolute" from="5722,9136" to="5733,9136" stroked="true" strokeweight=".83076pt" strokecolor="#b2b2b2">
              <v:stroke dashstyle="solid"/>
            </v:line>
            <v:line style="position:absolute" from="5722,9125" to="5733,9125" stroked="true" strokeweight=".27692pt" strokecolor="#b2b2b2">
              <v:stroke dashstyle="solid"/>
            </v:line>
            <v:shape style="position:absolute;left:5727;top:9044;width:211;height:78" coordorigin="5727,9044" coordsize="211,78" path="m5727,9122l5733,9094m5733,9094l5738,9083m5738,9083l5738,9083m5738,9083l5738,9077,5738,9072,5744,9066,5749,9061,5755,9061m5755,9061l5805,9050m5805,9050l5821,9044m5915,9066l5938,9055m5915,9066l5910,9061,5910,9055,5904,9050,5899,9044,5893,9044,5888,9044m5888,9044l5821,9044e" filled="false" stroked="true" strokeweight=".55387pt" strokecolor="#b2b2b2">
              <v:path arrowok="t"/>
              <v:stroke dashstyle="solid"/>
            </v:shape>
            <v:shape style="position:absolute;left:916;top:4732;width:7553;height:13578" type="#_x0000_t75" stroked="false">
              <v:imagedata r:id="rId93" o:title=""/>
            </v:shape>
            <v:shape style="position:absolute;left:5422;top:20037;width:294;height:150" coordorigin="5422,20038" coordsize="294,150" path="m5561,20071l5506,20049m5506,20049l5472,20038m5472,20038l5445,20038m5422,20176l5461,20182,5506,20182,5528,20187,5555,20187m5555,20187l5572,20187m5572,20187l5589,20187,5600,20187m5600,20187l5633,20182m5633,20182l5683,20165m5683,20165l5710,20160m5710,20160l5716,20154e" filled="false" stroked="true" strokeweight=".55387pt" strokecolor="#b2b2b2">
              <v:path arrowok="t"/>
              <v:stroke dashstyle="solid"/>
            </v:shape>
            <v:line style="position:absolute" from="5417,20171" to="5428,20171" stroked="true" strokeweight=".55384pt" strokecolor="#b2b2b2">
              <v:stroke dashstyle="solid"/>
            </v:line>
            <v:line style="position:absolute" from="5422,20165" to="5428,20143" stroked="true" strokeweight=".55387pt" strokecolor="#b2b2b2">
              <v:stroke dashstyle="solid"/>
            </v:line>
            <v:line style="position:absolute" from="5422,20135" to="5434,20135" stroked="true" strokeweight=".83076pt" strokecolor="#b2b2b2">
              <v:stroke dashstyle="solid"/>
            </v:line>
            <v:shape style="position:absolute;left:5427;top:20049;width:17;height:78" coordorigin="5428,20049" coordsize="17,78" path="m5428,20127l5439,20104m5439,20104l5439,20077m5439,20077l5445,20049e" filled="false" stroked="true" strokeweight=".55387pt" strokecolor="#b2b2b2">
              <v:path arrowok="t"/>
              <v:stroke dashstyle="solid"/>
            </v:shape>
            <v:line style="position:absolute" from="5445,19983" to="5445,20049" stroked="true" strokeweight=".55387pt" strokecolor="#b2b2b2">
              <v:stroke dashstyle="solid"/>
            </v:line>
            <v:shape style="position:absolute;left:5444;top:19511;width:7145;height:2975" coordorigin="5445,19512" coordsize="7145,2975" path="m5445,19983l5450,19966m5716,20154l5727,20149m5727,20149l5738,20138m5738,20138l5749,20115m5749,20115l5755,20104m12462,22486l12506,22458m12506,22458l12529,22442m12529,22442l12540,22425m12540,22425l12556,22403m12556,22403l12562,22408,12567,22408,12573,22408,12578,22403,12584,22403,12584,22397,12590,22397m8347,19512l8369,19540m8369,19540l8397,19567m8397,19567l8413,19584m8413,19584l8463,19623m8463,19623l8469,19623,8474,19628,8480,19634,8485,19639,8485,19645,8491,19650,8496,19656,8502,19661,8502,19667,8508,19672,8508,19678,8508,19683,8513,19689,8513,19695,8513,19700,8519,19706,8519,19711,8519,19717,8519,19722,8519,19728,8519,19733,8519,19739,8519,19744e" filled="false" stroked="true" strokeweight=".55387pt" strokecolor="#b2b2b2">
              <v:path arrowok="t"/>
              <v:stroke dashstyle="solid"/>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1.93856pt" strokecolor="#000000">
              <v:path arrowok="t"/>
              <v:stroke dashstyle="solid"/>
            </v:shape>
            <v:shape style="position:absolute;left:9579;top:5939;width:172;height:128" type="#_x0000_t75" stroked="false">
              <v:imagedata r:id="rId94"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1.93856pt" strokecolor="#000000">
              <v:path arrowok="t"/>
              <v:stroke dashstyle="solid"/>
            </v:shape>
            <v:shape style="position:absolute;left:13345;top:19265;width:316;height:139" type="#_x0000_t75" stroked="false">
              <v:imagedata r:id="rId95"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1.93856pt" strokecolor="#000000">
              <v:path arrowok="t"/>
              <v:stroke dashstyle="solid"/>
            </v:shape>
            <v:shape style="position:absolute;left:9778;top:9977;width:122;height:128" type="#_x0000_t75" stroked="false">
              <v:imagedata r:id="rId96" o:title=""/>
            </v:shape>
            <v:line style="position:absolute" from="13991,19384" to="13991,19279" stroked="true" strokeweight="1.93856pt" strokecolor="#b2b2b2">
              <v:stroke dashstyle="solid"/>
            </v:line>
            <v:shape style="position:absolute;left:4533;top:6637;width:10402;height:16472" type="#_x0000_t75" stroked="false">
              <v:imagedata r:id="rId149" o:title=""/>
            </v:shape>
            <v:shape style="position:absolute;left:720;top:4554;width:4382;height:15733" coordorigin="720,4555" coordsize="4382,15733" path="m4891,7743l3528,6701,1473,5129,1014,4774,720,4555m4963,19634l4963,19916,4963,19927,4963,19933,4968,19944,4968,19955m4968,19955l4968,19960,4968,19966,4968,19971,4968,19977,4968,19983,4974,19988,4974,19994,4974,19999,4979,20005,4979,20010,4979,20016,4985,20021,4985,20027,4985,20032,4990,20038,4990,20043,4996,20049,4996,20055,5001,20060,5001,20066,5007,20066m5007,20066l5062,20165m5062,20165l5062,20171,5068,20176,5073,20182,5073,20187,5079,20193,5079,20199,5079,20204,5085,20210,5085,20215,5090,20221,5090,20226,5090,20232,5090,20237,5096,20243,5096,20248,5096,20254,5096,20259,5096,20265,5101,20271,5101,20276,5101,20282,5101,20287e" filled="false" stroked="true" strokeweight="1.93856pt" strokecolor="#b2b2b2">
              <v:path arrowok="t"/>
              <v:stroke dashstyle="solid"/>
            </v:shape>
            <v:line style="position:absolute" from="5107,20268" to="5107,20412" stroked="true" strokeweight="2.49243pt" strokecolor="#b2b2b2">
              <v:stroke dashstyle="solid"/>
            </v:line>
            <v:shape style="position:absolute;left:5112;top:20392;width:2;height:78" coordorigin="5112,20392" coordsize="0,78" path="m5112,20392l5112,20392,5112,20464,5112,20470e" filled="false" stroked="true" strokeweight="1.93856pt" strokecolor="#b2b2b2">
              <v:path arrowok="t"/>
              <v:stroke dashstyle="solid"/>
            </v:shape>
            <v:line style="position:absolute" from="5107,20451" to="5107,20589" stroked="true" strokeweight="2.49243pt" strokecolor="#b2b2b2">
              <v:stroke dashstyle="solid"/>
            </v:line>
            <v:shape style="position:absolute;left:5062;top:20569;width:39;height:117" coordorigin="5062,20570" coordsize="39,117" path="m5101,20570l5101,20575,5101,20581,5096,20586,5096,20592,5096,20597,5096,20603,5096,20608,5090,20614,5090,20619,5090,20625,5085,20631,5085,20636,5085,20642,5079,20647,5079,20653,5073,20658,5073,20664,5068,20669,5068,20675,5062,20680,5062,20686e" filled="false" stroked="true" strokeweight="1.93856pt" strokecolor="#b2b2b2">
              <v:path arrowok="t"/>
              <v:stroke dashstyle="solid"/>
            </v:shape>
            <v:shape style="position:absolute;left:4705;top:6460;width:10242;height:16760" type="#_x0000_t75" stroked="false">
              <v:imagedata r:id="rId150" o:title=""/>
            </v:shape>
            <v:shape style="position:absolute;left:720;top:4554;width:6398;height:3188" coordorigin="720,4555" coordsize="6398,3188" path="m4891,7743l3528,6701,1473,5129,1014,4774,720,4555m7117,6690l6741,6696,6730,6690,6718,6690,6707,6690,6696,6690,6685,6690,6674,6685,6663,6685,6658,6679,6646,6679,6275,6563,5998,6480m4885,7743l4902,7721,4907,7721,4907,7715,4907,7709,4913,7709,4913,7704,4913,7698,4913,7693,4913,7687,4913,7682,4913,7676,4913,7671,4902,7654,4891,7615,4885,7615,4885,7610,4885,7604,4885,7599,4885,7593,4885,7588,4885,7582,4885,7577,4891,7577,4891,7571,4891,7565,4896,7565,4896,7560,4907,7549,4907,7455,4913,7100,4913,7089,4913,6862e" filled="false" stroked="true" strokeweight="3.04631pt" strokecolor="#00c5ff">
              <v:path arrowok="t"/>
              <v:stroke dashstyle="solid"/>
            </v:shape>
            <v:shape style="position:absolute;left:4694;top:8310;width:239;height:322" type="#_x0000_t75" stroked="false">
              <v:imagedata r:id="rId151" o:title=""/>
            </v:shape>
            <v:line style="position:absolute" from="4905,7945" to="4905,8371" stroked="true" strokeweight="3.32324pt" strokecolor="#00c5ff">
              <v:stroke dashstyle="solid"/>
            </v:line>
            <v:shape style="position:absolute;left:4832;top:7712;width:106;height:294" type="#_x0000_t75" stroked="false">
              <v:imagedata r:id="rId152" o:title=""/>
            </v:shape>
            <v:shape style="position:absolute;left:6214;top:16532;width:211;height:133" coordorigin="6214,16532" coordsize="211,133" path="m6425,16665l6309,16593,6242,16554,6231,16543,6214,16532e" filled="false" stroked="true" strokeweight="3.04631pt" strokecolor="#ff72df">
              <v:path arrowok="t"/>
              <v:stroke dashstyle="solid"/>
            </v:shape>
            <v:shape style="position:absolute;left:11094;top:16354;width:327;height:399" coordorigin="11094,16355" coordsize="327,399" path="m11421,16754l11404,16726,11388,16704,11277,16576,11221,16510,11155,16427,11094,16355e" filled="false" stroked="true" strokeweight="3.04631pt" strokecolor="#ffaa00">
              <v:path arrowok="t"/>
              <v:stroke dashstyle="solid"/>
            </v:shape>
            <v:shape style="position:absolute;left:10174;top:14837;width:128;height:23" coordorigin="10175,14837" coordsize="128,23" path="m10175,14837l10180,14837,10180,14843,10186,14843,10191,14848,10197,14848,10202,14848,10258,14860,10263,14860,10269,14860,10274,14860,10280,14860,10285,14854,10291,14854,10297,14854,10302,14854,10302,14848e" filled="false" stroked="true" strokeweight="3.04631pt" strokecolor="#38a700">
              <v:path arrowok="t"/>
              <v:stroke dashstyle="solid"/>
            </v:shape>
            <v:shape style="position:absolute;left:4962;top:19633;width:139;height:654" coordorigin="4963,19634" coordsize="139,654" path="m4963,19634l4963,19916,4963,19927,4963,19933,4968,19944,4968,19955m4968,19955l4968,19960,4968,19966,4968,19971,4968,19977,4968,19983,4974,19988,4974,19994,4974,19999,4979,20005,4979,20010,4979,20016,4985,20021,4985,20027,4985,20032,4990,20038,4990,20043,4996,20049,4996,20055,5001,20060,5001,20066,5007,20066m5007,20066l5062,20165m5062,20165l5062,20171,5068,20176,5073,20182,5073,20187,5079,20193,5079,20199,5079,20204,5085,20210,5085,20215,5090,20221,5090,20226,5090,20232,5090,20237,5096,20243,5096,20248,5096,20254,5096,20259,5096,20265,5101,20271,5101,20276,5101,20282,5101,20287e" filled="false" stroked="true" strokeweight="3.04631pt" strokecolor="#00c5ff">
              <v:path arrowok="t"/>
              <v:stroke dashstyle="solid"/>
            </v:shape>
            <v:line style="position:absolute" from="5107,20257" to="5107,20423" stroked="true" strokeweight="3.60018pt" strokecolor="#00c5ff">
              <v:stroke dashstyle="solid"/>
            </v:line>
            <v:line style="position:absolute" from="5112,20362" to="5112,20500" stroked="true" strokeweight="3.04631pt" strokecolor="#00c5ff">
              <v:stroke dashstyle="solid"/>
            </v:line>
            <v:line style="position:absolute" from="5107,20439" to="5107,20600" stroked="true" strokeweight="3.60018pt" strokecolor="#00c5ff">
              <v:stroke dashstyle="solid"/>
            </v:line>
            <v:shape style="position:absolute;left:5062;top:20569;width:39;height:117" coordorigin="5062,20570" coordsize="39,117" path="m5101,20570l5101,20575,5101,20581,5096,20586,5096,20592,5096,20597,5096,20603,5096,20608,5090,20614,5090,20619,5090,20625,5085,20631,5085,20636,5085,20642,5079,20647,5079,20653,5073,20658,5073,20664,5068,20669,5068,20675,5062,20680,5062,20686e" filled="false" stroked="true" strokeweight="3.04631pt" strokecolor="#00c5ff">
              <v:path arrowok="t"/>
              <v:stroke dashstyle="solid"/>
            </v:shape>
            <v:shape style="position:absolute;left:8585;top:15158;width:505;height:427" coordorigin="8585,15159" coordsize="505,427" path="m9089,15585l9089,15585,8884,15585,8879,15580,8873,15580,8868,15580,8862,15580,8856,15574,8851,15574,8845,15574,8840,15568,8834,15568,8829,15563,8796,15546,8779,15541,8773,15535,8768,15535,8768,15530,8762,15530,8762,15524,8757,15524,8757,15519,8751,15513,8751,15508,8746,15508,8746,15502,8746,15496,8746,15491,8740,15485,8740,15325,8735,15325,8735,15319,8735,15314,8729,15308,8729,15303,8724,15303,8724,15297,8718,15297,8718,15292,8712,15292,8712,15286,8707,15286,8701,15280,8696,15280,8646,15264,8629,15253,8624,15253,8618,15253,8618,15247,8613,15247,8613,15242,8607,15242,8607,15236,8602,15236,8602,15231,8596,15231,8596,15225,8596,15220,8591,15220,8591,15214,8591,15208,8591,15203,8585,15197,8585,15192,8591,15186,8591,15181,8591,15175,8591,15170,8596,15159e" filled="false" stroked="true" strokeweight="3.04631pt" strokecolor="#0070ff">
              <v:path arrowok="t"/>
              <v:stroke dashstyle="solid"/>
            </v:shape>
            <v:shape style="position:absolute;left:9083;top:15263;width:6;height:322" coordorigin="9084,15264" coordsize="6,322" path="m9089,15585l9084,15491,9084,15264e" filled="false" stroked="true" strokeweight="3.04631pt" strokecolor="#00c5ff">
              <v:path arrowok="t"/>
              <v:stroke dashstyle="solid"/>
            </v:shape>
            <v:shape style="position:absolute;left:11232;top:17916;width:704;height:283" coordorigin="11233,17917" coordsize="704,283" path="m11332,17950l11316,17928,11293,17917,11282,17917,11271,17917,11255,17922,11244,17928,11238,17939,11233,17950,11233,17972,11238,17989,11249,18005,11266,18011,11277,18016,11288,18016,11299,18011,11310,18005,11305,17989,11288,18000,11271,17994,11255,17989,11249,17972,11249,17967,11249,17956,11255,17944,11266,17933,11277,17933,11288,17933,11305,17939,11316,17956,11332,17950m11365,17967l11354,17967,11343,17967,11327,17978,11321,17989,11321,18005,11327,18016,11332,18028,11343,18039,11354,18039,11365,18039,11382,18028,11388,18022,11393,18011,11393,18000,11393,17994,11388,17983,11382,17978,11365,17967m11365,17983l11377,17989,11377,18000,11377,18005,11371,18016,11365,18022,11360,18022,11349,18022,11343,18016,11338,18011,11338,18005,11338,17994,11349,17983,11354,17983,11365,17983m11426,17956l11399,18050,11415,18055,11443,17961,11426,17956m11454,17994l11443,18022,11443,18033,11437,18044,11443,18055,11443,18061,11454,18066,11460,18072,11471,18072,11482,18072,11487,18072,11493,18066,11498,18055,11504,18039,11515,18011,11493,18005,11487,18039,11482,18050,11476,18055,11465,18055,11460,18050,11460,18044,11460,18039,11460,18033,11471,18000,11454,17994m11526,18016l11509,18083,11526,18088,11532,18061,11537,18050,11537,18044,11548,18039,11554,18039,11559,18044,11565,18050,11559,18066,11548,18100,11565,18105,11576,18072,11582,18066,11582,18061,11593,18055,11598,18055,11604,18061,11604,18066,11604,18077,11593,18111,11609,18116,11620,18077,11626,18066,11626,18061,11620,18050,11609,18039,11593,18039,11582,18044,11576,18033,11565,18028,11554,18028,11543,18033,11543,18022,11526,18016m11670,18033l11654,18028,11626,18122,11642,18127,11648,18122,11654,18127,11665,18133,11676,18133,11692,18133,11703,18122,11709,18111,11709,18094,11709,18083,11698,18072,11687,18061,11676,18061,11665,18066,11670,18033m11676,18077l11687,18083,11692,18088,11692,18094,11692,18105,11687,18111,11681,18116,11676,18116,11665,18116,11659,18116,11654,18111,11654,18100,11654,18094,11665,18077,11670,18077,11676,18077m11748,18055l11742,18055,11737,18061,11737,18072,11742,18077,11753,18077,11759,18066,11759,18061,11748,18055m11731,18077l11714,18149,11731,18149,11748,18083,11731,18077m11809,18100l11809,18111,11803,18100,11792,18094,11775,18094,11764,18100,11753,18105,11748,18122,11748,18133,11748,18149,11759,18160,11770,18166,11781,18166,11792,18160,11792,18172,11809,18177,11825,18105,11809,18100m11786,18111l11803,18122,11803,18127,11803,18138,11798,18144,11792,18149,11786,18149,11775,18149,11770,18149,11764,18138,11764,18133,11764,18127,11770,18116,11775,18111,11781,18111,11786,18111m11892,18100l11864,18194,11881,18199,11892,18160,11903,18160,11908,18166,11919,18166,11925,18160,11930,18155,11936,18144,11936,18138,11936,18127,11930,18116,11919,18111,11908,18105,11892,18100e" filled="false" stroked="true" strokeweight="1.66162pt" strokecolor="#ffffff">
              <v:path arrowok="t"/>
              <v:stroke dashstyle="solid"/>
            </v:shape>
            <v:shape style="position:absolute;left:8014;top:17911;width:6018;height:5320" type="#_x0000_t75" stroked="false">
              <v:imagedata r:id="rId153" o:title=""/>
            </v:shape>
            <v:shape style="position:absolute;left:7721;top:13713;width:4587;height:4608" coordorigin="7721,13713" coordsize="4587,4608" path="m11897,18144l11903,18122,11908,18127,11914,18127,11919,18133,11919,18138,11914,18144,11914,18149,11903,18144,11897,18144m12008,18160l12002,18172,11997,18160,11986,18155,11969,18155,11958,18155,11947,18166,11942,18183,11942,18194,11942,18210,11953,18221,11964,18227,11975,18227,11986,18221,11986,18232,12002,18232,12025,18166,12008,18160m11986,18172l11997,18183,11997,18188,11997,18194,11991,18205,11986,18210,11980,18210,11969,18210,11964,18205,11958,18199,11958,18194,11958,18183,11964,18177,11969,18172,11975,18172,11986,18172m12036,18172l12019,18238,12036,18244,12041,18216,12047,18205,12052,18194,12058,18194,12063,18194,12074,18183,12069,18177,12058,18177,12052,18183,12052,18177,12036,18172m12086,18160l12058,18255,12074,18260,12086,18227,12102,18266,12124,18271,12102,18227,12141,18205,12119,18199,12086,18216,12102,18166,12086,18160m12191,18194l12185,18210,12202,18216,12180,18288,12196,18293,12218,18221,12235,18227,12241,18210,12191,18194m12235,18232l12218,18304,12235,18304,12241,18282,12241,18277,12246,18266,12252,18260,12257,18255,12263,18260,12274,18244,12268,18244,12257,18244,12252,18249,12252,18238,12235,18232m12290,18221l12263,18316,12279,18321,12307,18227,12290,18221m7821,14516l7821,14488,7821,14477,7821,14472,7810,14461,7793,14455,7776,14461,7771,14472,7760,14466,7749,14466,7743,14466,7738,14472,7727,14483,7727,14488,7727,14500,7727,14516,7821,14516m7743,14500l7743,14494,7749,14483,7754,14483,7760,14483,7765,14494,7765,14500,7743,14500m7782,14500l7782,14494,7782,14483,7782,14477,7793,14472,7799,14477,7804,14483,7804,14494,7804,14500,7782,14500m7749,14450l7815,14422,7843,14433,7843,14416,7749,14372,7749,14389,7793,14411,7749,14428,7749,14450m7776,14361l7793,14361,7793,14328,7776,14328,7776,14361m7749,14289l7749,14306,7843,14306,7843,14289,7810,14289,7821,14278,7821,14267,7821,14256,7810,14245,7799,14239,7782,14234,7771,14239,7754,14245,7749,14256,7749,14267,7749,14278,7754,14289,7749,14289m7765,14272l7765,14261,7771,14256,7776,14256,7782,14250,7793,14256,7799,14256,7804,14261,7804,14272,7804,14278,7799,14284,7793,14289,7782,14289,7776,14289,7771,14284,7765,14278,7765,14272m7749,14167l7754,14167,7749,14178,7743,14189,7749,14200,7754,14212,7765,14217,7782,14223,7799,14217,7810,14212,7815,14200,7821,14189,7815,14178,7810,14167,7815,14167,7815,14151,7743,14151,7749,14167m7760,14184l7760,14178,7765,14173,7771,14167,7782,14167,7787,14167,7799,14173,7799,14178,7804,14184,7799,14189,7799,14200,7787,14200,7782,14206,7771,14200,7765,14200,7760,14195,7760,14184m7754,14090l7749,14101,7743,14117,7749,14123,7749,14128,7760,14134,7765,14140,7776,14134,7787,14117,7787,14112,7793,14106,7799,14106,7804,14112,7799,14123,7793,14128,7804,14140,7815,14128,7821,14117,7815,14106,7810,14095,7804,14090,7799,14090,7782,14095,7776,14101,7776,14106,7771,14112,7765,14117,7765,14123,7760,14117,7760,14112,7760,14106,7765,14101,7754,14090m7754,14034l7743,14040,7743,14056,7743,14062,7749,14073,7754,14079,7765,14079,7776,14073,7782,14062,7787,14056,7793,14051,7793,14045,7799,14051,7799,14056,7799,14062,7793,14068,7804,14079,7815,14068,7815,14056,7815,14045,7810,14034,7804,14029,7793,14029,7782,14034,7776,14040,7771,14045,7771,14056,7765,14062,7760,14062,7760,14056,7760,14051,7765,14040,7754,14034m7721,13979l7815,13973,7815,13957,7771,13957,7771,13929,7815,13924,7815,13907,7721,13907,7721,13929,7754,13929,7754,13957,7721,13957,7721,13979m7743,13890l7815,13868,7815,13857,7776,13840,7815,13824,7815,13813,7743,13791,7743,13807,7782,13818,7743,13835,7743,13846,7782,13863,7743,13874,7743,13890m7743,13785l7804,13757,7837,13774,7837,13757,7743,13713,7743,13730,7787,13752,7743,13768,7743,13785e" filled="false" stroked="true" strokeweight="1.66162pt" strokecolor="#ffffff">
              <v:path arrowok="t"/>
              <v:stroke dashstyle="solid"/>
            </v:shape>
            <v:shape style="position:absolute;left:8889;top:13785;width:156;height:637" type="#_x0000_t75" stroked="false">
              <v:imagedata r:id="rId104" o:title=""/>
            </v:shape>
            <v:shape style="position:absolute;left:7759;top:12622;width:892;height:106" coordorigin="7760,12622" coordsize="892,106" path="m7760,12633l7793,12727,7810,12727,7843,12633,7826,12633,7799,12700,7776,12633,7760,12633m7904,12655l7904,12661,7893,12655,7882,12650,7871,12655,7859,12661,7854,12672,7848,12688,7854,12705,7859,12716,7871,12722,7882,12727,7893,12722,7904,12716,7904,12722,7920,12722,7920,12655,7904,12655m7887,12666l7893,12666,7898,12672,7904,12677,7904,12688,7904,12694,7898,12705,7893,12705,7887,12711,7876,12705,7871,12705,7871,12694,7865,12688,7871,12677,7871,12672,7876,12666,7887,12666m7943,12655l7943,12722,7959,12722,7959,12694,7959,12688,7959,12683,7965,12672,7976,12666,7981,12672,7987,12677,7987,12683,7987,12694,7987,12722,8003,12722,8003,12677,8003,12666,7998,12661,7987,12655,7981,12650,7970,12655,7959,12661,7959,12655,7943,12655m8153,12644l8142,12633,8131,12628,8109,12628,8087,12628,8070,12644,8064,12655,8059,12677,8059,12688,8064,12700,8075,12711,8087,12722,8098,12722,8109,12727,8125,12722,8136,12722,8142,12711,8153,12705,8159,12688,8159,12677,8109,12677,8109,12694,8136,12694,8131,12700,8125,12705,8109,12711,8098,12705,8087,12700,8081,12688,8075,12677,8081,12661,8087,12655,8098,12644,8109,12644,8125,12644,8136,12655,8153,12644m8181,12622l8170,12628,8170,12633,8170,12644,8181,12644,8186,12644,8192,12633,8186,12628,8181,12622m8170,12655l8170,12722,8186,12722,8186,12655,8170,12655m8275,12694l8275,12688,8275,12672,8264,12661,8253,12655,8236,12650,8225,12655,8214,12661,8203,12672,8203,12688,8203,12705,8214,12716,8225,12722,8242,12727,8258,12722,8264,12716,8269,12711,8258,12705,8247,12705,8242,12711,8231,12711,8225,12705,8219,12694,8275,12694m8258,12677l8219,12677,8225,12672,8242,12666,8253,12672,8258,12677m8330,12661l8325,12655,8308,12650,8303,12655,8291,12655,8286,12666,8286,12672,8291,12683,8303,12694,8308,12694,8314,12700,8319,12705,8314,12705,8308,12711,8303,12705,8297,12700,8286,12711,8297,12722,8308,12727,8319,12722,8325,12716,8330,12711,8336,12705,8330,12688,8325,12688,8314,12683,8308,12677,8303,12672,8303,12666,8308,12666,8314,12666,8319,12672,8330,12661m8419,12694l8419,12688,8419,12672,8408,12661,8397,12655,8380,12650,8369,12655,8358,12661,8347,12672,8347,12688,8347,12705,8358,12716,8369,12722,8386,12727,8402,12722,8408,12716,8413,12711,8402,12705,8391,12705,8386,12711,8375,12711,8369,12705,8363,12694,8419,12694m8402,12677l8363,12677,8369,12672,8386,12666,8397,12672,8402,12677m8435,12655l8435,12722,8452,12722,8452,12694,8452,12688,8452,12683,8458,12672,8469,12666,8474,12672,8480,12677,8480,12683,8480,12694,8480,12722,8496,12722,8496,12677,8496,12666,8491,12661,8480,12655,8474,12650,8463,12655,8452,12661,8452,12655,8435,12655m8602,12639l8596,12633,8585,12628,8574,12622,8563,12628,8557,12633,8552,12639,8546,12650,8546,12655,8552,12661,8557,12672,8574,12683,8580,12688,8585,12688,8585,12700,8580,12705,8574,12705,8563,12705,8557,12694,8541,12705,8546,12711,8557,12716,8563,12722,8574,12722,8585,12722,8596,12716,8602,12705,8602,12694,8602,12683,8591,12672,8580,12661,8568,12655,8568,12650,8563,12644,8568,12644,8574,12639,8580,12644,8585,12650,8602,12639m8624,12622l8624,12650,8613,12650,8613,12666,8624,12666,8624,12722,8640,12722,8640,12666,8652,12666,8652,12650,8640,12650,8640,12622,8624,12622e" filled="false" stroked="true" strokeweight="1.66162pt" strokecolor="#ffffff">
              <v:path arrowok="t"/>
              <v:stroke dashstyle="solid"/>
            </v:shape>
            <v:shape style="position:absolute;left:9759;top:12339;width:344;height:732" type="#_x0000_t75" stroked="false">
              <v:imagedata r:id="rId105" o:title=""/>
            </v:shape>
            <v:shape style="position:absolute;left:6951;top:7028;width:3349;height:4836" type="#_x0000_t75" stroked="false">
              <v:imagedata r:id="rId154" o:title=""/>
            </v:shape>
            <v:shape style="position:absolute;left:7942;top:6535;width:953;height:128" coordorigin="7943,6535" coordsize="953,128" path="m7943,6541l7948,6635,7965,6635,7965,6596,7998,6596,7998,6635,8015,6635,8015,6541,7998,6541,7998,6580,7965,6580,7965,6541,7943,6541m8064,6563l8053,6569,8042,6574,8031,6585,8031,6602,8031,6618,8042,6629,8053,6635,8064,6641,8075,6635,8087,6635,8098,6618,8103,6613,8103,6602,8103,6591,8098,6585,8087,6569,8075,6569,8064,6563m8064,6580l8075,6585,8081,6585,8081,6596,8087,6602,8081,6613,8081,6618,8075,6624,8064,6624,8059,6624,8053,6618,8048,6613,8048,6602,8048,6596,8053,6585,8059,6585,8064,6580m8109,6569l8109,6635,8125,6635,8125,6607,8131,6591,8131,6585,8131,6580,8136,6580,8142,6580,8147,6569,8142,6563,8131,6569,8125,6574,8125,6569,8109,6569m8159,6569l8159,6635,8175,6635,8175,6607,8175,6602,8181,6596,8186,6585,8192,6580,8197,6585,8203,6591,8203,6596,8203,6607,8203,6635,8225,6635,8219,6591,8219,6580,8214,6574,8208,6569,8197,6563,8186,6569,8175,6574,8175,6569,8159,6569m8280,6541l8280,6635,8297,6635,8297,6596,8319,6635,8341,6635,8319,6596,8330,6585,8336,6580,8336,6569,8330,6552,8319,6546,8308,6541,8297,6541,8280,6541m8297,6580l8297,6557,8303,6557,8314,6563,8319,6569,8314,6580,8308,6580,8303,6580,8297,6580m8402,6569l8402,6574,8391,6569,8380,6563,8369,6569,8358,6574,8352,6585,8347,6602,8352,6618,8358,6629,8369,6635,8380,6641,8391,6635,8402,6629,8402,6635,8419,6635,8419,6569,8402,6569m8386,6580l8391,6585,8397,6585,8402,6596,8402,6602,8402,6613,8397,6618,8391,6624,8386,6624,8380,6624,8375,6618,8369,6613,8369,6602,8369,6596,8369,6585,8380,6585,8386,6580m8458,6569l8441,6569,8441,6663,8458,6663,8458,6629,8469,6635,8480,6641,8491,6635,8502,6629,8513,6618,8513,6602,8513,6585,8502,6574,8491,6569,8480,6563,8469,6569,8458,6574,8458,6569m8474,6580l8485,6585,8491,6585,8496,6596,8496,6602,8496,6613,8491,6618,8485,6624,8474,6624,8469,6624,8463,6618,8458,6613,8458,6602,8458,6596,8463,6585,8469,6585,8474,6580m8535,6535l8530,6541,8524,6546,8530,6557,8535,6557,8546,6557,8546,6546,8546,6541,8535,6535m8530,6563l8530,6635,8546,6635,8546,6563,8530,6563m8613,6535l8613,6574,8607,6563,8591,6563,8580,6563,8568,6574,8563,6585,8563,6602,8563,6613,8568,6624,8580,6635,8596,6635,8607,6635,8613,6629,8613,6635,8635,6635,8635,6535,8613,6535m8596,6580l8607,6580,8613,6585,8613,6591,8618,6602,8613,6607,8613,6613,8607,6618,8596,6618,8591,6618,8585,6613,8580,6607,8580,6602,8580,6591,8585,6585,8591,6580,8596,6580m8696,6574l8685,6569,8674,6563,8663,6563,8657,6569,8652,6574,8652,6585,8652,6596,8668,6602,8674,6607,8679,6613,8679,6618,8674,6618,8663,6618,8657,6613,8646,6624,8657,6635,8674,6635,8685,6635,8690,6629,8696,6624,8696,6613,8690,6602,8690,6596,8679,6591,8674,6591,8668,6585,8668,6580,8674,6580,8679,6580,8685,6585,8696,6574m8751,6541l8751,6635,8768,6635,8768,6596,8790,6635,8812,6635,8790,6591,8801,6585,8807,6574,8807,6569,8801,6552,8790,6541,8784,6541,8768,6541,8751,6541m8768,6580l8768,6557,8773,6557,8784,6557,8784,6563,8790,6569,8784,6574,8779,6574,8773,6580,8768,6580m8873,6535l8873,6574,8862,6563,8851,6563,8840,6563,8829,6574,8823,6585,8818,6602,8823,6613,8829,6624,8840,6635,8851,6635,8868,6635,8873,6629,8873,6635,8895,6635,8890,6535,8873,6535m8856,6580l8862,6580,8873,6585,8873,6591,8873,6602,8873,6607,8873,6613,8862,6618,8856,6618,8851,6618,8845,6613,8840,6607,8840,6602,8840,6591,8845,6585,8851,6580,8856,6580e" filled="false" stroked="true" strokeweight="1.66162pt" strokecolor="#ffffff">
              <v:path arrowok="t"/>
              <v:stroke dashstyle="solid"/>
            </v:shape>
            <v:shape style="position:absolute;left:8330;top:13209;width:161;height:720" type="#_x0000_t75" stroked="false">
              <v:imagedata r:id="rId110" o:title=""/>
            </v:shape>
            <v:shape style="position:absolute;left:9100;top:14327;width:1704;height:1892" type="#_x0000_t75" stroked="false">
              <v:imagedata r:id="rId155" o:title=""/>
            </v:shape>
            <v:shape style="position:absolute;left:9759;top:16028;width:599;height:133" type="#_x0000_t75" stroked="false">
              <v:imagedata r:id="rId112" o:title=""/>
            </v:shape>
            <v:shape style="position:absolute;left:8850;top:13369;width:139;height:100" coordorigin="8851,13370" coordsize="139,100" path="m8851,13375l8873,13469,8895,13469,8906,13408,8928,13469,8945,13469,8967,13375,8945,13375,8934,13436,8917,13375,8901,13375,8884,13436,8873,13375,8851,13375m8978,13370l8973,13375,8967,13381,8973,13392,8978,13392,8989,13392,8989,13381,8989,13375,8978,13370e" filled="false" stroked="true" strokeweight="1.66162pt" strokecolor="#ffffff">
              <v:path arrowok="t"/>
              <v:stroke dashstyle="solid"/>
            </v:shape>
            <v:line style="position:absolute" from="8973,13381" to="8973,13486" stroked="true" strokeweight="1.66162pt" strokecolor="#ffffff">
              <v:stroke dashstyle="solid"/>
            </v:line>
            <v:line style="position:absolute" from="9006,13353" to="9006,13486" stroked="true" strokeweight="1.66162pt" strokecolor="#ffffff">
              <v:stroke dashstyle="solid"/>
            </v:line>
            <v:shape style="position:absolute;left:9039;top:13364;width:632;height:106" coordorigin="9039,13364" coordsize="632,106" path="m9039,13370l9039,13469,9056,13469,9056,13370,9039,13370m9084,13370l9072,13370,9072,13381,9072,13386,9084,13392,9089,13386,9095,13381,9089,13370,9084,13370m9072,13397l9072,13464,9089,13464,9089,13397,9072,13397m9156,13397l9156,13403,9144,13397,9133,13392,9117,13397,9106,13403,9100,13420,9100,13431,9100,13447,9111,13458,9117,13464,9133,13469,9144,13464,9156,13458,9156,13464,9172,13464,9172,13397,9156,13397m9133,13408l9144,13414,9150,13414,9150,13425,9156,13431,9156,13442,9150,13447,9144,13453,9133,13453,9128,13453,9122,13447,9117,13442,9117,13431,9117,13425,9122,13414,9128,13414,9133,13408m9189,13397l9189,13464,9211,13464,9205,13436,9211,13425,9211,13420,9216,13414,9222,13408,9228,13414,9233,13420,9233,13425,9233,13431,9233,13464,9255,13464,9255,13436,9255,13425,9255,13420,9261,13414,9266,13408,9277,13414,9277,13420,9277,13431,9283,13464,9300,13464,9300,13425,9300,13414,9294,13408,9288,13397,9272,13392,9261,13397,9250,13408,9244,13397,9228,13392,9216,13397,9205,13403,9205,13397,9189,13397m9360,13403l9349,13397,9338,13392,9327,13392,9322,13397,9316,13403,9316,13414,9322,13425,9333,13436,9338,13436,9344,13442,9344,13447,9338,13447,9333,13447,9322,13442,9311,13453,9322,13464,9338,13464,9349,13464,9355,13458,9360,13453,9360,13442,9360,13431,9355,13425,9344,13420,9338,13420,9333,13414,9333,13408,9338,13408,9344,13408,9349,13414,9360,13403m9416,13464l9438,13464,9449,13464,9460,13458,9471,13453,9471,13436,9471,13420,9466,13414,9455,13408,9466,13403,9466,13392,9466,13386,9460,13381,9449,13370,9438,13370,9427,13370,9410,13370,9416,13464m9432,13386l9438,13386,9444,13386,9449,13397,9444,13403,9432,13408,9432,13386m9432,13420l9444,13425,9449,13425,9455,13431,9455,13436,9449,13442,9444,13447,9438,13447,9432,13447,9432,13420m9488,13364l9488,13464,9504,13464,9504,13364,9488,13364m9516,13392l9549,13464,9560,13464,9588,13392,9571,13392,9554,13431,9532,13392,9516,13392m9654,13364l9654,13397,9643,13392,9632,13392,9615,13392,9610,13397,9599,13414,9599,13425,9599,13442,9610,13453,9621,13458,9632,13464,9643,13458,9654,13453,9654,13458,9671,13458,9671,13364,9654,13364m9632,13403l9643,13408,9648,13408,9654,13420,9654,13425,9654,13436,9648,13442,9643,13447,9637,13447,9626,13447,9621,13442,9615,13436,9615,13425,9615,13420,9621,13414,9626,13408,9632,13403e" filled="false" stroked="true" strokeweight="1.66162pt" strokecolor="#ffffff">
              <v:path arrowok="t"/>
              <v:stroke dashstyle="solid"/>
            </v:shape>
            <v:shape style="position:absolute;left:6613;top:11863;width:133;height:599" type="#_x0000_t75" stroked="false">
              <v:imagedata r:id="rId114" o:title=""/>
            </v:shape>
            <v:shape style="position:absolute;left:4713;top:7133;width:3761;height:10141" coordorigin="4713,7133" coordsize="3761,10141" path="m4713,8103l4730,8103,4730,8086,4808,8092,4808,8069,4730,8069,4730,8053,4713,8053,4713,8103m4741,8053l4813,8025,4813,8014,4769,7997,4813,7986,4813,7975,4741,7948,4741,7964,4780,7981,4741,7992,4741,8003,4780,8020,4741,8031,4741,8053m4713,7931l4713,7937,4725,7942,4730,7937,4736,7931,4730,7920,4725,7920,4713,7920,4713,7931m4741,7937l4813,7942,4813,7920,4741,7920,4741,7937m4741,7903l4813,7903,4813,7887,4785,7887,4774,7887,4769,7887,4758,7881,4758,7870,4758,7865,4763,7859,4769,7859,4780,7859,4813,7859,4813,7842,4763,7842,4752,7842,4747,7848,4741,7853,4741,7865,4741,7876,4747,7887,4741,7887,4741,7903m4813,7787l4813,7759,4813,7748,4813,7743,4802,7732,4785,7726,4774,7732,4763,7743,4752,7737,4741,7732,4736,7737,4730,7737,4719,7754,4719,7759,4719,7770,4719,7787,4813,7787m4736,7770l4736,7765,4741,7754,4747,7754,4752,7754,4758,7765,4758,7770,4736,7770m4774,7770l4774,7765,4774,7754,4774,7748,4785,7743,4791,7748,4797,7754,4797,7765,4797,7770,4774,7770m4741,7715l4813,7715,4813,7698,4785,7698,4780,7698,4769,7698,4763,7698,4758,7693,4758,7687,4758,7682,4741,7676,4741,7687,4747,7693,4752,7698,4741,7698,4741,7715m4713,7660l4719,7665,4725,7671,4736,7665,4736,7660,4736,7649,4725,7649,4719,7649,4713,7660m4741,7665l4813,7671,4813,7649,4741,7649,4741,7665m4719,7588l4752,7588,4747,7599,4741,7610,4747,7621,4752,7632,4763,7643,4780,7643,4791,7643,4802,7632,4813,7621,4813,7610,4813,7599,4808,7588,4813,7588,4813,7571,4719,7571,4719,7588m4758,7604l4758,7599,4763,7593,4769,7588,4780,7588,4785,7588,4797,7593,4797,7599,4797,7604,4797,7615,4791,7621,4785,7626,4780,7626,4769,7626,4763,7621,4758,7615,4758,7604m4747,7499l4752,7499,4747,7510,4747,7521,4747,7532,4752,7543,4763,7554,4780,7554,4797,7554,4808,7543,4813,7532,4819,7521,4813,7510,4808,7499,4813,7499,4819,7505,4824,7510,4830,7521,4824,7527,4819,7538,4819,7554,4835,7549,4841,7538,4841,7521,4841,7505,4830,7488,4824,7482,4808,7482,4747,7482,4747,7499m4763,7516l4763,7510,4769,7505,4774,7499,4780,7499,4791,7499,4797,7505,4797,7510,4802,7516,4797,7527,4797,7532,4785,7538,4780,7538,4774,7538,4769,7532,4763,7527,4763,7516m4785,7394l4769,7394,4752,7405,4747,7416,4747,7427,4747,7444,4752,7455,4769,7466,4780,7466,4797,7466,4808,7455,4813,7444,4819,7427,4813,7410,4808,7405,4802,7399,4797,7410,4802,7421,4802,7427,4797,7444,4785,7449,4785,7394m4774,7410l4774,7449,4763,7444,4758,7427,4763,7416,4774,7410m4758,7333l4747,7338,4741,7355,4747,7361,4752,7372,4758,7377,4763,7377,4774,7372,4785,7361,4791,7355,4791,7349,4797,7344,4802,7349,4802,7355,4802,7361,4791,7366,4808,7377,4813,7372,4819,7355,4819,7344,4813,7338,4808,7333,4797,7327,4785,7333,4780,7338,4774,7349,4769,7355,4769,7361,4763,7361,4758,7355,4763,7349,4769,7344,4758,7333m4725,7272l4819,7277,4819,7255,4780,7255,4819,7233,4819,7217,4774,7239,4769,7222,4752,7217,4736,7222,4725,7233,4725,7244,4725,7255,4725,7272m4763,7255l4741,7255,4741,7250,4741,7244,4747,7239,4752,7233,4758,7239,4758,7244,4763,7250,4763,7255m4719,7150l4758,7150,4747,7161,4747,7172,4747,7183,4758,7194,4769,7200,4785,7205,4797,7200,4808,7194,4819,7183,4819,7172,4819,7161,4813,7150,4819,7150,4819,7133,4719,7133,4719,7150m4763,7167l4763,7161,4769,7156,4774,7150,4785,7150,4791,7150,4797,7156,4802,7161,4802,7167,4802,7178,4797,7183,4791,7183,4785,7189,4774,7183,4769,7183,4763,7178,4763,7167m6835,16804l6879,16887,6896,16876,6912,16870,6918,16864,6929,16848,6929,16831,6923,16809,6918,16798,6907,16792,6896,16787,6885,16781,6868,16787,6851,16792,6835,16804m6857,16809l6862,16804,6879,16804,6890,16804,6901,16809,6907,16820,6912,16826,6912,16837,6907,16848,6901,16853,6896,16859,6885,16864,6857,16809m6923,16781l6935,16809,6946,16820,6951,16831,6957,16837,6962,16837,6973,16837,6984,16831,6990,16831,6995,16820,7001,16815,7001,16804,6995,16798,6990,16781,6979,16754,6962,16765,6979,16792,6979,16804,6984,16809,6984,16815,6973,16820,6968,16820,6962,16815,6957,16815,6957,16804,6940,16776,6923,16781m7012,16737l6995,16743,7040,16831,7056,16820,7040,16792,7056,16792,7067,16792,7073,16781,7084,16770,7084,16759,7079,16743,7067,16732,7056,16726,7045,16720,7034,16726,7023,16732,7018,16743,7012,16737m7034,16743l7045,16737,7051,16743,7056,16743,7062,16754,7067,16759,7062,16765,7062,16776,7056,16776,7045,16781,7040,16781,7034,16776,7029,16770,7029,16759,7029,16754,7029,16748,7034,16743m7106,16693l7095,16698,7090,16709,7084,16726,7090,16737,7101,16754,7112,16759,7123,16759,7139,16754,7156,16743,7156,16737,7162,16726,7156,16715,7156,16704,7145,16693,7134,16687,7123,16687,7117,16687,7106,16693m7112,16704l7123,16704,7128,16704,7134,16709,7139,16715,7145,16720,7139,16732,7139,16737,7134,16743,7123,16743,7117,16743,7112,16737,7106,16732,7101,16726,7106,16715,7106,16709,7112,16704m7151,16671l7178,16732,7195,16726,7184,16698,7178,16698,7178,16687,7173,16676,7178,16671,7184,16671,7184,16654,7173,16654,7167,16660,7167,16671,7162,16665,7151,16671m7178,16626l7195,16648,7184,16654,7189,16665,7200,16660,7223,16709,7239,16704,7217,16654,7223,16648,7217,16637,7206,16643,7195,16615,7178,16626m7272,16610l7278,16615,7261,16615,7250,16615,7239,16626,7234,16637,7234,16648,7239,16665,7250,16676,7261,16682,7272,16687,7283,16682,7295,16676,7300,16665,7306,16671,7322,16665,7289,16599,7272,16610m7261,16632l7272,16626,7278,16632,7283,16632,7289,16637,7289,16648,7289,16654,7289,16665,7283,16665,7272,16671,7267,16671,7261,16665,7256,16660,7250,16648,7250,16643,7256,16637,7261,16632m7295,16565l7289,16571,7289,16576,7300,16582,7306,16582,7311,16576,7311,16565,7306,16560,7295,16565m7300,16593l7333,16654,7350,16648,7317,16582,7300,16593m7322,16554l7367,16643,7378,16632,7339,16543,7322,16554m7433,16510l7416,16510,7405,16510,7394,16516,7389,16527,7389,16538,7389,16543,7400,16554,7411,16560,7427,16565,7439,16565,7444,16565,7450,16571,7450,16576,7439,16582,7433,16588,7422,16582,7411,16593,7422,16599,7433,16604,7439,16604,7450,16599,7461,16593,7466,16582,7466,16571,7461,16565,7455,16554,7444,16549,7439,16549,7427,16543,7416,16543,7411,16538,7405,16538,7405,16532,7411,16527,7416,16527,7427,16527,7433,16510m7450,16493l7461,16516,7450,16516,7455,16532,7466,16527,7488,16576,7505,16571,7483,16521,7488,16516,7483,16499,7472,16504,7461,16482,7450,16493m8048,16488l8064,16493,8081,16488,8098,16477,8109,16460,8114,16438,8109,16421,8098,16410,8092,16399,8081,16394,8064,16394,8053,16394,8042,16394,8026,16410,8015,16427,8009,16444,8015,16460,8026,16471,8031,16482,8026,16493,8037,16516,8048,16488m8053,16471l8064,16460,8053,16438,8042,16466,8031,16455,8031,16444,8031,16432,8037,16421,8048,16410,8059,16410,8075,16410,8087,16416,8092,16427,8092,16438,8092,16449,8087,16460,8075,16471,8064,16471,8053,16471m8109,16488l8087,16504,8070,16510,8064,16516,8059,16521,8053,16527,8053,16538,8059,16549,8064,16554,8070,16560,8075,16565,8087,16565,8098,16565,8109,16560,8136,16543,8131,16532,8098,16543,8092,16549,8087,16549,8081,16549,8075,16543,8070,16532,8075,16527,8081,16527,8087,16521,8120,16504,8109,16488m8136,16643l8136,16637,8153,16632,8159,16615,8164,16604,8159,16588,8147,16576,8136,16571,8125,16565,8109,16571,8098,16582,8087,16593,8087,16604,8092,16621,8098,16632,8103,16637,8120,16643,8120,16626,8109,16621,8103,16615,8103,16604,8103,16599,8109,16593,8109,16588,8136,16643m8142,16621l8125,16582,8136,16588,8142,16593,8147,16610,8142,16621m8175,16720l8192,16709,8197,16698,8203,16682,8197,16665,8186,16654,8175,16648,8159,16648,8147,16648,8136,16660,8125,16671,8125,16687,8131,16698,8136,16709,8142,16715,8159,16720,8159,16704,8147,16698,8142,16693,8142,16687,8142,16682,8142,16671,8147,16671,8175,16720m8181,16698l8164,16665,8175,16665,8181,16676,8186,16687,8181,16698m8214,16715l8153,16743,8159,16759,8186,16748,8192,16748,8197,16743,8208,16743,8219,16754,8219,16759,8214,16765,8208,16770,8197,16770,8170,16787,8181,16804,8219,16781,8231,16776,8236,16770,8236,16759,8236,16748,8231,16743,8219,16732,8225,16732,8214,16715m8264,16831l8264,16820,8264,16809,8258,16798,8253,16792,8242,16792,8236,16792,8225,16804,8219,16820,8219,16826,8219,16831,8219,16837,8214,16837,8208,16831,8208,16826,8208,16815,8197,16809,8192,16826,8197,16837,8203,16848,8208,16853,8219,16853,8225,16853,8236,16842,8236,16837,8236,16826,8236,16820,8242,16815,8242,16809,8247,16809,8247,16815,8247,16820,8247,16826,8264,16831m8297,16887l8291,16892,8291,16876,8291,16864,8286,16853,8275,16848,8258,16848,8242,16853,8231,16859,8225,16870,8225,16887,8225,16898,8231,16909,8242,16914,8231,16914,8225,16914,8214,16903,8214,16892,8214,16887,8208,16870,8197,16881,8197,16898,8203,16914,8214,16925,8225,16931,8236,16936,8253,16931,8308,16903,8297,16887m8275,16876l8280,16887,8280,16892,8275,16898,8269,16903,8258,16903,8253,16903,8247,16898,8242,16892,8242,16887,8242,16881,8247,16870,8253,16870,8258,16864,8269,16864,8275,16870,8275,16876m8336,16964l8330,16970,8330,16959,8330,16948,8319,16936,8308,16931,8297,16925,8280,16931,8269,16942,8264,16953,8258,16964,8264,16975,8269,16986,8280,16992,8275,16997,8280,17014,8347,16981,8336,16964m8314,16953l8319,16964,8319,16970,8314,16975,8308,16981,8297,16986,8291,16981,8280,16981,8280,16975,8275,16964,8280,16959,8280,16953,8291,16948,8297,16948,8303,16948,8314,16948,8314,16953m8375,16992l8352,17003,8347,16992,8336,17003,8336,17008,8286,17031,8297,17047,8347,17025,8352,17036,8363,17025,8358,17020,8380,17008,8375,16992m8363,17114l8380,17103,8386,17092,8386,17080,8386,17064,8375,17053,8363,17042,8347,17042,8336,17047,8325,17053,8314,17069,8314,17080,8319,17097,8325,17103,8330,17108,8347,17119,8347,17103,8336,17097,8330,17092,8330,17080,8330,17075,8330,17069,8336,17064,8363,17114m8369,17092l8352,17058,8363,17058,8369,17069,8375,17080,8369,17092m8441,17136l8358,17175,8369,17197,8375,17208,8380,17219,8391,17230,8413,17230,8430,17224,8447,17219,8452,17208,8458,17197,8463,17186,8458,17175,8452,17152,8441,17136m8435,17158l8441,17164,8441,17180,8441,17191,8435,17202,8424,17208,8413,17213,8408,17213,8397,17208,8391,17202,8386,17191,8380,17186,8435,17158m8458,17224l8397,17258,8402,17274,8430,17263,8430,17258,8441,17252,8452,17252,8458,17258,8458,17263,8474,17263,8474,17252,8469,17247,8458,17247,8469,17241,8458,17224e" filled="false" stroked="true" strokeweight="1.66162pt" strokecolor="#ffffff">
              <v:path arrowok="t"/>
              <v:stroke dashstyle="solid"/>
            </v:shape>
            <v:shape style="position:absolute;left:9266;top:12322;width:133;height:693" type="#_x0000_t75" stroked="false">
              <v:imagedata r:id="rId115" o:title=""/>
            </v:shape>
            <v:shape style="position:absolute;left:7865;top:15009;width:565;height:632" type="#_x0000_t75" stroked="false">
              <v:imagedata r:id="rId116" o:title=""/>
            </v:shape>
            <v:shape style="position:absolute;left:7892;top:14050;width:615;height:144" type="#_x0000_t75" stroked="false">
              <v:imagedata r:id="rId117" o:title=""/>
            </v:shape>
            <v:shape style="position:absolute;left:6402;top:16266;width:765;height:266" coordorigin="6403,16266" coordsize="765,266" path="m6425,16266l6403,16360,6419,16366,6430,16322,6447,16372,6469,16377,6447,16316,6491,16283,6469,16277,6436,16305,6442,16272,6425,16266m6552,16366l6552,16360,6558,16344,6552,16333,6541,16322,6525,16316,6514,16316,6497,16316,6486,16327,6480,16344,6480,16355,6486,16372,6497,16383,6508,16388,6530,16388,6536,16383,6547,16377,6530,16366,6525,16372,6514,16372,6502,16366,6497,16349,6552,16366m6541,16344l6502,16338,6508,16333,6525,16327,6536,16333,6541,16344m6580,16327l6563,16394,6580,16399,6586,16372,6591,16366,6591,16360,6602,16349,6608,16349,6613,16355,6619,16360,6619,16366,6613,16377,6608,16405,6624,16410,6635,16366,6635,16355,6635,16344,6630,16338,6619,16333,6608,16333,6597,16338,6597,16333,6580,16327m6658,16349l6641,16416,6658,16421,6663,16394,6663,16383,6669,16377,6674,16372,6685,16366,6691,16372,6691,16377,6691,16388,6691,16394,6685,16427,6702,16432,6713,16383,6713,16372,6707,16366,6702,16360,6691,16355,6685,16355,6669,16360,6674,16349,6658,16349m6796,16421l6796,16416,6796,16405,6796,16388,6785,16377,6768,16372,6757,16372,6741,16377,6730,16388,6724,16399,6724,16416,6730,16427,6741,16438,6752,16444,6774,16444,6779,16444,6790,16438,6774,16427,6768,16432,6757,16427,6746,16421,6741,16410,6796,16421m6779,16405l6746,16394,6752,16388,6768,16388,6779,16394,6779,16405m6874,16366l6862,16405,6857,16394,6846,16388,6835,16388,6818,16394,6813,16405,6807,16416,6802,16432,6807,16444,6818,16455,6829,16460,6840,16460,6851,16455,6851,16466,6868,16466,6890,16372,6874,16366m6846,16405l6851,16410,6857,16416,6862,16421,6857,16427,6857,16438,6851,16444,6846,16444,6835,16444,6829,16444,6824,16438,6824,16427,6824,16421,6824,16410,6829,16405,6840,16405,6846,16405m6896,16405l6907,16471,6885,16499,6901,16504,6968,16421,6951,16416,6918,16455,6912,16405,6896,16405m7023,16405l7001,16499,7018,16504,7029,16466,7045,16510,7062,16516,7051,16466,7056,16466,7067,16460,7073,16449,7073,16438,7073,16432,7062,16421,7056,16416,7045,16410,7023,16405m7034,16449l7040,16427,7045,16432,7051,16432,7056,16438,7056,16444,7051,16449,7045,16449,7040,16449,7034,16449m7151,16432l7139,16466,7134,16460,7123,16455,7106,16455,7095,16460,7084,16466,7079,16482,7079,16493,7084,16510,7095,16521,7106,16527,7117,16527,7128,16521,7128,16527,7145,16532,7167,16438,7151,16432m7123,16471l7128,16471,7134,16477,7134,16488,7134,16493,7134,16504,7128,16510,7117,16510,7112,16510,7106,16504,7101,16499,7095,16493,7101,16482,7101,16477,7106,16471,7112,16471,7123,16471e" filled="false" stroked="true" strokeweight="1.66162pt" strokecolor="#ffffff">
              <v:path arrowok="t"/>
              <v:stroke dashstyle="solid"/>
            </v:shape>
            <v:shape style="position:absolute;left:4719;top:19650;width:139;height:604" type="#_x0000_t75" stroked="false">
              <v:imagedata r:id="rId118" o:title=""/>
            </v:shape>
            <v:shape style="position:absolute;left:720;top:2879;width:14401;height:20880" coordorigin="720,2880" coordsize="14401,20880" path="m720,13320l720,2880,15121,2880,15121,23760,720,23760,720,13320e" filled="false" stroked="true" strokeweight="1.10775pt" strokecolor="#000000">
              <v:path arrowok="t"/>
              <v:stroke dashstyle="solid"/>
            </v:shape>
            <v:shape style="position:absolute;left:1057;top:19988;width:3113;height:3573" coordorigin="1058,19988" coordsize="3113,3573" path="m3977,23555l1252,23555,1257,23560,3971,23560,3977,23555xm3999,23549l1224,23549,1230,23555,3993,23555,3999,23549xm4016,23544l1207,23544,1213,23549,4010,23549,4016,23544xm4032,23538l1196,23538,1202,23544,4027,23544,4032,23538xm4043,23533l1185,23533,1191,23538,4038,23538,4043,23533xm4054,23527l1174,23527,1180,23533,4049,23533,4054,23527xm4071,23516l1158,23516,1169,23527,4060,23527,4071,23516xm4060,20021l1169,20021,1158,20032,1152,20032,1102,20082,1102,20088,1091,20099,1091,20104,1086,20110,1086,20115,1080,20121,1080,20127,1075,20132,1075,20143,1069,20149,1069,20160,1063,20165,1063,20182,1058,20187,1058,23361,1063,23367,1063,23389,1069,23394,1069,23405,1075,23411,1075,23416,1080,23422,1080,23427,1086,23433,1086,23439,1091,23444,1091,23450,1102,23461,1102,23466,1152,23516,4077,23516,4126,23466,4126,23461,4137,23450,4137,23444,4143,23439,4143,23433,4149,23427,4149,23422,4154,23416,4154,23411,4160,23405,4160,23394,4165,23389,4165,23367,4171,23361,4171,20193,4165,20187,4165,20165,4160,20160,4160,20149,4154,20143,4154,20132,4149,20127,4149,20121,4143,20115,4143,20110,4137,20104,4137,20099,4121,20082,4121,20077,4082,20038,4077,20038,4060,20021xm4049,20016l1180,20016,1174,20021,4054,20021,4049,20016xm4038,20010l1191,20010,1185,20016,4043,20016,4038,20010xm4027,20005l1202,20005,1196,20010,4032,20010,4027,20005xm4010,19999l1213,19999,1207,20005,4016,20005,4010,19999xm3993,19994l1230,19994,1224,19999,3999,19999,3993,19994xm3966,19988l1257,19988,1252,19994,3971,19994,3966,19988xe" filled="true" fillcolor="#ffffff" stroked="false">
              <v:path arrowok="t"/>
              <v:fill type="solid"/>
            </v:shape>
            <v:line style="position:absolute" from="1590,20758" to="2110,20758" stroked="true" strokeweight="3.04631pt" strokecolor="#0070ff">
              <v:stroke dashstyle="solid"/>
            </v:line>
            <v:line style="position:absolute" from="1590,21112" to="2110,21112" stroked="true" strokeweight="3.04631pt" strokecolor="#00c5ff">
              <v:stroke dashstyle="solid"/>
            </v:line>
            <v:line style="position:absolute" from="1590,21467" to="2110,21467" stroked="true" strokeweight="3.04631pt" strokecolor="#38a700">
              <v:stroke dashstyle="solid"/>
            </v:line>
            <v:line style="position:absolute" from="1590,21821" to="2110,21821" stroked="true" strokeweight="3.04631pt" strokecolor="#e5e500">
              <v:stroke dashstyle="solid"/>
            </v:line>
            <v:line style="position:absolute" from="1590,22170" to="2110,22170" stroked="true" strokeweight="3.04631pt" strokecolor="#ff72df">
              <v:stroke dashstyle="solid"/>
            </v:line>
            <v:line style="position:absolute" from="1590,22525" to="2110,22525" stroked="true" strokeweight="3.04631pt" strokecolor="#ffaa00">
              <v:stroke dashstyle="solid"/>
            </v:line>
            <v:line style="position:absolute" from="1590,22879" to="2110,22879" stroked="true" strokeweight="3.04631pt" strokecolor="#e50000">
              <v:stroke dashstyle="solid"/>
            </v:line>
            <v:line style="position:absolute" from="1590,23234" to="2110,23234" stroked="true" strokeweight="1.93856pt" strokecolor="#b2b2b2">
              <v:stroke dashstyle="solid"/>
            </v:line>
            <v:line style="position:absolute" from="3933,23560" to="1291,23560" stroked="true" strokeweight="1.10775pt" strokecolor="#000000">
              <v:stroke dashstyle="solid"/>
            </v:line>
            <v:shape style="position:absolute;left:1046;top:23316;width:255;height:255" type="#_x0000_t75" stroked="false">
              <v:imagedata r:id="rId156" o:title=""/>
            </v:shape>
            <v:line style="position:absolute" from="1058,23328" to="1058,20221" stroked="true" strokeweight="1.10775pt" strokecolor="#000000">
              <v:stroke dashstyle="solid"/>
            </v:line>
            <v:shape style="position:absolute;left:1046;top:19977;width:255;height:255" type="#_x0000_t75" stroked="false">
              <v:imagedata r:id="rId157" o:title=""/>
            </v:shape>
            <v:line style="position:absolute" from="1291,19988" to="3933,19988" stroked="true" strokeweight="1.10775pt" strokecolor="#000000">
              <v:stroke dashstyle="solid"/>
            </v:line>
            <v:shape style="position:absolute;left:3921;top:19977;width:261;height:255" type="#_x0000_t75" stroked="false">
              <v:imagedata r:id="rId158" o:title=""/>
            </v:shape>
            <v:line style="position:absolute" from="4171,20221" to="4171,23328" stroked="true" strokeweight="1.10775pt" strokecolor="#000000">
              <v:stroke dashstyle="solid"/>
            </v:line>
            <v:shape style="position:absolute;left:3921;top:23316;width:261;height:255" type="#_x0000_t75" stroked="false">
              <v:imagedata r:id="rId159" o:title=""/>
            </v:shape>
            <v:rect style="position:absolute;left:720;top:720;width:14401;height:2160" filled="false" stroked="true" strokeweight="1.10775pt" strokecolor="#000000">
              <v:stroke dashstyle="solid"/>
            </v:rect>
            <v:shape style="position:absolute;left:14539;top:947;width:344;height:1706" coordorigin="14539,947" coordsize="344,1706" path="m14713,2000l14708,2000,14708,2595,14711,2595,14711,2599,14779,2653,14779,2135,14713,2074,14713,2000xm14883,1658l14595,1658,14573,1662,14555,1674,14544,1692,14539,1714,14539,2000,14826,2000,14848,1995,14866,1983,14878,1965,14882,1949,14708,1949,14688,1947,14668,1942,14649,1933,14632,1921,14620,1909,14632,1898,14610,1898,14593,1860,14590,1819,14590,1818,14600,1779,14625,1745,14643,1730,14664,1719,14685,1712,14708,1710,14883,1710,14883,1658xm14883,1740l14792,1740,14802,1751,14825,1791,14831,1834,14821,1877,14795,1914,14777,1929,14757,1940,14735,1947,14713,1949,14882,1949,14883,1944,14883,1740xm14711,1911l14709,1911,14709,1913,14708,1913,14701,1916,14693,1919,14686,1923,14681,1924,14675,1924,14670,1926,14681,1931,14694,1934,14726,1934,14731,1932,14713,1914,14711,1911xm14752,1881l14742,1890,14734,1896,14724,1903,14749,1927,14759,1923,14770,1918,14779,1909,14752,1881xm14676,1876l14645,1908,14653,1913,14666,1913,14686,1906,14699,1899,14676,1876xm14713,1728l14708,1728,14669,1737,14638,1760,14616,1792,14609,1829,14609,1833,14609,1845,14612,1859,14617,1872,14623,1885,14610,1898,14632,1898,14661,1868,14640,1868,14633,1857,14630,1844,14630,1829,14632,1815,14636,1800,14644,1786,14655,1773,14666,1763,14679,1756,14693,1752,14708,1750,14782,1750,14788,1743,14765,1743,14754,1737,14741,1733,14727,1730,14713,1728xm14785,1842l14779,1852,14770,1862,14762,1870,14790,1898,14798,1888,14805,1876,14808,1867,14785,1842xm14711,1842l14686,1867,14708,1886,14713,1891,14722,1886,14731,1878,14741,1870,14713,1844,14711,1842xm14721,1770l14708,1770,14697,1771,14687,1774,14677,1780,14668,1788,14660,1797,14654,1808,14651,1819,14650,1829,14650,1839,14651,1847,14653,1853,14640,1868,14661,1868,14713,1817,14758,1773,14734,1773,14721,1770xm14747,1806l14722,1830,14752,1860,14760,1850,14774,1830,14747,1806xm14807,1789l14807,1794,14805,1799,14803,1806,14800,1812,14793,1829,14813,1849,14815,1834,14815,1829,14814,1818,14812,1803,14807,1789xm14790,1765l14759,1794,14782,1817,14784,1811,14787,1806,14793,1786,14793,1773,14790,1765xm14782,1750l14726,1750,14737,1753,14749,1758,14734,1773,14758,1773,14782,1750xm14883,1710l14713,1710,14730,1712,14747,1716,14762,1723,14777,1732,14765,1743,14788,1743,14792,1740,14883,1740,14883,1710xm14713,947l14642,1523,14708,1585,14708,1658,14713,1658,14713,947xe" filled="true" fillcolor="#335f93" stroked="false">
              <v:path arrowok="t"/>
              <v:fill type="solid"/>
            </v:shape>
            <v:shape style="position:absolute;left:14589;top:1710;width:188;height:188" type="#_x0000_t75" stroked="false">
              <v:imagedata r:id="rId123" o:title=""/>
            </v:shape>
            <v:shape style="position:absolute;left:819;top:1046;width:1508;height:1795" type="#_x0000_t75" stroked="false">
              <v:imagedata r:id="rId124" o:title=""/>
            </v:shape>
            <w10:wrap type="none"/>
          </v:group>
        </w:pict>
      </w:r>
      <w:r>
        <w:rPr/>
        <w:pict>
          <v:shape style="position:absolute;margin-left:233.99942pt;margin-top:-14.817676pt;width:10.5pt;height:31.7pt;mso-position-horizontal-relative:page;mso-position-vertical-relative:paragraph;z-index:251837440" type="#_x0000_t202" filled="false" stroked="false">
            <v:textbox inset="0,0,0,0" style="layout-flow:vertical;mso-layout-flow-alt:bottom-to-top">
              <w:txbxContent>
                <w:p>
                  <w:pPr>
                    <w:spacing w:before="18"/>
                    <w:ind w:left="20" w:right="0" w:firstLine="0"/>
                    <w:jc w:val="left"/>
                    <w:rPr>
                      <w:rFonts w:ascii="Century Gothic"/>
                      <w:b/>
                      <w:sz w:val="13"/>
                    </w:rPr>
                  </w:pPr>
                  <w:r>
                    <w:rPr>
                      <w:rFonts w:ascii="Century Gothic"/>
                      <w:b/>
                      <w:color w:val="4D4D4D"/>
                      <w:position w:val="1"/>
                      <w:sz w:val="13"/>
                    </w:rPr>
                    <w:t>D</w:t>
                  </w:r>
                  <w:r>
                    <w:rPr>
                      <w:rFonts w:ascii="Century Gothic"/>
                      <w:b/>
                      <w:color w:val="4D4D4D"/>
                      <w:sz w:val="13"/>
                    </w:rPr>
                    <w:t>allas Rd</w:t>
                  </w:r>
                </w:p>
              </w:txbxContent>
            </v:textbox>
            <w10:wrap type="none"/>
          </v:shape>
        </w:pict>
      </w:r>
      <w:r>
        <w:rPr>
          <w:rFonts w:ascii="Arial"/>
          <w:b/>
          <w:sz w:val="26"/>
        </w:rPr>
        <w:t>All Day Traffic Counts</w:t>
      </w:r>
    </w:p>
    <w:p>
      <w:pPr>
        <w:spacing w:before="184"/>
        <w:ind w:left="2204" w:right="0" w:firstLine="0"/>
        <w:jc w:val="left"/>
        <w:rPr>
          <w:rFonts w:ascii="Arial"/>
          <w:sz w:val="17"/>
        </w:rPr>
      </w:pPr>
      <w:r>
        <w:rPr>
          <w:rFonts w:ascii="Arial"/>
          <w:w w:val="105"/>
          <w:sz w:val="17"/>
        </w:rPr>
        <w:t>0 to 1,000</w:t>
      </w:r>
    </w:p>
    <w:p>
      <w:pPr>
        <w:spacing w:before="159"/>
        <w:ind w:left="2204" w:right="0" w:firstLine="0"/>
        <w:jc w:val="left"/>
        <w:rPr>
          <w:rFonts w:ascii="Arial"/>
          <w:sz w:val="17"/>
        </w:rPr>
      </w:pPr>
      <w:r>
        <w:rPr>
          <w:rFonts w:ascii="Arial"/>
          <w:w w:val="105"/>
          <w:sz w:val="17"/>
        </w:rPr>
        <w:t>1,001 to 5,000</w:t>
      </w:r>
    </w:p>
    <w:p>
      <w:pPr>
        <w:spacing w:before="159"/>
        <w:ind w:left="2204" w:right="0" w:firstLine="0"/>
        <w:jc w:val="left"/>
        <w:rPr>
          <w:rFonts w:ascii="Arial"/>
          <w:sz w:val="17"/>
        </w:rPr>
      </w:pPr>
      <w:r>
        <w:rPr>
          <w:rFonts w:ascii="Arial"/>
          <w:w w:val="105"/>
          <w:sz w:val="17"/>
        </w:rPr>
        <w:t>5,000 to 10,000</w:t>
      </w:r>
    </w:p>
    <w:p>
      <w:pPr>
        <w:spacing w:before="159"/>
        <w:ind w:left="2204" w:right="0" w:firstLine="0"/>
        <w:jc w:val="left"/>
        <w:rPr>
          <w:rFonts w:ascii="Arial"/>
          <w:sz w:val="17"/>
        </w:rPr>
      </w:pPr>
      <w:r>
        <w:rPr>
          <w:rFonts w:ascii="Arial"/>
          <w:w w:val="105"/>
          <w:sz w:val="17"/>
        </w:rPr>
        <w:t>10,001 to</w:t>
      </w:r>
      <w:r>
        <w:rPr>
          <w:rFonts w:ascii="Arial"/>
          <w:spacing w:val="16"/>
          <w:w w:val="105"/>
          <w:sz w:val="17"/>
        </w:rPr>
        <w:t> </w:t>
      </w:r>
      <w:r>
        <w:rPr>
          <w:rFonts w:ascii="Arial"/>
          <w:w w:val="105"/>
          <w:sz w:val="17"/>
        </w:rPr>
        <w:t>20,000</w:t>
      </w:r>
    </w:p>
    <w:p>
      <w:pPr>
        <w:spacing w:before="154"/>
        <w:ind w:left="2204" w:right="0" w:firstLine="0"/>
        <w:jc w:val="left"/>
        <w:rPr>
          <w:rFonts w:ascii="Arial"/>
          <w:sz w:val="17"/>
        </w:rPr>
      </w:pPr>
      <w:r>
        <w:rPr>
          <w:rFonts w:ascii="Arial"/>
          <w:w w:val="105"/>
          <w:sz w:val="17"/>
        </w:rPr>
        <w:t>20,001 to</w:t>
      </w:r>
      <w:r>
        <w:rPr>
          <w:rFonts w:ascii="Arial"/>
          <w:spacing w:val="16"/>
          <w:w w:val="105"/>
          <w:sz w:val="17"/>
        </w:rPr>
        <w:t> </w:t>
      </w:r>
      <w:r>
        <w:rPr>
          <w:rFonts w:ascii="Arial"/>
          <w:w w:val="105"/>
          <w:sz w:val="17"/>
        </w:rPr>
        <w:t>30,000</w:t>
      </w:r>
    </w:p>
    <w:p>
      <w:pPr>
        <w:spacing w:before="159"/>
        <w:ind w:left="2204" w:right="0" w:firstLine="0"/>
        <w:jc w:val="left"/>
        <w:rPr>
          <w:rFonts w:ascii="Arial"/>
          <w:sz w:val="17"/>
        </w:rPr>
      </w:pPr>
      <w:r>
        <w:rPr>
          <w:rFonts w:ascii="Arial"/>
          <w:w w:val="105"/>
          <w:sz w:val="17"/>
        </w:rPr>
        <w:t>30,001 to</w:t>
      </w:r>
      <w:r>
        <w:rPr>
          <w:rFonts w:ascii="Arial"/>
          <w:spacing w:val="16"/>
          <w:w w:val="105"/>
          <w:sz w:val="17"/>
        </w:rPr>
        <w:t> </w:t>
      </w:r>
      <w:r>
        <w:rPr>
          <w:rFonts w:ascii="Arial"/>
          <w:w w:val="105"/>
          <w:sz w:val="17"/>
        </w:rPr>
        <w:t>40,000</w:t>
      </w:r>
    </w:p>
    <w:p>
      <w:pPr>
        <w:spacing w:before="159"/>
        <w:ind w:left="2204" w:right="0" w:firstLine="0"/>
        <w:jc w:val="left"/>
        <w:rPr>
          <w:rFonts w:ascii="Arial"/>
          <w:sz w:val="17"/>
        </w:rPr>
      </w:pPr>
      <w:r>
        <w:rPr>
          <w:rFonts w:ascii="Arial"/>
          <w:w w:val="105"/>
          <w:sz w:val="17"/>
        </w:rPr>
        <w:t>More than 40,000</w:t>
      </w:r>
    </w:p>
    <w:p>
      <w:pPr>
        <w:spacing w:before="168"/>
        <w:ind w:left="2204" w:right="0" w:firstLine="0"/>
        <w:jc w:val="left"/>
        <w:rPr>
          <w:rFonts w:ascii="Arial"/>
          <w:sz w:val="16"/>
        </w:rPr>
      </w:pPr>
      <w:r>
        <w:rPr>
          <w:rFonts w:ascii="Arial"/>
          <w:w w:val="105"/>
          <w:sz w:val="16"/>
        </w:rPr>
        <w:t>No Count Data</w:t>
      </w:r>
    </w:p>
    <w:p>
      <w:pPr>
        <w:pStyle w:val="BodyText"/>
        <w:rPr>
          <w:rFonts w:ascii="Arial"/>
          <w:sz w:val="40"/>
        </w:rPr>
      </w:pPr>
      <w:r>
        <w:rPr/>
        <w:br w:type="column"/>
      </w:r>
      <w:r>
        <w:rPr>
          <w:rFonts w:ascii="Arial"/>
          <w:sz w:val="40"/>
        </w:rPr>
      </w:r>
    </w:p>
    <w:p>
      <w:pPr>
        <w:pStyle w:val="BodyText"/>
        <w:rPr>
          <w:rFonts w:ascii="Arial"/>
          <w:sz w:val="40"/>
        </w:rPr>
      </w:pPr>
    </w:p>
    <w:p>
      <w:pPr>
        <w:pStyle w:val="BodyText"/>
        <w:rPr>
          <w:rFonts w:ascii="Arial"/>
          <w:sz w:val="40"/>
        </w:rPr>
      </w:pPr>
    </w:p>
    <w:p>
      <w:pPr>
        <w:pStyle w:val="BodyText"/>
        <w:rPr>
          <w:rFonts w:ascii="Arial"/>
          <w:sz w:val="40"/>
        </w:rPr>
      </w:pPr>
    </w:p>
    <w:p>
      <w:pPr>
        <w:pStyle w:val="BodyText"/>
        <w:rPr>
          <w:rFonts w:ascii="Arial"/>
          <w:sz w:val="40"/>
        </w:rPr>
      </w:pPr>
    </w:p>
    <w:p>
      <w:pPr>
        <w:spacing w:before="321"/>
        <w:ind w:left="0" w:right="38" w:firstLine="0"/>
        <w:jc w:val="right"/>
        <w:rPr>
          <w:rFonts w:ascii="Arial" w:hAnsi="Arial"/>
          <w:b/>
          <w:sz w:val="11"/>
        </w:rPr>
      </w:pPr>
      <w:r>
        <w:rPr/>
        <w:pict>
          <v:shape style="position:absolute;margin-left:509.789154pt;margin-top:4.2505pt;width:29.1pt;height:6.65pt;mso-position-horizontal-relative:page;mso-position-vertical-relative:paragraph;z-index:251825152;rotation:1" type="#_x0000_t136" fillcolor="#4d4d4d" stroked="f">
            <o:extrusion v:ext="view" autorotationcenter="t"/>
            <v:textpath style="font-family:&quot;Century Gothic&quot;;font-size:6pt;v-text-kern:t;mso-text-shadow:auto;font-weight:bold" string="Reata Rd"/>
            <w10:wrap type="none"/>
          </v:shape>
        </w:pict>
      </w:r>
      <w:r>
        <w:rPr>
          <w:rFonts w:ascii="Arial" w:hAnsi="Arial"/>
          <w:color w:val="FF0000"/>
          <w:spacing w:val="-284"/>
          <w:w w:val="127"/>
          <w:position w:val="1"/>
          <w:sz w:val="40"/>
        </w:rPr>
        <w:t>§</w:t>
      </w:r>
      <w:r>
        <w:rPr>
          <w:rFonts w:ascii="Arial" w:hAnsi="Arial"/>
          <w:spacing w:val="-284"/>
          <w:w w:val="272"/>
          <w:sz w:val="40"/>
        </w:rPr>
        <w:t>¦</w:t>
      </w:r>
      <w:r>
        <w:rPr>
          <w:rFonts w:ascii="Arial" w:hAnsi="Arial"/>
          <w:color w:val="0000FF"/>
          <w:spacing w:val="-209"/>
          <w:w w:val="212"/>
          <w:sz w:val="40"/>
        </w:rPr>
        <w:t>¨</w:t>
      </w:r>
      <w:r>
        <w:rPr>
          <w:rFonts w:ascii="Arial" w:hAnsi="Arial"/>
          <w:b/>
          <w:color w:val="FFFFFF"/>
          <w:spacing w:val="-4"/>
          <w:w w:val="105"/>
          <w:position w:val="10"/>
          <w:sz w:val="11"/>
        </w:rPr>
        <w:t>8</w:t>
      </w:r>
      <w:r>
        <w:rPr>
          <w:rFonts w:ascii="Arial" w:hAnsi="Arial"/>
          <w:b/>
          <w:color w:val="FFFFFF"/>
          <w:w w:val="105"/>
          <w:position w:val="10"/>
          <w:sz w:val="11"/>
        </w:rPr>
        <w:t>2</w:t>
      </w:r>
    </w:p>
    <w:p>
      <w:pPr>
        <w:pStyle w:val="BodyText"/>
        <w:rPr>
          <w:rFonts w:ascii="Arial"/>
          <w:b/>
          <w:sz w:val="26"/>
        </w:rPr>
      </w:pPr>
      <w:r>
        <w:rPr/>
        <w:br w:type="column"/>
      </w:r>
      <w:r>
        <w:rPr>
          <w:rFonts w:ascii="Arial"/>
          <w:b/>
          <w:sz w:val="26"/>
        </w:rPr>
      </w:r>
    </w:p>
    <w:p>
      <w:pPr>
        <w:pStyle w:val="BodyText"/>
        <w:rPr>
          <w:rFonts w:ascii="Arial"/>
          <w:b/>
          <w:sz w:val="26"/>
        </w:rPr>
      </w:pPr>
    </w:p>
    <w:p>
      <w:pPr>
        <w:pStyle w:val="BodyText"/>
        <w:rPr>
          <w:rFonts w:ascii="Arial"/>
          <w:b/>
          <w:sz w:val="26"/>
        </w:rPr>
      </w:pPr>
    </w:p>
    <w:p>
      <w:pPr>
        <w:pStyle w:val="BodyText"/>
        <w:rPr>
          <w:rFonts w:ascii="Arial"/>
          <w:b/>
          <w:sz w:val="26"/>
        </w:rPr>
      </w:pPr>
    </w:p>
    <w:p>
      <w:pPr>
        <w:spacing w:before="178"/>
        <w:ind w:left="1203" w:right="926" w:firstLine="0"/>
        <w:jc w:val="center"/>
        <w:rPr>
          <w:rFonts w:ascii="Arial"/>
          <w:sz w:val="24"/>
        </w:rPr>
      </w:pPr>
      <w:r>
        <w:rPr/>
        <w:pict>
          <v:shape style="position:absolute;margin-left:595.561658pt;margin-top:-49.129132pt;width:36.050pt;height:6.65pt;mso-position-horizontal-relative:page;mso-position-vertical-relative:paragraph;z-index:251835392;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536.930603pt;margin-top:-62.581844pt;width:10.55pt;height:29.8pt;mso-position-horizontal-relative:page;mso-position-vertical-relative:paragraph;z-index:251846656"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position w:val="1"/>
                      <w:sz w:val="13"/>
                    </w:rPr>
                    <w:t>Le</w:t>
                  </w:r>
                  <w:r>
                    <w:rPr>
                      <w:rFonts w:ascii="Century Gothic"/>
                      <w:b/>
                      <w:color w:val="4D4D4D"/>
                      <w:sz w:val="13"/>
                    </w:rPr>
                    <w:t>slie Rd</w:t>
                  </w:r>
                </w:p>
              </w:txbxContent>
            </v:textbox>
            <w10:wrap type="none"/>
          </v:shape>
        </w:pict>
      </w:r>
      <w:r>
        <w:rPr/>
        <w:pict>
          <v:shape style="position:absolute;margin-left:616.731567pt;margin-top:-69.457832pt;width:11.45pt;height:68.650pt;mso-position-horizontal-relative:page;mso-position-vertical-relative:paragraph;z-index:251848704" type="#_x0000_t202" filled="false" stroked="false">
            <v:textbox inset="0,0,0,0" style="layout-flow:vertical;mso-layout-flow-alt:bottom-to-top">
              <w:txbxContent>
                <w:p>
                  <w:pPr>
                    <w:tabs>
                      <w:tab w:pos="1351" w:val="left" w:leader="none"/>
                    </w:tabs>
                    <w:spacing w:before="48"/>
                    <w:ind w:left="20" w:right="0" w:firstLine="0"/>
                    <w:jc w:val="left"/>
                    <w:rPr>
                      <w:rFonts w:ascii="Century Gothic"/>
                      <w:b/>
                      <w:sz w:val="13"/>
                    </w:rPr>
                  </w:pPr>
                  <w:r>
                    <w:rPr>
                      <w:rFonts w:ascii="Century Gothic"/>
                      <w:b/>
                      <w:color w:val="4D4D4D"/>
                      <w:w w:val="102"/>
                      <w:sz w:val="13"/>
                      <w:u w:val="thick" w:color="B2B2B2"/>
                    </w:rPr>
                    <w:t> </w:t>
                  </w:r>
                  <w:r>
                    <w:rPr>
                      <w:rFonts w:ascii="Century Gothic"/>
                      <w:b/>
                      <w:color w:val="4D4D4D"/>
                      <w:sz w:val="13"/>
                      <w:u w:val="thick" w:color="B2B2B2"/>
                    </w:rPr>
                    <w:tab/>
                  </w:r>
                </w:p>
              </w:txbxContent>
            </v:textbox>
            <w10:wrap type="none"/>
          </v:shape>
        </w:pict>
      </w:r>
      <w:r>
        <w:rPr>
          <w:rFonts w:ascii="Arial"/>
          <w:emboss/>
          <w:color w:val="757576"/>
          <w:sz w:val="24"/>
        </w:rPr>
        <w:t>K</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w</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k</w:t>
      </w: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5"/>
        <w:rPr>
          <w:rFonts w:ascii="Arial"/>
          <w:sz w:val="29"/>
        </w:rPr>
      </w:pPr>
    </w:p>
    <w:p>
      <w:pPr>
        <w:spacing w:before="0"/>
        <w:ind w:left="1238" w:right="926" w:firstLine="0"/>
        <w:jc w:val="center"/>
        <w:rPr>
          <w:rFonts w:ascii="Century Gothic"/>
          <w:sz w:val="24"/>
        </w:rPr>
      </w:pPr>
      <w:r>
        <w:rPr>
          <w:rFonts w:ascii="Century Gothic"/>
          <w:sz w:val="24"/>
        </w:rPr>
        <w:t>February 24, 2017</w:t>
      </w:r>
    </w:p>
    <w:p>
      <w:pPr>
        <w:spacing w:after="0"/>
        <w:jc w:val="center"/>
        <w:rPr>
          <w:rFonts w:ascii="Century Gothic"/>
          <w:sz w:val="24"/>
        </w:rPr>
        <w:sectPr>
          <w:type w:val="continuous"/>
          <w:pgSz w:w="15840" w:h="24480"/>
          <w:pgMar w:top="1480" w:bottom="1320" w:left="0" w:right="0"/>
          <w:cols w:num="3" w:equalWidth="0">
            <w:col w:w="4010" w:space="3362"/>
            <w:col w:w="1501" w:space="2745"/>
            <w:col w:w="4222"/>
          </w:cols>
        </w:sect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spacing w:before="8"/>
        <w:rPr>
          <w:rFonts w:ascii="Century Gothic"/>
          <w:sz w:val="15"/>
        </w:rPr>
      </w:pPr>
    </w:p>
    <w:p>
      <w:pPr>
        <w:spacing w:before="100"/>
        <w:ind w:left="3842" w:right="3837" w:firstLine="0"/>
        <w:jc w:val="center"/>
        <w:rPr>
          <w:rFonts w:ascii="Century Gothic"/>
          <w:b/>
          <w:sz w:val="72"/>
        </w:rPr>
      </w:pPr>
      <w:r>
        <w:rPr>
          <w:rFonts w:ascii="Century Gothic"/>
          <w:b/>
          <w:color w:val="004CA7"/>
          <w:sz w:val="72"/>
        </w:rPr>
        <w:t>City of Richland</w:t>
      </w:r>
    </w:p>
    <w:p>
      <w:pPr>
        <w:pStyle w:val="ListParagraph"/>
        <w:numPr>
          <w:ilvl w:val="1"/>
          <w:numId w:val="6"/>
        </w:numPr>
        <w:tabs>
          <w:tab w:pos="5606" w:val="left" w:leader="none"/>
        </w:tabs>
        <w:spacing w:line="240" w:lineRule="auto" w:before="47" w:after="0"/>
        <w:ind w:left="5605" w:right="0" w:hanging="5591"/>
        <w:jc w:val="left"/>
        <w:rPr>
          <w:rFonts w:ascii="Century Gothic"/>
          <w:b/>
          <w:sz w:val="40"/>
        </w:rPr>
      </w:pPr>
      <w:r>
        <w:rPr>
          <w:rFonts w:ascii="Century Gothic"/>
          <w:b/>
          <w:sz w:val="40"/>
        </w:rPr>
        <w:t>- 2016 Peak Traffic</w:t>
      </w:r>
      <w:r>
        <w:rPr>
          <w:rFonts w:ascii="Century Gothic"/>
          <w:b/>
          <w:spacing w:val="7"/>
          <w:sz w:val="40"/>
        </w:rPr>
        <w:t> </w:t>
      </w:r>
      <w:r>
        <w:rPr>
          <w:rFonts w:ascii="Century Gothic"/>
          <w:b/>
          <w:sz w:val="40"/>
        </w:rPr>
        <w:t>Volumes</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5"/>
        <w:rPr>
          <w:rFonts w:ascii="Century Gothic"/>
          <w:b/>
        </w:rPr>
      </w:pPr>
    </w:p>
    <w:p>
      <w:pPr>
        <w:spacing w:after="0"/>
        <w:rPr>
          <w:rFonts w:ascii="Century Gothic"/>
        </w:rPr>
        <w:sectPr>
          <w:footerReference w:type="default" r:id="rId160"/>
          <w:pgSz w:w="15840" w:h="24480"/>
          <w:pgMar w:footer="0" w:header="0" w:top="0" w:bottom="280" w:left="0" w:right="0"/>
        </w:sectPr>
      </w:pPr>
    </w:p>
    <w:p>
      <w:pPr>
        <w:pStyle w:val="BodyText"/>
        <w:spacing w:before="7"/>
        <w:rPr>
          <w:rFonts w:ascii="Century Gothic"/>
          <w:b/>
          <w:sz w:val="35"/>
        </w:rPr>
      </w:pPr>
    </w:p>
    <w:p>
      <w:pPr>
        <w:spacing w:before="0"/>
        <w:ind w:left="0" w:right="0" w:firstLine="0"/>
        <w:jc w:val="right"/>
        <w:rPr>
          <w:rFonts w:ascii="Arial"/>
          <w:b/>
          <w:sz w:val="13"/>
        </w:rPr>
      </w:pPr>
      <w:r>
        <w:rPr>
          <w:rFonts w:ascii="Arial Black"/>
          <w:spacing w:val="-271"/>
          <w:w w:val="108"/>
          <w:position w:val="-2"/>
          <w:sz w:val="32"/>
        </w:rPr>
        <w:t>V</w:t>
      </w:r>
      <w:r>
        <w:rPr>
          <w:rFonts w:ascii="Arial Black"/>
          <w:color w:val="FFFFFF"/>
          <w:spacing w:val="-246"/>
          <w:w w:val="101"/>
          <w:position w:val="-2"/>
          <w:sz w:val="32"/>
        </w:rPr>
        <w:t>U</w:t>
      </w:r>
      <w:r>
        <w:rPr>
          <w:rFonts w:ascii="Arial"/>
          <w:b/>
          <w:spacing w:val="-2"/>
          <w:w w:val="102"/>
          <w:sz w:val="13"/>
        </w:rPr>
        <w:t>2</w:t>
      </w:r>
      <w:r>
        <w:rPr>
          <w:rFonts w:ascii="Arial"/>
          <w:b/>
          <w:spacing w:val="3"/>
          <w:w w:val="102"/>
          <w:sz w:val="13"/>
        </w:rPr>
        <w:t>4</w:t>
      </w:r>
      <w:r>
        <w:rPr>
          <w:rFonts w:ascii="Arial"/>
          <w:b/>
          <w:w w:val="102"/>
          <w:sz w:val="13"/>
        </w:rPr>
        <w:t>0</w:t>
      </w:r>
    </w:p>
    <w:p>
      <w:pPr>
        <w:spacing w:before="106"/>
        <w:ind w:left="3726" w:right="0" w:firstLine="0"/>
        <w:jc w:val="left"/>
        <w:rPr>
          <w:rFonts w:ascii="Century Gothic"/>
          <w:b/>
          <w:sz w:val="13"/>
        </w:rPr>
      </w:pPr>
      <w:r>
        <w:rPr/>
        <w:br w:type="column"/>
      </w:r>
      <w:r>
        <w:rPr>
          <w:rFonts w:ascii="Century Gothic"/>
          <w:b/>
          <w:color w:val="4D4D4D"/>
          <w:sz w:val="13"/>
        </w:rPr>
        <w:t>Horn Rapids Rd</w:t>
      </w:r>
    </w:p>
    <w:p>
      <w:pPr>
        <w:spacing w:before="65"/>
        <w:ind w:left="3285" w:right="6794" w:firstLine="0"/>
        <w:jc w:val="center"/>
        <w:rPr>
          <w:rFonts w:ascii="Arial Narrow"/>
          <w:b/>
          <w:sz w:val="11"/>
        </w:rPr>
      </w:pPr>
      <w:r>
        <w:rPr/>
        <w:pict>
          <v:shape style="position:absolute;margin-left:319.868744pt;margin-top:1.225049pt;width:12.2pt;height:5.85pt;mso-position-horizontal-relative:page;mso-position-vertical-relative:paragraph;z-index:251874304;rotation:16" type="#_x0000_t136" fillcolor="#000000" stroked="f">
            <o:extrusion v:ext="view" autorotationcenter="t"/>
            <v:textpath style="font-family:&quot;Arial Narrow&quot;;font-size:5pt;v-text-kern:t;mso-text-shadow:auto;font-weight:bold" string="26 / 2"/>
            <w10:wrap type="none"/>
          </v:shape>
        </w:pict>
      </w:r>
      <w:r>
        <w:rPr/>
        <w:pict>
          <v:shape style="position:absolute;margin-left:126.719742pt;margin-top:-24.76049pt;width:20.45pt;height:5.85pt;mso-position-horizontal-relative:page;mso-position-vertical-relative:paragraph;z-index:251887616;rotation:37" type="#_x0000_t136" fillcolor="#000000" stroked="f">
            <o:extrusion v:ext="view" autorotationcenter="t"/>
            <v:textpath style="font-family:&quot;Arial Narrow&quot;;font-size:5pt;v-text-kern:t;mso-text-shadow:auto;font-weight:bold" string="180 / 380"/>
            <w10:wrap type="none"/>
          </v:shape>
        </w:pict>
      </w:r>
      <w:r>
        <w:rPr/>
        <w:pict>
          <v:shape style="position:absolute;margin-left:456.889581pt;margin-top:17.165243pt;width:20.4pt;height:5.85pt;mso-position-horizontal-relative:page;mso-position-vertical-relative:paragraph;z-index:251917312;rotation:86" type="#_x0000_t136" fillcolor="#000000" stroked="f">
            <o:extrusion v:ext="view" autorotationcenter="t"/>
            <v:textpath style="font-family:&quot;Arial Narrow&quot;;font-size:5pt;v-text-kern:t;mso-text-shadow:auto;font-weight:bold" string="75 / 1545"/>
            <w10:wrap type="none"/>
          </v:shape>
        </w:pict>
      </w:r>
      <w:r>
        <w:rPr/>
        <w:pict>
          <v:shape style="position:absolute;margin-left:345.243408pt;margin-top:17.683304pt;width:11.75pt;height:50.45pt;mso-position-horizontal-relative:page;mso-position-vertical-relative:paragraph;z-index:251921408"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Kin</w:t>
                  </w:r>
                  <w:r>
                    <w:rPr>
                      <w:rFonts w:ascii="Century Gothic"/>
                      <w:b/>
                      <w:color w:val="4D4D4D"/>
                      <w:position w:val="1"/>
                      <w:sz w:val="13"/>
                    </w:rPr>
                    <w:t>gsga</w:t>
                  </w:r>
                  <w:r>
                    <w:rPr>
                      <w:rFonts w:ascii="Century Gothic"/>
                      <w:b/>
                      <w:color w:val="4D4D4D"/>
                      <w:position w:val="2"/>
                      <w:sz w:val="13"/>
                    </w:rPr>
                    <w:t>te W</w:t>
                  </w:r>
                  <w:r>
                    <w:rPr>
                      <w:rFonts w:ascii="Century Gothic"/>
                      <w:b/>
                      <w:color w:val="4D4D4D"/>
                      <w:position w:val="3"/>
                      <w:sz w:val="13"/>
                    </w:rPr>
                    <w:t>ay</w:t>
                  </w:r>
                </w:p>
              </w:txbxContent>
            </v:textbox>
            <w10:wrap type="none"/>
          </v:shape>
        </w:pict>
      </w:r>
      <w:r>
        <w:rPr/>
        <w:pict>
          <v:shape style="position:absolute;margin-left:482.866089pt;margin-top:2.537814pt;width:14.95pt;height:5.85pt;mso-position-horizontal-relative:page;mso-position-vertical-relative:paragraph;z-index:251984896;rotation:359" type="#_x0000_t136" fillcolor="#000000" stroked="f">
            <o:extrusion v:ext="view" autorotationcenter="t"/>
            <v:textpath style="font-family:&quot;Arial Narrow&quot;;font-size:5pt;v-text-kern:t;mso-text-shadow:auto;font-weight:bold" string="21 / 87"/>
            <w10:wrap type="none"/>
          </v:shape>
        </w:pict>
      </w:r>
      <w:r>
        <w:rPr>
          <w:rFonts w:ascii="Arial Narrow"/>
          <w:b/>
          <w:w w:val="105"/>
          <w:sz w:val="11"/>
        </w:rPr>
        <w:t>15 / 46</w:t>
      </w:r>
    </w:p>
    <w:p>
      <w:pPr>
        <w:pStyle w:val="BodyText"/>
        <w:rPr>
          <w:rFonts w:ascii="Arial Narrow"/>
          <w:b/>
          <w:sz w:val="12"/>
        </w:rPr>
      </w:pPr>
    </w:p>
    <w:p>
      <w:pPr>
        <w:pStyle w:val="BodyText"/>
        <w:rPr>
          <w:rFonts w:ascii="Arial Narrow"/>
          <w:b/>
          <w:sz w:val="12"/>
        </w:rPr>
      </w:pPr>
    </w:p>
    <w:p>
      <w:pPr>
        <w:spacing w:before="103"/>
        <w:ind w:left="4038" w:right="0" w:firstLine="0"/>
        <w:jc w:val="left"/>
        <w:rPr>
          <w:rFonts w:ascii="Century Gothic"/>
          <w:b/>
          <w:sz w:val="13"/>
        </w:rPr>
      </w:pPr>
      <w:r>
        <w:rPr/>
        <w:pict>
          <v:shape style="position:absolute;margin-left:232.788712pt;margin-top:-2.315337pt;width:22.45pt;height:52.1pt;mso-position-horizontal-relative:page;mso-position-vertical-relative:paragraph;z-index:251918336"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position w:val="1"/>
                      <w:sz w:val="13"/>
                    </w:rPr>
                    <w:t>Twin Br</w:t>
                  </w:r>
                  <w:r>
                    <w:rPr>
                      <w:rFonts w:ascii="Century Gothic"/>
                      <w:b/>
                      <w:color w:val="4D4D4D"/>
                      <w:sz w:val="13"/>
                    </w:rPr>
                    <w:t>idges</w:t>
                  </w:r>
                  <w:r>
                    <w:rPr>
                      <w:rFonts w:ascii="Century Gothic"/>
                      <w:b/>
                      <w:color w:val="4D4D4D"/>
                      <w:spacing w:val="-4"/>
                      <w:sz w:val="13"/>
                    </w:rPr>
                    <w:t> </w:t>
                  </w:r>
                  <w:r>
                    <w:rPr>
                      <w:rFonts w:ascii="Century Gothic"/>
                      <w:b/>
                      <w:color w:val="4D4D4D"/>
                      <w:sz w:val="13"/>
                    </w:rPr>
                    <w:t>Rd</w:t>
                  </w:r>
                </w:p>
                <w:p>
                  <w:pPr>
                    <w:spacing w:before="99"/>
                    <w:ind w:left="612" w:right="0" w:firstLine="0"/>
                    <w:jc w:val="left"/>
                    <w:rPr>
                      <w:rFonts w:ascii="Arial Narrow"/>
                      <w:b/>
                      <w:sz w:val="11"/>
                    </w:rPr>
                  </w:pPr>
                  <w:r>
                    <w:rPr>
                      <w:rFonts w:ascii="Arial Narrow"/>
                      <w:b/>
                      <w:w w:val="105"/>
                      <w:position w:val="1"/>
                      <w:sz w:val="11"/>
                    </w:rPr>
                    <w:t>1</w:t>
                  </w:r>
                  <w:r>
                    <w:rPr>
                      <w:rFonts w:ascii="Arial Narrow"/>
                      <w:b/>
                      <w:w w:val="105"/>
                      <w:sz w:val="11"/>
                    </w:rPr>
                    <w:t>90 /</w:t>
                  </w:r>
                  <w:r>
                    <w:rPr>
                      <w:rFonts w:ascii="Arial Narrow"/>
                      <w:b/>
                      <w:spacing w:val="-4"/>
                      <w:w w:val="105"/>
                      <w:sz w:val="11"/>
                    </w:rPr>
                    <w:t> </w:t>
                  </w:r>
                  <w:r>
                    <w:rPr>
                      <w:rFonts w:ascii="Arial Narrow"/>
                      <w:b/>
                      <w:w w:val="105"/>
                      <w:sz w:val="11"/>
                    </w:rPr>
                    <w:t>190</w:t>
                  </w:r>
                </w:p>
              </w:txbxContent>
            </v:textbox>
            <w10:wrap type="none"/>
          </v:shape>
        </w:pict>
      </w:r>
      <w:r>
        <w:rPr>
          <w:rFonts w:ascii="Century Gothic"/>
          <w:b/>
          <w:color w:val="4D4D4D"/>
          <w:sz w:val="13"/>
        </w:rPr>
        <w:t>Battelle B</w:t>
      </w:r>
      <w:r>
        <w:rPr>
          <w:rFonts w:ascii="Century Gothic"/>
          <w:b/>
          <w:color w:val="4D4D4D"/>
          <w:position w:val="1"/>
          <w:sz w:val="13"/>
        </w:rPr>
        <w:t>lvd</w:t>
      </w:r>
    </w:p>
    <w:p>
      <w:pPr>
        <w:spacing w:before="85"/>
        <w:ind w:left="3962" w:right="0" w:firstLine="0"/>
        <w:jc w:val="left"/>
        <w:rPr>
          <w:rFonts w:ascii="Arial Narrow"/>
          <w:b/>
          <w:sz w:val="11"/>
        </w:rPr>
      </w:pPr>
      <w:r>
        <w:rPr/>
        <w:pict>
          <v:shape style="position:absolute;margin-left:464.25412pt;margin-top:17.618023pt;width:8.9pt;height:24.65pt;mso-position-horizontal-relative:page;mso-position-vertical-relative:paragraph;z-index:251932672" type="#_x0000_t202" filled="false" stroked="false">
            <v:textbox inset="0,0,0,0" style="layout-flow:vertical;mso-layout-flow-alt:bottom-to-top">
              <w:txbxContent>
                <w:p>
                  <w:pPr>
                    <w:spacing w:before="29"/>
                    <w:ind w:left="20" w:right="0" w:firstLine="0"/>
                    <w:jc w:val="left"/>
                    <w:rPr>
                      <w:rFonts w:ascii="Arial Narrow"/>
                      <w:b/>
                      <w:sz w:val="11"/>
                    </w:rPr>
                  </w:pPr>
                  <w:r>
                    <w:rPr>
                      <w:rFonts w:ascii="Arial Narrow"/>
                      <w:b/>
                      <w:w w:val="105"/>
                      <w:sz w:val="11"/>
                    </w:rPr>
                    <w:t>113 / 1258</w:t>
                  </w:r>
                </w:p>
              </w:txbxContent>
            </v:textbox>
            <w10:wrap type="none"/>
          </v:shape>
        </w:pict>
      </w:r>
      <w:r>
        <w:rPr>
          <w:rFonts w:ascii="Arial Narrow"/>
          <w:b/>
          <w:w w:val="105"/>
          <w:sz w:val="11"/>
        </w:rPr>
        <w:t>7 / 76</w:t>
      </w:r>
    </w:p>
    <w:p>
      <w:pPr>
        <w:spacing w:after="0"/>
        <w:jc w:val="left"/>
        <w:rPr>
          <w:rFonts w:ascii="Arial Narrow"/>
          <w:sz w:val="11"/>
        </w:rPr>
        <w:sectPr>
          <w:type w:val="continuous"/>
          <w:pgSz w:w="15840" w:h="24480"/>
          <w:pgMar w:top="1480" w:bottom="1320" w:left="0" w:right="0"/>
          <w:cols w:num="2" w:equalWidth="0">
            <w:col w:w="4168" w:space="40"/>
            <w:col w:w="11632"/>
          </w:cols>
        </w:sectPr>
      </w:pPr>
    </w:p>
    <w:p>
      <w:pPr>
        <w:pStyle w:val="BodyText"/>
        <w:rPr>
          <w:rFonts w:ascii="Arial Narrow"/>
          <w:b/>
          <w:sz w:val="20"/>
        </w:rPr>
      </w:pPr>
    </w:p>
    <w:p>
      <w:pPr>
        <w:pStyle w:val="BodyText"/>
        <w:rPr>
          <w:rFonts w:ascii="Arial Narrow"/>
          <w:b/>
          <w:sz w:val="20"/>
        </w:rPr>
      </w:pPr>
    </w:p>
    <w:p>
      <w:pPr>
        <w:pStyle w:val="BodyText"/>
        <w:spacing w:before="10"/>
        <w:rPr>
          <w:rFonts w:ascii="Arial Narrow"/>
          <w:b/>
          <w:sz w:val="16"/>
        </w:rPr>
      </w:pPr>
    </w:p>
    <w:p>
      <w:pPr>
        <w:spacing w:before="104"/>
        <w:ind w:left="7746" w:right="3862" w:firstLine="0"/>
        <w:jc w:val="center"/>
        <w:rPr>
          <w:rFonts w:ascii="Century Gothic"/>
          <w:b/>
          <w:sz w:val="13"/>
        </w:rPr>
      </w:pPr>
      <w:r>
        <w:rPr/>
        <w:pict>
          <v:shape style="position:absolute;margin-left:241.903619pt;margin-top:-6.520282pt;width:17.150pt;height:5.85pt;mso-position-horizontal-relative:page;mso-position-vertical-relative:paragraph;z-index:251945984;rotation:272" type="#_x0000_t136" fillcolor="#000000" stroked="f">
            <o:extrusion v:ext="view" autorotationcenter="t"/>
            <v:textpath style="font-family:&quot;Arial Narrow&quot;;font-size:5pt;v-text-kern:t;mso-text-shadow:auto;font-weight:bold" string="45 / 311"/>
            <w10:wrap type="none"/>
          </v:shape>
        </w:pict>
      </w:r>
      <w:r>
        <w:rPr/>
        <w:pict>
          <v:shape style="position:absolute;margin-left:353.285699pt;margin-top:8.362275pt;width:17.650pt;height:5.85pt;mso-position-horizontal-relative:page;mso-position-vertical-relative:paragraph;z-index:251960320;rotation:281" type="#_x0000_t136" fillcolor="#000000" stroked="f">
            <o:extrusion v:ext="view" autorotationcenter="t"/>
            <v:textpath style="font-family:&quot;Arial Narrow&quot;;font-size:5pt;v-text-kern:t;mso-text-shadow:auto;font-weight:bold" string="70 / 350"/>
            <w10:wrap type="none"/>
          </v:shape>
        </w:pict>
      </w:r>
      <w:r>
        <w:rPr>
          <w:rFonts w:ascii="Century Gothic"/>
          <w:b/>
          <w:color w:val="4D4D4D"/>
          <w:sz w:val="13"/>
        </w:rPr>
        <w:t>Univer</w:t>
      </w:r>
      <w:r>
        <w:rPr>
          <w:rFonts w:ascii="Century Gothic"/>
          <w:b/>
          <w:color w:val="4D4D4D"/>
          <w:position w:val="1"/>
          <w:sz w:val="13"/>
        </w:rPr>
        <w:t>sity Dr</w:t>
      </w:r>
    </w:p>
    <w:p>
      <w:pPr>
        <w:spacing w:before="63"/>
        <w:ind w:left="7769" w:right="3862" w:firstLine="0"/>
        <w:jc w:val="center"/>
        <w:rPr>
          <w:rFonts w:ascii="Arial Narrow"/>
          <w:b/>
          <w:sz w:val="11"/>
        </w:rPr>
      </w:pPr>
      <w:r>
        <w:rPr/>
        <w:pict>
          <v:shape style="position:absolute;margin-left:408.535309pt;margin-top:91.296936pt;width:20.5pt;height:5.85pt;mso-position-horizontal-relative:page;mso-position-vertical-relative:paragraph;z-index:251884544;rotation:34" type="#_x0000_t136" fillcolor="#000000" stroked="f">
            <o:extrusion v:ext="view" autorotationcenter="t"/>
            <v:textpath style="font-family:&quot;Arial Narrow&quot;;font-size:5pt;v-text-kern:t;mso-text-shadow:auto;font-weight:bold" string="810 / 380"/>
            <w10:wrap type="none"/>
          </v:shape>
        </w:pict>
      </w:r>
      <w:r>
        <w:rPr/>
        <w:pict>
          <v:shape style="position:absolute;margin-left:366.217896pt;margin-top:61.391575pt;width:20.4pt;height:5.85pt;mso-position-horizontal-relative:page;mso-position-vertical-relative:paragraph;z-index:251885568;rotation:35" type="#_x0000_t136" fillcolor="#000000" stroked="f">
            <o:extrusion v:ext="view" autorotationcenter="t"/>
            <v:textpath style="font-family:&quot;Arial Narrow&quot;;font-size:5pt;v-text-kern:t;mso-text-shadow:auto;font-weight:bold" string="810 / 380"/>
            <w10:wrap type="none"/>
          </v:shape>
        </w:pict>
      </w:r>
      <w:r>
        <w:rPr/>
        <w:pict>
          <v:shape style="position:absolute;margin-left:284.576538pt;margin-top:2.176528pt;width:20.45pt;height:5.85pt;mso-position-horizontal-relative:page;mso-position-vertical-relative:paragraph;z-index:251888640;rotation:37" type="#_x0000_t136" fillcolor="#000000" stroked="f">
            <o:extrusion v:ext="view" autorotationcenter="t"/>
            <v:textpath style="font-family:&quot;Arial Narrow&quot;;font-size:5pt;v-text-kern:t;mso-text-shadow:auto;font-weight:bold" string="600 / 265"/>
            <w10:wrap type="none"/>
          </v:shape>
        </w:pict>
      </w:r>
      <w:r>
        <w:rPr/>
        <w:pict>
          <v:shape style="position:absolute;margin-left:436.945227pt;margin-top:84.242914pt;width:16.7pt;height:5pt;mso-position-horizontal-relative:page;mso-position-vertical-relative:paragraph;z-index:251896832;rotation:52" type="#_x0000_t136" fillcolor="#000000" stroked="f">
            <o:extrusion v:ext="view" autorotationcenter="t"/>
            <v:textpath style="font-family:&quot;Arial Narrow&quot;;font-size:5pt;v-text-kern:t;mso-text-shadow:auto;font-weight:bold" string="115 / 105"/>
            <w10:wrap type="none"/>
          </v:shape>
        </w:pict>
      </w:r>
      <w:r>
        <w:rPr/>
        <w:pict>
          <v:shape style="position:absolute;margin-left:474.139679pt;margin-top:26.874081pt;width:9.050pt;height:25.25pt;mso-position-horizontal-relative:page;mso-position-vertical-relative:paragraph;z-index:251935744" type="#_x0000_t202" filled="false" stroked="false">
            <v:textbox inset="0,0,0,0" style="layout-flow:vertical;mso-layout-flow-alt:bottom-to-top">
              <w:txbxContent>
                <w:p>
                  <w:pPr>
                    <w:spacing w:before="22"/>
                    <w:ind w:left="20" w:right="0" w:firstLine="0"/>
                    <w:jc w:val="left"/>
                    <w:rPr>
                      <w:rFonts w:ascii="Arial Narrow"/>
                      <w:b/>
                      <w:sz w:val="11"/>
                    </w:rPr>
                  </w:pPr>
                  <w:r>
                    <w:rPr>
                      <w:rFonts w:ascii="Arial Narrow"/>
                      <w:b/>
                      <w:w w:val="105"/>
                      <w:position w:val="1"/>
                      <w:sz w:val="11"/>
                    </w:rPr>
                    <w:t>18</w:t>
                  </w:r>
                  <w:r>
                    <w:rPr>
                      <w:rFonts w:ascii="Arial Narrow"/>
                      <w:b/>
                      <w:w w:val="105"/>
                      <w:sz w:val="11"/>
                    </w:rPr>
                    <w:t>2 / 1357</w:t>
                  </w:r>
                </w:p>
              </w:txbxContent>
            </v:textbox>
            <w10:wrap type="none"/>
          </v:shape>
        </w:pict>
      </w:r>
      <w:r>
        <w:rPr/>
        <w:pict>
          <v:shape style="position:absolute;margin-left:513.504211pt;margin-top:27.713724pt;width:9pt;height:22.5pt;mso-position-horizontal-relative:page;mso-position-vertical-relative:paragraph;z-index:251939840" type="#_x0000_t202" filled="false" stroked="false">
            <v:textbox inset="0,0,0,0" style="layout-flow:vertical;mso-layout-flow-alt:bottom-to-top">
              <w:txbxContent>
                <w:p>
                  <w:pPr>
                    <w:spacing w:before="30"/>
                    <w:ind w:left="20" w:right="0" w:firstLine="0"/>
                    <w:jc w:val="left"/>
                    <w:rPr>
                      <w:rFonts w:ascii="Arial Narrow"/>
                      <w:b/>
                      <w:sz w:val="11"/>
                    </w:rPr>
                  </w:pPr>
                  <w:r>
                    <w:rPr>
                      <w:rFonts w:ascii="Arial Narrow"/>
                      <w:b/>
                      <w:w w:val="105"/>
                      <w:sz w:val="11"/>
                    </w:rPr>
                    <w:t>296 / 812</w:t>
                  </w:r>
                </w:p>
              </w:txbxContent>
            </v:textbox>
            <w10:wrap type="none"/>
          </v:shape>
        </w:pict>
      </w:r>
      <w:r>
        <w:rPr/>
        <w:pict>
          <v:shape style="position:absolute;margin-left:448.586078pt;margin-top:31.38267pt;width:33.25pt;height:6.65pt;mso-position-horizontal-relative:page;mso-position-vertical-relative:paragraph;z-index:251948032;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66.218854pt;margin-top:94.169879pt;width:23.25pt;height:5.85pt;mso-position-horizontal-relative:page;mso-position-vertical-relative:paragraph;z-index:251950080;rotation:272" type="#_x0000_t136" fillcolor="#000000" stroked="f">
            <o:extrusion v:ext="view" autorotationcenter="t"/>
            <v:textpath style="font-family:&quot;Arial Narrow&quot;;font-size:5pt;v-text-kern:t;mso-text-shadow:auto;font-weight:bold" string="277 / 1557"/>
            <w10:wrap type="none"/>
          </v:shape>
        </w:pict>
      </w:r>
      <w:r>
        <w:rPr/>
        <w:pict>
          <v:shape style="position:absolute;margin-left:466.730322pt;margin-top:59.000637pt;width:80.6pt;height:6.65pt;mso-position-horizontal-relative:page;mso-position-vertical-relative:paragraph;z-index:251951104;rotation:272" type="#_x0000_t136" fillcolor="#4d4d4d" stroked="f">
            <o:extrusion v:ext="view" autorotationcenter="t"/>
            <v:textpath style="font-family:&quot;Century Gothic&quot;;font-size:6pt;v-text-kern:t;mso-text-shadow:auto;font-weight:bold" string="George Washington Way"/>
            <w10:wrap type="none"/>
          </v:shape>
        </w:pict>
      </w:r>
      <w:r>
        <w:rPr/>
        <w:pict>
          <v:shape style="position:absolute;margin-left:505.843896pt;margin-top:93.602789pt;width:22.65pt;height:5.85pt;mso-position-horizontal-relative:page;mso-position-vertical-relative:paragraph;z-index:251952128;rotation:272" type="#_x0000_t136" fillcolor="#000000" stroked="f">
            <o:extrusion v:ext="view" autorotationcenter="t"/>
            <v:textpath style="font-family:&quot;Arial Narrow&quot;;font-size:5pt;v-text-kern:t;mso-text-shadow:auto;font-weight:bold" string="737 / 1137"/>
            <w10:wrap type="none"/>
          </v:shape>
        </w:pict>
      </w:r>
      <w:r>
        <w:rPr/>
        <w:pict>
          <v:shape style="position:absolute;margin-left:412.456348pt;margin-top:66.984002pt;width:40.75pt;height:6.65pt;mso-position-horizontal-relative:page;mso-position-vertical-relative:paragraph;z-index:251957248;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345.836414pt;margin-top:44.319131pt;width:20.45pt;height:5.85pt;mso-position-horizontal-relative:page;mso-position-vertical-relative:paragraph;z-index:251964416;rotation:287" type="#_x0000_t136" fillcolor="#000000" stroked="f">
            <o:extrusion v:ext="view" autorotationcenter="t"/>
            <v:textpath style="font-family:&quot;Arial Narrow&quot;;font-size:5pt;v-text-kern:t;mso-text-shadow:auto;font-weight:bold" string="140 / 325"/>
            <w10:wrap type="none"/>
          </v:shape>
        </w:pict>
      </w:r>
      <w:r>
        <w:rPr/>
        <w:pict>
          <v:shape style="position:absolute;margin-left:393.600909pt;margin-top:54.485799pt;width:40.25pt;height:6.65pt;mso-position-horizontal-relative:page;mso-position-vertical-relative:paragraph;z-index:251966464;rotation:306" type="#_x0000_t136" fillcolor="#4d4d4d" stroked="f">
            <o:extrusion v:ext="view" autorotationcenter="t"/>
            <v:textpath style="font-family:&quot;Century Gothic&quot;;font-size:6pt;v-text-kern:t;mso-text-shadow:auto;font-weight:bold" string="Logston Blvd"/>
            <w10:wrap type="none"/>
          </v:shape>
        </w:pict>
      </w:r>
      <w:r>
        <w:rPr/>
        <w:pict>
          <v:shape style="position:absolute;margin-left:407.301959pt;margin-top:73.606625pt;width:14.95pt;height:5.85pt;mso-position-horizontal-relative:page;mso-position-vertical-relative:paragraph;z-index:251967488;rotation:306" type="#_x0000_t136" fillcolor="#000000" stroked="f">
            <o:extrusion v:ext="view" autorotationcenter="t"/>
            <v:textpath style="font-family:&quot;Arial Narrow&quot;;font-size:5pt;v-text-kern:t;mso-text-shadow:auto;font-weight:bold" string="40 / 55"/>
            <w10:wrap type="none"/>
          </v:shape>
        </w:pict>
      </w:r>
      <w:r>
        <w:rPr>
          <w:rFonts w:ascii="Arial Narrow"/>
          <w:b/>
          <w:w w:val="105"/>
          <w:sz w:val="11"/>
        </w:rPr>
        <w:t>165 / 160</w:t>
      </w: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spacing w:before="4"/>
        <w:rPr>
          <w:rFonts w:ascii="Arial Narrow"/>
          <w:b/>
          <w:sz w:val="27"/>
        </w:rPr>
      </w:pPr>
    </w:p>
    <w:p>
      <w:pPr>
        <w:spacing w:after="0"/>
        <w:rPr>
          <w:rFonts w:ascii="Arial Narrow"/>
          <w:sz w:val="27"/>
        </w:rPr>
        <w:sectPr>
          <w:type w:val="continuous"/>
          <w:pgSz w:w="15840" w:h="24480"/>
          <w:pgMar w:top="1480" w:bottom="1320" w:left="0" w:right="0"/>
        </w:sectPr>
      </w:pPr>
    </w:p>
    <w:p>
      <w:pPr>
        <w:pStyle w:val="BodyText"/>
        <w:spacing w:before="5"/>
        <w:rPr>
          <w:rFonts w:ascii="Arial Narrow"/>
          <w:b/>
          <w:sz w:val="37"/>
        </w:rPr>
      </w:pPr>
    </w:p>
    <w:p>
      <w:pPr>
        <w:spacing w:before="0"/>
        <w:ind w:left="2378" w:right="0" w:firstLine="0"/>
        <w:jc w:val="left"/>
        <w:rPr>
          <w:rFonts w:ascii="Arial"/>
          <w:sz w:val="24"/>
        </w:rPr>
      </w:pPr>
      <w:r>
        <w:rPr>
          <w:rFonts w:ascii="Arial"/>
          <w:emboss/>
          <w:color w:val="757576"/>
          <w:sz w:val="24"/>
        </w:rPr>
        <w:t>W</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s</w:t>
      </w:r>
      <w:r>
        <w:rPr>
          <w:rFonts w:ascii="Arial"/>
          <w:shadow w:val="0"/>
          <w:color w:val="757576"/>
          <w:sz w:val="24"/>
        </w:rPr>
        <w:t> </w:t>
      </w:r>
      <w:r>
        <w:rPr>
          <w:rFonts w:ascii="Arial"/>
          <w:emboss/>
          <w:color w:val="757576"/>
          <w:sz w:val="24"/>
        </w:rPr>
        <w:t>t</w:t>
      </w:r>
      <w:r>
        <w:rPr>
          <w:rFonts w:ascii="Arial"/>
          <w:shadow w:val="0"/>
          <w:color w:val="757576"/>
          <w:sz w:val="24"/>
        </w:rPr>
        <w:t> </w:t>
      </w:r>
      <w:r>
        <w:rPr>
          <w:rFonts w:ascii="Arial"/>
          <w:emboss/>
          <w:color w:val="757576"/>
          <w:sz w:val="24"/>
        </w:rPr>
        <w:t>R</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h</w:t>
      </w:r>
      <w:r>
        <w:rPr>
          <w:rFonts w:ascii="Arial"/>
          <w:shadow w:val="0"/>
          <w:color w:val="757576"/>
          <w:sz w:val="24"/>
        </w:rPr>
        <w:t> </w:t>
      </w:r>
      <w:r>
        <w:rPr>
          <w:rFonts w:ascii="Arial"/>
          <w:emboss/>
          <w:color w:val="757576"/>
          <w:sz w:val="24"/>
        </w:rPr>
        <w:t>l</w:t>
      </w:r>
      <w:r>
        <w:rPr>
          <w:rFonts w:ascii="Arial"/>
          <w:shadow w:val="0"/>
          <w:color w:val="757576"/>
          <w:sz w:val="24"/>
        </w:rPr>
        <w:t> </w:t>
      </w:r>
      <w:r>
        <w:rPr>
          <w:rFonts w:ascii="Arial"/>
          <w:emboss/>
          <w:color w:val="757576"/>
          <w:sz w:val="24"/>
        </w:rPr>
        <w:t>a</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d</w:t>
      </w:r>
    </w:p>
    <w:p>
      <w:pPr>
        <w:pStyle w:val="BodyText"/>
        <w:rPr>
          <w:rFonts w:ascii="Arial"/>
          <w:sz w:val="14"/>
        </w:rPr>
      </w:pPr>
      <w:r>
        <w:rPr/>
        <w:br w:type="column"/>
      </w:r>
      <w:r>
        <w:rPr>
          <w:rFonts w:ascii="Arial"/>
          <w:sz w:val="14"/>
        </w:rPr>
      </w:r>
    </w:p>
    <w:p>
      <w:pPr>
        <w:pStyle w:val="BodyText"/>
        <w:spacing w:before="8"/>
        <w:rPr>
          <w:rFonts w:ascii="Arial"/>
          <w:sz w:val="15"/>
        </w:rPr>
      </w:pPr>
    </w:p>
    <w:p>
      <w:pPr>
        <w:spacing w:before="0"/>
        <w:ind w:left="0" w:right="0" w:firstLine="0"/>
        <w:jc w:val="right"/>
        <w:rPr>
          <w:rFonts w:ascii="Arial Narrow"/>
          <w:b/>
          <w:sz w:val="11"/>
        </w:rPr>
      </w:pPr>
      <w:r>
        <w:rPr/>
        <w:pict>
          <v:shape style="position:absolute;margin-left:500.692932pt;margin-top:11.963363pt;width:9.15pt;height:24.75pt;mso-position-horizontal-relative:page;mso-position-vertical-relative:paragraph;z-index:251938816" type="#_x0000_t202" filled="false" stroked="false">
            <v:textbox inset="0,0,0,0" style="layout-flow:vertical;mso-layout-flow-alt:bottom-to-top">
              <w:txbxContent>
                <w:p>
                  <w:pPr>
                    <w:spacing w:before="24"/>
                    <w:ind w:left="20" w:right="0" w:firstLine="0"/>
                    <w:jc w:val="left"/>
                    <w:rPr>
                      <w:rFonts w:ascii="Arial Narrow"/>
                      <w:b/>
                      <w:sz w:val="11"/>
                    </w:rPr>
                  </w:pPr>
                  <w:r>
                    <w:rPr>
                      <w:rFonts w:ascii="Arial Narrow"/>
                      <w:b/>
                      <w:w w:val="105"/>
                      <w:sz w:val="11"/>
                    </w:rPr>
                    <w:t>990 / 1</w:t>
                  </w:r>
                  <w:r>
                    <w:rPr>
                      <w:rFonts w:ascii="Arial Narrow"/>
                      <w:b/>
                      <w:w w:val="105"/>
                      <w:position w:val="1"/>
                      <w:sz w:val="11"/>
                    </w:rPr>
                    <w:t>140</w:t>
                  </w:r>
                </w:p>
              </w:txbxContent>
            </v:textbox>
            <w10:wrap type="none"/>
          </v:shape>
        </w:pict>
      </w:r>
      <w:r>
        <w:rPr/>
        <w:pict>
          <v:shape style="position:absolute;margin-left:387.326465pt;margin-top:27.109298pt;width:25.95pt;height:5.85pt;mso-position-horizontal-relative:page;mso-position-vertical-relative:paragraph;z-index:251947008;rotation:272" type="#_x0000_t136" fillcolor="#000000" stroked="f">
            <o:extrusion v:ext="view" autorotationcenter="t"/>
            <v:textpath style="font-family:&quot;Arial Narrow&quot;;font-size:5pt;v-text-kern:t;mso-text-shadow:auto;font-weight:bold" string="1380 / 2940"/>
            <w10:wrap type="none"/>
          </v:shape>
        </w:pict>
      </w:r>
      <w:r>
        <w:rPr>
          <w:rFonts w:ascii="Arial Narrow"/>
          <w:b/>
          <w:w w:val="105"/>
          <w:sz w:val="11"/>
        </w:rPr>
        <w:t>720 / 1080</w:t>
      </w:r>
    </w:p>
    <w:p>
      <w:pPr>
        <w:spacing w:before="106"/>
        <w:ind w:left="111" w:right="0" w:firstLine="0"/>
        <w:jc w:val="left"/>
        <w:rPr>
          <w:rFonts w:ascii="Century Gothic"/>
          <w:b/>
          <w:sz w:val="13"/>
        </w:rPr>
      </w:pPr>
      <w:r>
        <w:rPr/>
        <w:br w:type="column"/>
      </w:r>
      <w:r>
        <w:rPr>
          <w:rFonts w:ascii="Century Gothic"/>
          <w:b/>
          <w:color w:val="4D4D4D"/>
          <w:sz w:val="13"/>
        </w:rPr>
        <w:t>Van Giesen St</w:t>
      </w:r>
    </w:p>
    <w:p>
      <w:pPr>
        <w:spacing w:before="72"/>
        <w:ind w:left="410" w:right="0" w:firstLine="0"/>
        <w:jc w:val="left"/>
        <w:rPr>
          <w:rFonts w:ascii="Arial Narrow"/>
          <w:b/>
          <w:sz w:val="11"/>
        </w:rPr>
      </w:pPr>
      <w:r>
        <w:rPr/>
        <w:pict>
          <v:shape style="position:absolute;margin-left:304.284058pt;margin-top:-16.276674pt;width:23.25pt;height:5.85pt;mso-position-horizontal-relative:page;mso-position-vertical-relative:paragraph;z-index:251883520;rotation:30" type="#_x0000_t136" fillcolor="#000000" stroked="f">
            <o:extrusion v:ext="view" autorotationcenter="t"/>
            <v:textpath style="font-family:&quot;Arial Narrow&quot;;font-size:5pt;v-text-kern:t;mso-text-shadow:auto;font-weight:bold" string="720 / 1080"/>
            <w10:wrap type="none"/>
          </v:shape>
        </w:pict>
      </w:r>
      <w:r>
        <w:rPr/>
        <w:pict>
          <v:shape style="position:absolute;margin-left:328.539368pt;margin-top:-45.195835pt;width:10.25pt;height:30.8pt;mso-position-horizontal-relative:page;mso-position-vertical-relative:paragraph;z-index:251920384"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Jones Rd</w:t>
                  </w:r>
                </w:p>
              </w:txbxContent>
            </v:textbox>
            <w10:wrap type="none"/>
          </v:shape>
        </w:pict>
      </w:r>
      <w:r>
        <w:rPr>
          <w:rFonts w:ascii="Arial Narrow"/>
          <w:b/>
          <w:w w:val="105"/>
          <w:sz w:val="11"/>
        </w:rPr>
        <w:t>527 / 585</w:t>
      </w:r>
    </w:p>
    <w:p>
      <w:pPr>
        <w:pStyle w:val="BodyText"/>
        <w:rPr>
          <w:rFonts w:ascii="Arial Narrow"/>
          <w:b/>
          <w:sz w:val="16"/>
        </w:rPr>
      </w:pPr>
      <w:r>
        <w:rPr/>
        <w:br w:type="column"/>
      </w:r>
      <w:r>
        <w:rPr>
          <w:rFonts w:ascii="Arial Narrow"/>
          <w:b/>
          <w:sz w:val="16"/>
        </w:rPr>
      </w:r>
    </w:p>
    <w:p>
      <w:pPr>
        <w:pStyle w:val="BodyText"/>
        <w:rPr>
          <w:rFonts w:ascii="Arial Narrow"/>
          <w:b/>
          <w:sz w:val="16"/>
        </w:rPr>
      </w:pPr>
    </w:p>
    <w:p>
      <w:pPr>
        <w:pStyle w:val="BodyText"/>
        <w:rPr>
          <w:rFonts w:ascii="Arial Narrow"/>
          <w:b/>
          <w:sz w:val="16"/>
        </w:rPr>
      </w:pPr>
    </w:p>
    <w:p>
      <w:pPr>
        <w:pStyle w:val="BodyText"/>
        <w:rPr>
          <w:rFonts w:ascii="Arial Narrow"/>
          <w:b/>
          <w:sz w:val="16"/>
        </w:rPr>
      </w:pPr>
    </w:p>
    <w:p>
      <w:pPr>
        <w:spacing w:before="107"/>
        <w:ind w:left="156" w:right="0" w:firstLine="0"/>
        <w:jc w:val="left"/>
        <w:rPr>
          <w:rFonts w:ascii="Century Gothic"/>
          <w:b/>
          <w:sz w:val="13"/>
        </w:rPr>
      </w:pPr>
      <w:r>
        <w:rPr/>
        <w:pict>
          <v:shape style="position:absolute;margin-left:478.482635pt;margin-top:-29.67226pt;width:37.9pt;height:6.65pt;mso-position-horizontal-relative:page;mso-position-vertical-relative:paragraph;z-index:251905024;rotation:69" type="#_x0000_t136" fillcolor="#4d4d4d" stroked="f">
            <o:extrusion v:ext="view" autorotationcenter="t"/>
            <v:textpath style="font-family:&quot;Century Gothic&quot;;font-size:6pt;v-text-kern:t;mso-text-shadow:auto;font-weight:bold" string="Jadwin Ave"/>
            <w10:wrap type="none"/>
          </v:shape>
        </w:pict>
      </w:r>
      <w:r>
        <w:rPr/>
        <w:pict>
          <v:shape style="position:absolute;margin-left:479.440601pt;margin-top:-18.195329pt;width:20.45pt;height:5.85pt;mso-position-horizontal-relative:page;mso-position-vertical-relative:paragraph;z-index:251906048;rotation:70" type="#_x0000_t136" fillcolor="#000000" stroked="f">
            <o:extrusion v:ext="view" autorotationcenter="t"/>
            <v:textpath style="font-family:&quot;Arial Narrow&quot;;font-size:5pt;v-text-kern:t;mso-text-shadow:auto;font-weight:bold" string="526 / 655"/>
            <w10:wrap type="none"/>
          </v:shape>
        </w:pict>
      </w:r>
      <w:r>
        <w:rPr/>
        <w:pict>
          <v:shape style="position:absolute;margin-left:458.751123pt;margin-top:28.205977pt;width:20.4pt;height:5.85pt;mso-position-horizontal-relative:page;mso-position-vertical-relative:paragraph;z-index:251910144;rotation:75" type="#_x0000_t136" fillcolor="#000000" stroked="f">
            <o:extrusion v:ext="view" autorotationcenter="t"/>
            <v:textpath style="font-family:&quot;Arial Narrow&quot;;font-size:5pt;v-text-kern:t;mso-text-shadow:auto;font-weight:bold" string="338 / 379"/>
            <w10:wrap type="none"/>
          </v:shape>
        </w:pict>
      </w:r>
      <w:r>
        <w:rPr/>
        <w:pict>
          <v:shape style="position:absolute;margin-left:414.476715pt;margin-top:-11.824458pt;width:20.4pt;height:85.65pt;mso-position-horizontal-relative:page;mso-position-vertical-relative:paragraph;z-index:-268113920" type="#_x0000_t202" filled="false" stroked="false">
            <v:textbox inset="0,0,0,0" style="layout-flow:vertical;mso-layout-flow-alt:bottom-to-top">
              <w:txbxContent>
                <w:p>
                  <w:pPr>
                    <w:tabs>
                      <w:tab w:pos="783" w:val="left" w:leader="none"/>
                    </w:tabs>
                    <w:spacing w:before="20"/>
                    <w:ind w:left="20" w:right="0" w:firstLine="0"/>
                    <w:jc w:val="left"/>
                    <w:rPr>
                      <w:rFonts w:ascii="Century Gothic"/>
                      <w:b/>
                      <w:sz w:val="13"/>
                    </w:rPr>
                  </w:pPr>
                  <w:r>
                    <w:rPr>
                      <w:rFonts w:ascii="Arial Narrow"/>
                      <w:b/>
                      <w:w w:val="105"/>
                      <w:sz w:val="11"/>
                    </w:rPr>
                    <w:t>124</w:t>
                  </w:r>
                  <w:r>
                    <w:rPr>
                      <w:rFonts w:ascii="Arial Narrow"/>
                      <w:b/>
                      <w:spacing w:val="1"/>
                      <w:w w:val="105"/>
                      <w:sz w:val="11"/>
                    </w:rPr>
                    <w:t> </w:t>
                  </w:r>
                  <w:r>
                    <w:rPr>
                      <w:rFonts w:ascii="Arial Narrow"/>
                      <w:b/>
                      <w:w w:val="105"/>
                      <w:sz w:val="11"/>
                    </w:rPr>
                    <w:t>/</w:t>
                  </w:r>
                  <w:r>
                    <w:rPr>
                      <w:rFonts w:ascii="Arial Narrow"/>
                      <w:b/>
                      <w:spacing w:val="-1"/>
                      <w:w w:val="105"/>
                      <w:sz w:val="11"/>
                    </w:rPr>
                    <w:t> </w:t>
                  </w:r>
                  <w:r>
                    <w:rPr>
                      <w:rFonts w:ascii="Arial Narrow"/>
                      <w:b/>
                      <w:w w:val="105"/>
                      <w:sz w:val="11"/>
                    </w:rPr>
                    <w:t>168</w:t>
                    <w:tab/>
                  </w:r>
                  <w:r>
                    <w:rPr>
                      <w:rFonts w:ascii="Century Gothic"/>
                      <w:b/>
                      <w:color w:val="4D4D4D"/>
                      <w:spacing w:val="-3"/>
                      <w:w w:val="105"/>
                      <w:position w:val="1"/>
                      <w:sz w:val="13"/>
                    </w:rPr>
                    <w:t>Wright</w:t>
                  </w:r>
                  <w:r>
                    <w:rPr>
                      <w:rFonts w:ascii="Century Gothic"/>
                      <w:b/>
                      <w:color w:val="4D4D4D"/>
                      <w:spacing w:val="-6"/>
                      <w:w w:val="105"/>
                      <w:position w:val="1"/>
                      <w:sz w:val="13"/>
                    </w:rPr>
                    <w:t> </w:t>
                  </w:r>
                  <w:r>
                    <w:rPr>
                      <w:rFonts w:ascii="Century Gothic"/>
                      <w:b/>
                      <w:color w:val="4D4D4D"/>
                      <w:w w:val="105"/>
                      <w:position w:val="1"/>
                      <w:sz w:val="13"/>
                    </w:rPr>
                    <w:t>A</w:t>
                  </w:r>
                  <w:r>
                    <w:rPr>
                      <w:rFonts w:ascii="Century Gothic"/>
                      <w:b/>
                      <w:color w:val="4D4D4D"/>
                      <w:w w:val="105"/>
                      <w:position w:val="2"/>
                      <w:sz w:val="13"/>
                    </w:rPr>
                    <w:t>ve</w:t>
                  </w:r>
                </w:p>
                <w:p>
                  <w:pPr>
                    <w:tabs>
                      <w:tab w:pos="1284" w:val="left" w:leader="none"/>
                    </w:tabs>
                    <w:spacing w:before="64"/>
                    <w:ind w:left="619" w:right="0" w:firstLine="0"/>
                    <w:jc w:val="left"/>
                    <w:rPr>
                      <w:rFonts w:ascii="Arial Narrow"/>
                      <w:b/>
                      <w:sz w:val="11"/>
                    </w:rPr>
                  </w:pPr>
                  <w:r>
                    <w:rPr>
                      <w:rFonts w:ascii="Arial Narrow"/>
                      <w:b/>
                      <w:spacing w:val="-4"/>
                      <w:w w:val="105"/>
                      <w:sz w:val="10"/>
                    </w:rPr>
                    <w:t>164</w:t>
                  </w:r>
                  <w:r>
                    <w:rPr>
                      <w:rFonts w:ascii="Arial Narrow"/>
                      <w:b/>
                      <w:spacing w:val="-10"/>
                      <w:w w:val="105"/>
                      <w:sz w:val="10"/>
                    </w:rPr>
                    <w:t> </w:t>
                  </w:r>
                  <w:r>
                    <w:rPr>
                      <w:rFonts w:ascii="Arial Narrow"/>
                      <w:b/>
                      <w:w w:val="105"/>
                      <w:position w:val="1"/>
                      <w:sz w:val="10"/>
                    </w:rPr>
                    <w:t>/</w:t>
                  </w:r>
                  <w:r>
                    <w:rPr>
                      <w:rFonts w:ascii="Arial Narrow"/>
                      <w:b/>
                      <w:spacing w:val="-3"/>
                      <w:w w:val="105"/>
                      <w:position w:val="1"/>
                      <w:sz w:val="10"/>
                    </w:rPr>
                    <w:t> </w:t>
                  </w:r>
                  <w:r>
                    <w:rPr>
                      <w:rFonts w:ascii="Arial Narrow"/>
                      <w:b/>
                      <w:spacing w:val="-4"/>
                      <w:w w:val="105"/>
                      <w:position w:val="1"/>
                      <w:sz w:val="10"/>
                    </w:rPr>
                    <w:t>203</w:t>
                    <w:tab/>
                  </w:r>
                  <w:r>
                    <w:rPr>
                      <w:rFonts w:ascii="Arial Narrow"/>
                      <w:b/>
                      <w:w w:val="105"/>
                      <w:sz w:val="11"/>
                    </w:rPr>
                    <w:t>130 /</w:t>
                  </w:r>
                  <w:r>
                    <w:rPr>
                      <w:rFonts w:ascii="Arial Narrow"/>
                      <w:b/>
                      <w:spacing w:val="5"/>
                      <w:w w:val="105"/>
                      <w:sz w:val="11"/>
                    </w:rPr>
                    <w:t> </w:t>
                  </w:r>
                  <w:r>
                    <w:rPr>
                      <w:rFonts w:ascii="Arial Narrow"/>
                      <w:b/>
                      <w:w w:val="105"/>
                      <w:sz w:val="11"/>
                    </w:rPr>
                    <w:t>221</w:t>
                  </w:r>
                </w:p>
              </w:txbxContent>
            </v:textbox>
            <w10:wrap type="none"/>
          </v:shape>
        </w:pict>
      </w:r>
      <w:r>
        <w:rPr/>
        <w:pict>
          <v:shape style="position:absolute;margin-left:443.243866pt;margin-top:-15.414089pt;width:8.8pt;height:19.7pt;mso-position-horizontal-relative:page;mso-position-vertical-relative:paragraph;z-index:251926528" type="#_x0000_t202" filled="false" stroked="false">
            <v:textbox inset="0,0,0,0" style="layout-flow:vertical;mso-layout-flow-alt:bottom-to-top">
              <w:txbxContent>
                <w:p>
                  <w:pPr>
                    <w:spacing w:before="28"/>
                    <w:ind w:left="20" w:right="0" w:firstLine="0"/>
                    <w:jc w:val="left"/>
                    <w:rPr>
                      <w:rFonts w:ascii="Arial Narrow"/>
                      <w:b/>
                      <w:sz w:val="11"/>
                    </w:rPr>
                  </w:pPr>
                  <w:r>
                    <w:rPr>
                      <w:rFonts w:ascii="Arial Narrow"/>
                      <w:b/>
                      <w:w w:val="105"/>
                      <w:sz w:val="11"/>
                    </w:rPr>
                    <w:t>105 / 89</w:t>
                  </w:r>
                </w:p>
              </w:txbxContent>
            </v:textbox>
            <w10:wrap type="none"/>
          </v:shape>
        </w:pict>
      </w:r>
      <w:r>
        <w:rPr/>
        <w:pict>
          <v:shape style="position:absolute;margin-left:453.087952pt;margin-top:18.326454pt;width:8pt;height:19.05pt;mso-position-horizontal-relative:page;mso-position-vertical-relative:paragraph;z-index:251929600" type="#_x0000_t202" filled="false" stroked="false">
            <v:textbox inset="0,0,0,0" style="layout-flow:vertical;mso-layout-flow-alt:bottom-to-top">
              <w:txbxContent>
                <w:p>
                  <w:pPr>
                    <w:spacing w:before="25"/>
                    <w:ind w:left="20" w:right="0" w:firstLine="0"/>
                    <w:jc w:val="left"/>
                    <w:rPr>
                      <w:rFonts w:ascii="Arial Narrow"/>
                      <w:b/>
                      <w:sz w:val="10"/>
                    </w:rPr>
                  </w:pPr>
                  <w:r>
                    <w:rPr>
                      <w:rFonts w:ascii="Arial Narrow"/>
                      <w:b/>
                      <w:sz w:val="10"/>
                    </w:rPr>
                    <w:t>229 / 182</w:t>
                  </w:r>
                </w:p>
              </w:txbxContent>
            </v:textbox>
            <w10:wrap type="none"/>
          </v:shape>
        </w:pict>
      </w:r>
      <w:r>
        <w:rPr/>
        <w:pict>
          <v:shape style="position:absolute;margin-left:461.041168pt;margin-top:-45.330009pt;width:10.6pt;height:35.25pt;mso-position-horizontal-relative:page;mso-position-vertical-relative:paragraph;z-index:251930624"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Steven</w:t>
                  </w:r>
                  <w:r>
                    <w:rPr>
                      <w:rFonts w:ascii="Century Gothic"/>
                      <w:b/>
                      <w:color w:val="4D4D4D"/>
                      <w:position w:val="1"/>
                      <w:sz w:val="13"/>
                    </w:rPr>
                    <w:t>s Dr</w:t>
                  </w:r>
                </w:p>
              </w:txbxContent>
            </v:textbox>
            <w10:wrap type="none"/>
          </v:shape>
        </w:pict>
      </w:r>
      <w:r>
        <w:rPr/>
        <w:pict>
          <v:shape style="position:absolute;margin-left:472.868622pt;margin-top:-12.951843pt;width:7.75pt;height:19pt;mso-position-horizontal-relative:page;mso-position-vertical-relative:paragraph;z-index:251934720" type="#_x0000_t202" filled="false" stroked="false">
            <v:textbox inset="0,0,0,0" style="layout-flow:vertical;mso-layout-flow-alt:bottom-to-top">
              <w:txbxContent>
                <w:p>
                  <w:pPr>
                    <w:spacing w:before="20"/>
                    <w:ind w:left="20" w:right="0" w:firstLine="0"/>
                    <w:jc w:val="left"/>
                    <w:rPr>
                      <w:rFonts w:ascii="Arial Narrow"/>
                      <w:b/>
                      <w:sz w:val="10"/>
                    </w:rPr>
                  </w:pPr>
                  <w:r>
                    <w:rPr>
                      <w:rFonts w:ascii="Arial Narrow"/>
                      <w:b/>
                      <w:sz w:val="10"/>
                    </w:rPr>
                    <w:t>275 / 301</w:t>
                  </w:r>
                </w:p>
              </w:txbxContent>
            </v:textbox>
            <w10:wrap type="none"/>
          </v:shape>
        </w:pict>
      </w:r>
      <w:r>
        <w:rPr>
          <w:rFonts w:ascii="Century Gothic"/>
          <w:b/>
          <w:color w:val="4D4D4D"/>
          <w:sz w:val="13"/>
        </w:rPr>
        <w:t>William</w:t>
      </w:r>
      <w:r>
        <w:rPr>
          <w:rFonts w:ascii="Century Gothic"/>
          <w:b/>
          <w:color w:val="4D4D4D"/>
          <w:position w:val="1"/>
          <w:sz w:val="13"/>
        </w:rPr>
        <w:t>s Blvd</w:t>
      </w:r>
    </w:p>
    <w:p>
      <w:pPr>
        <w:pStyle w:val="BodyText"/>
        <w:spacing w:before="1"/>
        <w:rPr>
          <w:rFonts w:ascii="Century Gothic"/>
          <w:b/>
          <w:sz w:val="12"/>
        </w:rPr>
      </w:pPr>
      <w:r>
        <w:rPr/>
        <w:br w:type="column"/>
      </w:r>
      <w:r>
        <w:rPr>
          <w:rFonts w:ascii="Century Gothic"/>
          <w:b/>
          <w:sz w:val="12"/>
        </w:rPr>
      </w:r>
    </w:p>
    <w:p>
      <w:pPr>
        <w:spacing w:before="0"/>
        <w:ind w:left="294" w:right="0" w:firstLine="0"/>
        <w:jc w:val="left"/>
        <w:rPr>
          <w:rFonts w:ascii="Arial Narrow"/>
          <w:b/>
          <w:sz w:val="10"/>
        </w:rPr>
      </w:pPr>
      <w:r>
        <w:rPr/>
        <w:pict>
          <v:shape style="position:absolute;margin-left:442.814349pt;margin-top:-84.446391pt;width:23.2pt;height:5.85pt;mso-position-horizontal-relative:page;mso-position-vertical-relative:paragraph;z-index:251895808;rotation:51" type="#_x0000_t136" fillcolor="#000000" stroked="f">
            <o:extrusion v:ext="view" autorotationcenter="t"/>
            <v:textpath style="font-family:&quot;Arial Narrow&quot;;font-size:5pt;v-text-kern:t;mso-text-shadow:auto;font-weight:bold" string="500 / 1066"/>
            <w10:wrap type="none"/>
          </v:shape>
        </w:pict>
      </w:r>
      <w:r>
        <w:rPr/>
        <w:pict>
          <v:shape style="position:absolute;margin-left:455.95965pt;margin-top:-62.433725pt;width:20.4pt;height:5.85pt;mso-position-horizontal-relative:page;mso-position-vertical-relative:paragraph;z-index:251907072;rotation:73" type="#_x0000_t136" fillcolor="#000000" stroked="f">
            <o:extrusion v:ext="view" autorotationcenter="t"/>
            <v:textpath style="font-family:&quot;Arial Narrow&quot;;font-size:5pt;v-text-kern:t;mso-text-shadow:auto;font-weight:bold" string="323 / 796"/>
            <w10:wrap type="none"/>
          </v:shape>
        </w:pict>
      </w:r>
      <w:r>
        <w:rPr/>
        <w:pict>
          <v:shape style="position:absolute;margin-left:468.444043pt;margin-top:-32.244542pt;width:20.5pt;height:5.85pt;mso-position-horizontal-relative:page;mso-position-vertical-relative:paragraph;z-index:251914240;rotation:80" type="#_x0000_t136" fillcolor="#000000" stroked="f">
            <o:extrusion v:ext="view" autorotationcenter="t"/>
            <v:textpath style="font-family:&quot;Arial Narrow&quot;;font-size:5pt;v-text-kern:t;mso-text-shadow:auto;font-weight:bold" string="438 / 531"/>
            <w10:wrap type="none"/>
          </v:shape>
        </w:pict>
      </w:r>
      <w:r>
        <w:rPr/>
        <w:pict>
          <v:shape style="position:absolute;margin-left:426.475922pt;margin-top:-89.773544pt;width:8.75pt;height:21.7pt;mso-position-horizontal-relative:page;mso-position-vertical-relative:paragraph;z-index:251924480" type="#_x0000_t202" filled="false" stroked="false">
            <v:textbox inset="0,0,0,0" style="layout-flow:vertical;mso-layout-flow-alt:bottom-to-top">
              <w:txbxContent>
                <w:p>
                  <w:pPr>
                    <w:tabs>
                      <w:tab w:pos="413" w:val="left" w:leader="none"/>
                    </w:tabs>
                    <w:spacing w:before="25"/>
                    <w:ind w:left="20" w:right="0" w:firstLine="0"/>
                    <w:jc w:val="left"/>
                    <w:rPr>
                      <w:rFonts w:ascii="Arial Narrow"/>
                      <w:b/>
                      <w:sz w:val="11"/>
                    </w:rPr>
                  </w:pPr>
                  <w:r>
                    <w:rPr>
                      <w:rFonts w:ascii="Arial Narrow"/>
                      <w:b/>
                      <w:w w:val="105"/>
                      <w:sz w:val="11"/>
                      <w:u w:val="single" w:color="B2B2B2"/>
                    </w:rPr>
                    <w:t> </w:t>
                  </w:r>
                  <w:r>
                    <w:rPr>
                      <w:rFonts w:ascii="Arial Narrow"/>
                      <w:b/>
                      <w:sz w:val="11"/>
                      <w:u w:val="single" w:color="B2B2B2"/>
                    </w:rPr>
                    <w:tab/>
                  </w:r>
                </w:p>
              </w:txbxContent>
            </v:textbox>
            <w10:wrap type="none"/>
          </v:shape>
        </w:pict>
      </w:r>
      <w:r>
        <w:rPr/>
        <w:pict>
          <v:shape style="position:absolute;margin-left:469.545502pt;margin-top:-24.051619pt;width:7.75pt;height:19pt;mso-position-horizontal-relative:page;mso-position-vertical-relative:paragraph;z-index:251933696" type="#_x0000_t202" filled="false" stroked="false">
            <v:textbox inset="0,0,0,0" style="layout-flow:vertical;mso-layout-flow-alt:bottom-to-top">
              <w:txbxContent>
                <w:p>
                  <w:pPr>
                    <w:spacing w:before="20"/>
                    <w:ind w:left="20" w:right="0" w:firstLine="0"/>
                    <w:jc w:val="left"/>
                    <w:rPr>
                      <w:rFonts w:ascii="Arial Narrow"/>
                      <w:b/>
                      <w:sz w:val="10"/>
                    </w:rPr>
                  </w:pPr>
                  <w:r>
                    <w:rPr>
                      <w:rFonts w:ascii="Arial Narrow"/>
                      <w:b/>
                      <w:sz w:val="10"/>
                    </w:rPr>
                    <w:t>172 / 278</w:t>
                  </w:r>
                </w:p>
              </w:txbxContent>
            </v:textbox>
            <w10:wrap type="none"/>
          </v:shape>
        </w:pict>
      </w:r>
      <w:r>
        <w:rPr/>
        <w:pict>
          <v:shape style="position:absolute;margin-left:499.604614pt;margin-top:-29.010988pt;width:9.1pt;height:24.75pt;mso-position-horizontal-relative:page;mso-position-vertical-relative:paragraph;z-index:251937792" type="#_x0000_t202" filled="false" stroked="false">
            <v:textbox inset="0,0,0,0" style="layout-flow:vertical;mso-layout-flow-alt:bottom-to-top">
              <w:txbxContent>
                <w:p>
                  <w:pPr>
                    <w:spacing w:before="23"/>
                    <w:ind w:left="20" w:right="0" w:firstLine="0"/>
                    <w:jc w:val="left"/>
                    <w:rPr>
                      <w:rFonts w:ascii="Arial Narrow"/>
                      <w:b/>
                      <w:sz w:val="11"/>
                    </w:rPr>
                  </w:pPr>
                  <w:r>
                    <w:rPr>
                      <w:rFonts w:ascii="Arial Narrow"/>
                      <w:b/>
                      <w:w w:val="105"/>
                      <w:sz w:val="11"/>
                    </w:rPr>
                    <w:t>737 / 1</w:t>
                  </w:r>
                  <w:r>
                    <w:rPr>
                      <w:rFonts w:ascii="Arial Narrow"/>
                      <w:b/>
                      <w:w w:val="105"/>
                      <w:position w:val="1"/>
                      <w:sz w:val="11"/>
                    </w:rPr>
                    <w:t>137</w:t>
                  </w:r>
                </w:p>
              </w:txbxContent>
            </v:textbox>
            <w10:wrap type="none"/>
          </v:shape>
        </w:pict>
      </w:r>
      <w:r>
        <w:rPr/>
        <w:pict>
          <v:shape style="position:absolute;margin-left:504.157336pt;margin-top:-63.447757pt;width:22.7pt;height:5.85pt;mso-position-horizontal-relative:page;mso-position-vertical-relative:paragraph;z-index:251954176;rotation:273" type="#_x0000_t136" fillcolor="#000000" stroked="f">
            <o:extrusion v:ext="view" autorotationcenter="t"/>
            <v:textpath style="font-family:&quot;Arial Narrow&quot;;font-size:5pt;v-text-kern:t;mso-text-shadow:auto;font-weight:bold" string="737 / 1137"/>
            <w10:wrap type="none"/>
          </v:shape>
        </w:pict>
      </w:r>
      <w:r>
        <w:rPr/>
        <w:pict>
          <v:shape style="position:absolute;margin-left:409.565027pt;margin-top:-88.514894pt;width:31.7pt;height:6.65pt;mso-position-horizontal-relative:page;mso-position-vertical-relative:paragraph;z-index:251961344;rotation:282" type="#_x0000_t136" fillcolor="#4d4d4d" stroked="f">
            <o:extrusion v:ext="view" autorotationcenter="t"/>
            <v:textpath style="font-family:&quot;Century Gothic&quot;;font-size:6pt;v-text-kern:t;mso-text-shadow:auto;font-weight:bold" string="Hagen Rd"/>
            <w10:wrap type="none"/>
          </v:shape>
        </w:pict>
      </w:r>
      <w:r>
        <w:rPr/>
        <w:pict>
          <v:shape style="position:absolute;margin-left:430.235516pt;margin-top:-95.893987pt;width:20.5pt;height:5.85pt;mso-position-horizontal-relative:page;mso-position-vertical-relative:paragraph;z-index:251962368;rotation:282" type="#_x0000_t136" fillcolor="#000000" stroked="f">
            <o:extrusion v:ext="view" autorotationcenter="t"/>
            <v:textpath style="font-family:&quot;Arial Narrow&quot;;font-size:5pt;v-text-kern:t;mso-text-shadow:auto;font-weight:bold" string="190 / 190"/>
            <w10:wrap type="none"/>
          </v:shape>
        </w:pict>
      </w:r>
      <w:r>
        <w:rPr/>
        <w:pict>
          <v:shape style="position:absolute;margin-left:464.448962pt;margin-top:-81.621844pt;width:23.2pt;height:5.85pt;mso-position-horizontal-relative:page;mso-position-vertical-relative:paragraph;z-index:251965440;rotation:293" type="#_x0000_t136" fillcolor="#000000" stroked="f">
            <o:extrusion v:ext="view" autorotationcenter="t"/>
            <v:textpath style="font-family:&quot;Arial Narrow&quot;;font-size:5pt;v-text-kern:t;mso-text-shadow:auto;font-weight:bold" string="402 / 1736"/>
            <w10:wrap type="none"/>
          </v:shape>
        </w:pict>
      </w:r>
      <w:r>
        <w:rPr/>
        <w:pict>
          <v:shape style="position:absolute;margin-left:422.251764pt;margin-top:-59.244928pt;width:40.7pt;height:6.65pt;mso-position-horizontal-relative:page;mso-position-vertical-relative:paragraph;z-index:251969536;rotation:312" type="#_x0000_t136" fillcolor="#4d4d4d" stroked="f">
            <o:extrusion v:ext="view" autorotationcenter="t"/>
            <v:textpath style="font-family:&quot;Century Gothic&quot;;font-size:6pt;v-text-kern:t;mso-text-shadow:auto;font-weight:bold" string="By-pass Hwy"/>
            <w10:wrap type="none"/>
          </v:shape>
        </w:pict>
      </w:r>
      <w:r>
        <w:rPr/>
        <w:pict>
          <v:shape style="position:absolute;margin-left:422.129224pt;margin-top:-34.587437pt;width:26pt;height:5.85pt;mso-position-horizontal-relative:page;mso-position-vertical-relative:paragraph;z-index:251970560;rotation:312" type="#_x0000_t136" fillcolor="#000000" stroked="f">
            <o:extrusion v:ext="view" autorotationcenter="t"/>
            <v:textpath style="font-family:&quot;Arial Narrow&quot;;font-size:5pt;v-text-kern:t;mso-text-shadow:auto;font-weight:bold" string="1080 / 2280"/>
            <w10:wrap type="none"/>
          </v:shape>
        </w:pict>
      </w:r>
      <w:r>
        <w:rPr/>
        <w:pict>
          <v:shape style="position:absolute;margin-left:437.17489pt;margin-top:-17.767238pt;width:20.4pt;height:5.85pt;mso-position-horizontal-relative:page;mso-position-vertical-relative:paragraph;z-index:251972608;rotation:314" type="#_x0000_t136" fillcolor="#000000" stroked="f">
            <o:extrusion v:ext="view" autorotationcenter="t"/>
            <v:textpath style="font-family:&quot;Arial Narrow&quot;;font-size:5pt;v-text-kern:t;mso-text-shadow:auto;font-weight:bold" string="162 / 290"/>
            <w10:wrap type="none"/>
          </v:shape>
        </w:pict>
      </w:r>
      <w:r>
        <w:rPr/>
        <w:pict>
          <v:shape style="position:absolute;margin-left:465.174011pt;margin-top:-48.401752pt;width:20.45pt;height:5.85pt;mso-position-horizontal-relative:page;mso-position-vertical-relative:paragraph;z-index:251979776;rotation:335" type="#_x0000_t136" fillcolor="#000000" stroked="f">
            <o:extrusion v:ext="view" autorotationcenter="t"/>
            <v:textpath style="font-family:&quot;Arial Narrow&quot;;font-size:5pt;v-text-kern:t;mso-text-shadow:auto;font-weight:bold" string="172 / 278"/>
            <w10:wrap type="none"/>
          </v:shape>
        </w:pict>
      </w:r>
      <w:r>
        <w:rPr>
          <w:rFonts w:ascii="Arial Narrow"/>
          <w:b/>
          <w:sz w:val="10"/>
        </w:rPr>
        <w:t>227 / 299</w:t>
      </w:r>
    </w:p>
    <w:p>
      <w:pPr>
        <w:spacing w:after="0"/>
        <w:jc w:val="left"/>
        <w:rPr>
          <w:rFonts w:ascii="Arial Narrow"/>
          <w:sz w:val="10"/>
        </w:rPr>
        <w:sectPr>
          <w:type w:val="continuous"/>
          <w:pgSz w:w="15840" w:h="24480"/>
          <w:pgMar w:top="1480" w:bottom="1320" w:left="0" w:right="0"/>
          <w:cols w:num="5" w:equalWidth="0">
            <w:col w:w="4668" w:space="93"/>
            <w:col w:w="2843" w:space="39"/>
            <w:col w:w="1011" w:space="39"/>
            <w:col w:w="989" w:space="39"/>
            <w:col w:w="6119"/>
          </w:cols>
        </w:sectPr>
      </w:pPr>
    </w:p>
    <w:p>
      <w:pPr>
        <w:pStyle w:val="BodyText"/>
        <w:rPr>
          <w:rFonts w:ascii="Arial Narrow"/>
          <w:b/>
          <w:sz w:val="20"/>
        </w:rPr>
      </w:pPr>
    </w:p>
    <w:p>
      <w:pPr>
        <w:pStyle w:val="BodyText"/>
        <w:spacing w:before="7"/>
        <w:rPr>
          <w:rFonts w:ascii="Arial Narrow"/>
          <w:b/>
          <w:sz w:val="17"/>
        </w:rPr>
      </w:pPr>
    </w:p>
    <w:p>
      <w:pPr>
        <w:spacing w:after="0"/>
        <w:rPr>
          <w:rFonts w:ascii="Arial Narrow"/>
          <w:sz w:val="17"/>
        </w:rPr>
        <w:sectPr>
          <w:type w:val="continuous"/>
          <w:pgSz w:w="15840" w:h="24480"/>
          <w:pgMar w:top="1480" w:bottom="1320" w:left="0" w:right="0"/>
        </w:sectPr>
      </w:pPr>
    </w:p>
    <w:p>
      <w:pPr>
        <w:spacing w:before="102"/>
        <w:ind w:left="7903" w:right="0" w:firstLine="0"/>
        <w:jc w:val="left"/>
        <w:rPr>
          <w:rFonts w:ascii="Century Gothic"/>
          <w:b/>
          <w:sz w:val="13"/>
        </w:rPr>
      </w:pPr>
      <w:r>
        <w:rPr/>
        <w:pict>
          <v:shape style="position:absolute;margin-left:486.498029pt;margin-top:-8.428837pt;width:20.5pt;height:5.85pt;mso-position-horizontal-relative:page;mso-position-vertical-relative:paragraph;z-index:251901952;rotation:62" type="#_x0000_t136" fillcolor="#000000" stroked="f">
            <o:extrusion v:ext="view" autorotationcenter="t"/>
            <v:textpath style="font-family:&quot;Arial Narrow&quot;;font-size:5pt;v-text-kern:t;mso-text-shadow:auto;font-weight:bold" string="441 / 744"/>
            <w10:wrap type="none"/>
          </v:shape>
        </w:pict>
      </w:r>
      <w:r>
        <w:rPr/>
        <w:pict>
          <v:shape style="position:absolute;margin-left:382.898438pt;margin-top:-11.98078pt;width:10.65pt;height:42.8pt;mso-position-horizontal-relative:page;mso-position-vertical-relative:paragraph;z-index:251922432"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sz w:val="13"/>
                    </w:rPr>
                    <w:t>By-pas</w:t>
                  </w:r>
                  <w:r>
                    <w:rPr>
                      <w:rFonts w:ascii="Century Gothic"/>
                      <w:b/>
                      <w:color w:val="4D4D4D"/>
                      <w:position w:val="1"/>
                      <w:sz w:val="13"/>
                    </w:rPr>
                    <w:t>s Hwy</w:t>
                  </w:r>
                </w:p>
              </w:txbxContent>
            </v:textbox>
            <w10:wrap type="none"/>
          </v:shape>
        </w:pict>
      </w:r>
      <w:r>
        <w:rPr>
          <w:rFonts w:ascii="Century Gothic"/>
          <w:b/>
          <w:color w:val="4D4D4D"/>
          <w:sz w:val="13"/>
        </w:rPr>
        <w:t>Swift </w:t>
      </w:r>
      <w:r>
        <w:rPr>
          <w:rFonts w:ascii="Century Gothic"/>
          <w:b/>
          <w:color w:val="4D4D4D"/>
          <w:position w:val="1"/>
          <w:sz w:val="13"/>
        </w:rPr>
        <w:t>Blvd</w:t>
      </w:r>
    </w:p>
    <w:p>
      <w:pPr>
        <w:spacing w:before="109"/>
        <w:ind w:left="7918" w:right="0" w:firstLine="0"/>
        <w:jc w:val="left"/>
        <w:rPr>
          <w:rFonts w:ascii="Arial Narrow"/>
          <w:b/>
          <w:sz w:val="11"/>
        </w:rPr>
      </w:pPr>
      <w:r>
        <w:rPr/>
        <w:pict>
          <v:shape style="position:absolute;margin-left:376.553027pt;margin-top:32.67742pt;width:25.95pt;height:5.85pt;mso-position-horizontal-relative:page;mso-position-vertical-relative:paragraph;z-index:251915264;rotation:82" type="#_x0000_t136" fillcolor="#000000" stroked="f">
            <o:extrusion v:ext="view" autorotationcenter="t"/>
            <v:textpath style="font-family:&quot;Arial Narrow&quot;;font-size:5pt;v-text-kern:t;mso-text-shadow:auto;font-weight:bold" string="1380 / 2940"/>
            <w10:wrap type="none"/>
          </v:shape>
        </w:pict>
      </w:r>
      <w:r>
        <w:rPr>
          <w:rFonts w:ascii="Arial Narrow"/>
          <w:b/>
          <w:w w:val="105"/>
          <w:sz w:val="11"/>
        </w:rPr>
        <w:t>360 / 385</w:t>
      </w:r>
    </w:p>
    <w:p>
      <w:pPr>
        <w:pStyle w:val="BodyText"/>
        <w:spacing w:before="11"/>
        <w:rPr>
          <w:rFonts w:ascii="Arial Narrow"/>
          <w:b/>
          <w:sz w:val="15"/>
        </w:rPr>
      </w:pPr>
      <w:r>
        <w:rPr/>
        <w:br w:type="column"/>
      </w:r>
      <w:r>
        <w:rPr>
          <w:rFonts w:ascii="Arial Narrow"/>
          <w:b/>
          <w:sz w:val="15"/>
        </w:rPr>
      </w:r>
    </w:p>
    <w:p>
      <w:pPr>
        <w:spacing w:before="0"/>
        <w:ind w:left="0" w:right="0" w:firstLine="0"/>
        <w:jc w:val="right"/>
        <w:rPr>
          <w:rFonts w:ascii="Arial Narrow"/>
          <w:b/>
          <w:sz w:val="11"/>
        </w:rPr>
      </w:pPr>
      <w:r>
        <w:rPr/>
        <w:pict>
          <v:shape style="position:absolute;margin-left:495.921442pt;margin-top:-16.482641pt;width:22.65pt;height:5.85pt;mso-position-horizontal-relative:page;mso-position-vertical-relative:paragraph;z-index:251916288;rotation:86" type="#_x0000_t136" fillcolor="#000000" stroked="f">
            <o:extrusion v:ext="view" autorotationcenter="t"/>
            <v:textpath style="font-family:&quot;Arial Narrow&quot;;font-size:5pt;v-text-kern:t;mso-text-shadow:auto;font-weight:bold" string="990 / 1140"/>
            <w10:wrap type="none"/>
          </v:shape>
        </w:pict>
      </w:r>
      <w:r>
        <w:rPr>
          <w:rFonts w:ascii="Arial Narrow"/>
          <w:b/>
          <w:w w:val="105"/>
          <w:sz w:val="11"/>
        </w:rPr>
        <w:t>214 / 412 </w:t>
      </w:r>
      <w:r>
        <w:rPr>
          <w:rFonts w:ascii="Arial Narrow"/>
          <w:b/>
          <w:w w:val="105"/>
          <w:position w:val="1"/>
          <w:sz w:val="11"/>
        </w:rPr>
        <w:t>279 / 3</w:t>
      </w:r>
      <w:r>
        <w:rPr>
          <w:rFonts w:ascii="Arial Narrow"/>
          <w:b/>
          <w:w w:val="105"/>
          <w:position w:val="2"/>
          <w:sz w:val="11"/>
        </w:rPr>
        <w:t>20</w:t>
      </w:r>
    </w:p>
    <w:p>
      <w:pPr>
        <w:spacing w:before="50"/>
        <w:ind w:left="1187" w:right="0" w:firstLine="0"/>
        <w:jc w:val="left"/>
        <w:rPr>
          <w:rFonts w:ascii="Century Gothic"/>
          <w:b/>
          <w:sz w:val="13"/>
        </w:rPr>
      </w:pPr>
      <w:r>
        <w:rPr/>
        <w:pict>
          <v:shape style="position:absolute;margin-left:442.228058pt;margin-top:-23.935364pt;width:10.55pt;height:32.2pt;mso-position-horizontal-relative:page;mso-position-vertical-relative:paragraph;z-index:251925504" type="#_x0000_t202" filled="false" stroked="false">
            <v:textbox inset="0,0,0,0" style="layout-flow:vertical;mso-layout-flow-alt:bottom-to-top">
              <w:txbxContent>
                <w:p>
                  <w:pPr>
                    <w:spacing w:before="20"/>
                    <w:ind w:left="20" w:right="0" w:firstLine="0"/>
                    <w:jc w:val="left"/>
                    <w:rPr>
                      <w:rFonts w:ascii="Century Gothic"/>
                      <w:b/>
                      <w:sz w:val="13"/>
                    </w:rPr>
                  </w:pPr>
                  <w:r>
                    <w:rPr>
                      <w:rFonts w:ascii="Century Gothic"/>
                      <w:b/>
                      <w:color w:val="4D4D4D"/>
                      <w:sz w:val="13"/>
                    </w:rPr>
                    <w:t>Thayer </w:t>
                  </w:r>
                  <w:r>
                    <w:rPr>
                      <w:rFonts w:ascii="Century Gothic"/>
                      <w:b/>
                      <w:color w:val="4D4D4D"/>
                      <w:position w:val="1"/>
                      <w:sz w:val="13"/>
                    </w:rPr>
                    <w:t>Dr</w:t>
                  </w:r>
                </w:p>
              </w:txbxContent>
            </v:textbox>
            <w10:wrap type="none"/>
          </v:shape>
        </w:pict>
      </w:r>
      <w:r>
        <w:rPr/>
        <w:pict>
          <v:shape style="position:absolute;margin-left:451.777008pt;margin-top:-4.43914pt;width:7.85pt;height:19pt;mso-position-horizontal-relative:page;mso-position-vertical-relative:paragraph;z-index:-268108800" type="#_x0000_t202" filled="false" stroked="false">
            <v:textbox inset="0,0,0,0" style="layout-flow:vertical;mso-layout-flow-alt:bottom-to-top">
              <w:txbxContent>
                <w:p>
                  <w:pPr>
                    <w:spacing w:before="22"/>
                    <w:ind w:left="20" w:right="0" w:firstLine="0"/>
                    <w:jc w:val="left"/>
                    <w:rPr>
                      <w:rFonts w:ascii="Arial Narrow"/>
                      <w:b/>
                      <w:sz w:val="10"/>
                    </w:rPr>
                  </w:pPr>
                  <w:r>
                    <w:rPr>
                      <w:rFonts w:ascii="Arial Narrow"/>
                      <w:b/>
                      <w:sz w:val="10"/>
                    </w:rPr>
                    <w:t>278 / 224</w:t>
                  </w:r>
                </w:p>
              </w:txbxContent>
            </v:textbox>
            <w10:wrap type="none"/>
          </v:shape>
        </w:pict>
      </w:r>
      <w:r>
        <w:rPr/>
        <w:pict>
          <v:shape style="position:absolute;margin-left:427.977997pt;margin-top:-9.944309pt;width:17.05pt;height:5pt;mso-position-horizontal-relative:page;mso-position-vertical-relative:paragraph;z-index:251975680;rotation:323" type="#_x0000_t136" fillcolor="#000000" stroked="f">
            <o:extrusion v:ext="view" autorotationcenter="t"/>
            <v:textpath style="font-family:&quot;Arial Narrow&quot;;font-size:5pt;v-text-kern:t;mso-text-shadow:auto;font-weight:bold" string="245 / 379"/>
            <w10:wrap type="none"/>
          </v:shape>
        </w:pict>
      </w:r>
      <w:r>
        <w:rPr>
          <w:rFonts w:ascii="Century Gothic"/>
          <w:b/>
          <w:color w:val="4D4D4D"/>
          <w:sz w:val="13"/>
        </w:rPr>
        <w:t>Knigh</w:t>
      </w:r>
      <w:r>
        <w:rPr>
          <w:rFonts w:ascii="Century Gothic"/>
          <w:b/>
          <w:color w:val="4D4D4D"/>
          <w:position w:val="1"/>
          <w:sz w:val="13"/>
        </w:rPr>
        <w:t>t St</w:t>
      </w:r>
    </w:p>
    <w:p>
      <w:pPr>
        <w:spacing w:before="26"/>
        <w:ind w:left="568" w:right="0" w:firstLine="0"/>
        <w:jc w:val="left"/>
        <w:rPr>
          <w:rFonts w:ascii="Century Gothic"/>
          <w:b/>
          <w:sz w:val="13"/>
        </w:rPr>
      </w:pPr>
      <w:r>
        <w:rPr>
          <w:rFonts w:ascii="Century Gothic"/>
          <w:b/>
          <w:color w:val="4D4D4D"/>
          <w:sz w:val="13"/>
        </w:rPr>
        <w:t>Lee Blvd</w:t>
      </w:r>
    </w:p>
    <w:p>
      <w:pPr>
        <w:spacing w:before="44"/>
        <w:ind w:left="0" w:right="70" w:firstLine="0"/>
        <w:jc w:val="right"/>
        <w:rPr>
          <w:rFonts w:ascii="Arial Narrow"/>
          <w:b/>
          <w:sz w:val="11"/>
        </w:rPr>
      </w:pPr>
      <w:r>
        <w:rPr/>
        <w:pict>
          <v:shape style="position:absolute;margin-left:433.479004pt;margin-top:32.208519pt;width:17.7pt;height:5.85pt;mso-position-horizontal-relative:page;mso-position-vertical-relative:paragraph;z-index:251869184;rotation:10" type="#_x0000_t136" fillcolor="#000000" stroked="f">
            <o:extrusion v:ext="view" autorotationcenter="t"/>
            <v:textpath style="font-family:&quot;Arial Narrow&quot;;font-size:5pt;v-text-kern:t;mso-text-shadow:auto;font-weight:bold" string="101 / 50"/>
            <w10:wrap type="none"/>
          </v:shape>
        </w:pict>
      </w:r>
      <w:r>
        <w:rPr/>
        <w:pict>
          <v:shape style="position:absolute;margin-left:505.139575pt;margin-top:24.199133pt;width:25.95pt;height:5.85pt;mso-position-horizontal-relative:page;mso-position-vertical-relative:paragraph;z-index:251904000;rotation:65" type="#_x0000_t136" fillcolor="#000000" stroked="f">
            <o:extrusion v:ext="view" autorotationcenter="t"/>
            <v:textpath style="font-family:&quot;Arial Narrow&quot;;font-size:5pt;v-text-kern:t;mso-text-shadow:auto;font-weight:bold" string="1465 / 1564"/>
            <w10:wrap type="none"/>
          </v:shape>
        </w:pict>
      </w:r>
      <w:r>
        <w:rPr/>
        <w:pict>
          <v:shape style="position:absolute;margin-left:444.271606pt;margin-top:4.173294pt;width:9pt;height:22.5pt;mso-position-horizontal-relative:page;mso-position-vertical-relative:paragraph;z-index:251927552" type="#_x0000_t202" filled="false" stroked="false">
            <v:textbox inset="0,0,0,0" style="layout-flow:vertical;mso-layout-flow-alt:bottom-to-top">
              <w:txbxContent>
                <w:p>
                  <w:pPr>
                    <w:spacing w:before="31"/>
                    <w:ind w:left="20" w:right="0" w:firstLine="0"/>
                    <w:jc w:val="left"/>
                    <w:rPr>
                      <w:rFonts w:ascii="Arial Narrow"/>
                      <w:b/>
                      <w:sz w:val="11"/>
                    </w:rPr>
                  </w:pPr>
                  <w:r>
                    <w:rPr>
                      <w:rFonts w:ascii="Arial Narrow"/>
                      <w:b/>
                      <w:w w:val="105"/>
                      <w:sz w:val="11"/>
                    </w:rPr>
                    <w:t>245 / 139</w:t>
                  </w:r>
                </w:p>
              </w:txbxContent>
            </v:textbox>
            <w10:wrap type="none"/>
          </v:shape>
        </w:pict>
      </w:r>
      <w:r>
        <w:rPr/>
        <w:pict>
          <v:shape style="position:absolute;margin-left:462.055511pt;margin-top:8.398856pt;width:10.75pt;height:44.5pt;mso-position-horizontal-relative:page;mso-position-vertical-relative:paragraph;z-index:251931648"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Wellsi</w:t>
                  </w:r>
                  <w:r>
                    <w:rPr>
                      <w:rFonts w:ascii="Century Gothic"/>
                      <w:b/>
                      <w:color w:val="4D4D4D"/>
                      <w:position w:val="1"/>
                      <w:sz w:val="13"/>
                    </w:rPr>
                    <w:t>an Way</w:t>
                  </w:r>
                </w:p>
              </w:txbxContent>
            </v:textbox>
            <w10:wrap type="none"/>
          </v:shape>
        </w:pict>
      </w:r>
      <w:r>
        <w:rPr/>
        <w:pict>
          <v:shape style="position:absolute;margin-left:388.879413pt;margin-top:29.640518pt;width:36.5pt;height:6.65pt;mso-position-horizontal-relative:page;mso-position-vertical-relative:paragraph;z-index:251971584;rotation:312" type="#_x0000_t136" fillcolor="#4d4d4d" stroked="f">
            <o:extrusion v:ext="view" autorotationcenter="t"/>
            <v:textpath style="font-family:&quot;Century Gothic&quot;;font-size:6pt;v-text-kern:t;mso-text-shadow:auto;font-weight:bold" string="Duportail St"/>
            <w10:wrap type="none"/>
          </v:shape>
        </w:pict>
      </w:r>
      <w:r>
        <w:rPr/>
        <w:pict>
          <v:shape style="position:absolute;margin-left:412.071625pt;margin-top:31.881771pt;width:20.5pt;height:5.85pt;mso-position-horizontal-relative:page;mso-position-vertical-relative:paragraph;z-index:251974656;rotation:321" type="#_x0000_t136" fillcolor="#000000" stroked="f">
            <o:extrusion v:ext="view" autorotationcenter="t"/>
            <v:textpath style="font-family:&quot;Arial Narrow&quot;;font-size:5pt;v-text-kern:t;mso-text-shadow:auto;font-weight:bold" string="202 / 334"/>
            <w10:wrap type="none"/>
          </v:shape>
        </w:pict>
      </w:r>
      <w:r>
        <w:rPr>
          <w:rFonts w:ascii="Arial Narrow"/>
          <w:b/>
          <w:w w:val="105"/>
          <w:sz w:val="11"/>
        </w:rPr>
        <w:t>440 / 626 374 </w:t>
      </w:r>
      <w:r>
        <w:rPr>
          <w:rFonts w:ascii="Arial Narrow"/>
          <w:b/>
          <w:w w:val="105"/>
          <w:position w:val="1"/>
          <w:sz w:val="11"/>
        </w:rPr>
        <w:t>/ 399</w:t>
      </w:r>
    </w:p>
    <w:p>
      <w:pPr>
        <w:pStyle w:val="BodyText"/>
        <w:rPr>
          <w:rFonts w:ascii="Arial Narrow"/>
          <w:b/>
          <w:sz w:val="40"/>
        </w:rPr>
      </w:pPr>
      <w:r>
        <w:rPr/>
        <w:br w:type="column"/>
      </w:r>
      <w:r>
        <w:rPr>
          <w:rFonts w:ascii="Arial Narrow"/>
          <w:b/>
          <w:sz w:val="40"/>
        </w:rPr>
      </w:r>
    </w:p>
    <w:p>
      <w:pPr>
        <w:pStyle w:val="BodyText"/>
        <w:rPr>
          <w:rFonts w:ascii="Arial Narrow"/>
          <w:b/>
          <w:sz w:val="40"/>
        </w:rPr>
      </w:pPr>
    </w:p>
    <w:p>
      <w:pPr>
        <w:spacing w:before="280"/>
        <w:ind w:left="2250" w:right="2826" w:firstLine="0"/>
        <w:jc w:val="center"/>
        <w:rPr>
          <w:rFonts w:ascii="Arial" w:hAnsi="Arial"/>
          <w:b/>
          <w:sz w:val="11"/>
        </w:rPr>
      </w:pPr>
      <w:r>
        <w:rPr/>
        <w:pict>
          <v:shape style="position:absolute;margin-left:492.68277pt;margin-top:33.237522pt;width:40.25pt;height:6.65pt;mso-position-horizontal-relative:page;mso-position-vertical-relative:paragraph;z-index:251981824;rotation:354" type="#_x0000_t136" fillcolor="#4d4d4d" stroked="f">
            <o:extrusion v:ext="view" autorotationcenter="t"/>
            <v:textpath style="font-family:&quot;Century Gothic&quot;;font-size:6pt;v-text-kern:t;mso-text-shadow:auto;font-weight:bold" string="Comstock St"/>
            <w10:wrap type="none"/>
          </v:shape>
        </w:pict>
      </w:r>
      <w:r>
        <w:rPr>
          <w:rFonts w:ascii="Arial" w:hAnsi="Arial"/>
          <w:color w:val="FF0000"/>
          <w:spacing w:val="-284"/>
          <w:w w:val="127"/>
          <w:position w:val="-8"/>
          <w:sz w:val="40"/>
        </w:rPr>
        <w:t>§</w:t>
      </w:r>
      <w:r>
        <w:rPr>
          <w:rFonts w:ascii="Arial" w:hAnsi="Arial"/>
          <w:spacing w:val="-284"/>
          <w:w w:val="272"/>
          <w:position w:val="-9"/>
          <w:sz w:val="40"/>
        </w:rPr>
        <w:t>¦</w:t>
      </w:r>
      <w:r>
        <w:rPr>
          <w:rFonts w:ascii="Arial" w:hAnsi="Arial"/>
          <w:color w:val="0000FF"/>
          <w:spacing w:val="-236"/>
          <w:w w:val="21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spacing w:after="0"/>
        <w:jc w:val="center"/>
        <w:rPr>
          <w:rFonts w:ascii="Arial" w:hAnsi="Arial"/>
          <w:sz w:val="11"/>
        </w:rPr>
        <w:sectPr>
          <w:type w:val="continuous"/>
          <w:pgSz w:w="15840" w:h="24480"/>
          <w:pgMar w:top="1480" w:bottom="1320" w:left="0" w:right="0"/>
          <w:cols w:num="3" w:equalWidth="0">
            <w:col w:w="8499" w:space="40"/>
            <w:col w:w="1906" w:space="39"/>
            <w:col w:w="5356"/>
          </w:cols>
        </w:sectPr>
      </w:pPr>
    </w:p>
    <w:p>
      <w:pPr>
        <w:pStyle w:val="BodyText"/>
        <w:spacing w:before="5"/>
        <w:rPr>
          <w:rFonts w:ascii="Arial"/>
          <w:b/>
          <w:sz w:val="26"/>
        </w:rPr>
      </w:pPr>
    </w:p>
    <w:p>
      <w:pPr>
        <w:spacing w:before="101"/>
        <w:ind w:left="8128" w:right="3862" w:firstLine="0"/>
        <w:jc w:val="center"/>
        <w:rPr>
          <w:rFonts w:ascii="Century Gothic"/>
          <w:b/>
          <w:sz w:val="13"/>
        </w:rPr>
      </w:pPr>
      <w:r>
        <w:rPr/>
        <w:pict>
          <v:shape style="position:absolute;margin-left:420.859253pt;margin-top:-1.363027pt;width:25.95pt;height:5.85pt;mso-position-horizontal-relative:page;mso-position-vertical-relative:paragraph;z-index:251889664;rotation:38" type="#_x0000_t136" fillcolor="#000000" stroked="f">
            <o:extrusion v:ext="view" autorotationcenter="t"/>
            <v:textpath style="font-family:&quot;Arial Narrow&quot;;font-size:5pt;v-text-kern:t;mso-text-shadow:auto;font-weight:bold" string="1650 / 3510"/>
            <w10:wrap type="none"/>
          </v:shape>
        </w:pict>
      </w:r>
      <w:r>
        <w:rPr/>
        <w:pict>
          <v:shape style="position:absolute;margin-left:425.717212pt;margin-top:-19.743417pt;width:14.95pt;height:5.85pt;mso-position-horizontal-relative:page;mso-position-vertical-relative:paragraph;z-index:251897856;rotation:55" type="#_x0000_t136" fillcolor="#000000" stroked="f">
            <o:extrusion v:ext="view" autorotationcenter="t"/>
            <v:textpath style="font-family:&quot;Arial Narrow&quot;;font-size:5pt;v-text-kern:t;mso-text-shadow:auto;font-weight:bold" string="34 / 49"/>
            <w10:wrap type="none"/>
          </v:shape>
        </w:pict>
      </w:r>
      <w:r>
        <w:rPr/>
        <w:pict>
          <v:shape style="position:absolute;margin-left:526.556799pt;margin-top:8.570077pt;width:26.05pt;height:5.85pt;mso-position-horizontal-relative:page;mso-position-vertical-relative:paragraph;z-index:251899904;rotation:57" type="#_x0000_t136" fillcolor="#000000" stroked="f">
            <o:extrusion v:ext="view" autorotationcenter="t"/>
            <v:textpath style="font-family:&quot;Arial Narrow&quot;;font-size:5pt;v-text-kern:t;mso-text-shadow:auto;font-weight:bold" string="1351 / 1396"/>
            <w10:wrap type="none"/>
          </v:shape>
        </w:pict>
      </w:r>
      <w:r>
        <w:rPr/>
        <w:pict>
          <v:shape style="position:absolute;margin-left:443.788934pt;margin-top:-4.155183pt;width:17.650pt;height:5.85pt;mso-position-horizontal-relative:page;mso-position-vertical-relative:paragraph;z-index:251911168;rotation:75" type="#_x0000_t136" fillcolor="#000000" stroked="f">
            <o:extrusion v:ext="view" autorotationcenter="t"/>
            <v:textpath style="font-family:&quot;Arial Narrow&quot;;font-size:5pt;v-text-kern:t;mso-text-shadow:auto;font-weight:bold" string="312 / 98"/>
            <w10:wrap type="none"/>
          </v:shape>
        </w:pict>
      </w:r>
      <w:r>
        <w:rPr/>
        <w:pict>
          <v:shape style="position:absolute;margin-left:467.900171pt;margin-top:.305776pt;width:20.4pt;height:5.85pt;mso-position-horizontal-relative:page;mso-position-vertical-relative:paragraph;z-index:251912192;rotation:76" type="#_x0000_t136" fillcolor="#000000" stroked="f">
            <o:extrusion v:ext="view" autorotationcenter="t"/>
            <v:textpath style="font-family:&quot;Arial Narrow&quot;;font-size:5pt;v-text-kern:t;mso-text-shadow:auto;font-weight:bold" string="164 / 387"/>
            <w10:wrap type="none"/>
          </v:shape>
        </w:pict>
      </w:r>
      <w:r>
        <w:rPr/>
        <w:pict>
          <v:shape style="position:absolute;margin-left:479.536377pt;margin-top:-41.694630pt;width:10.7pt;height:39.7pt;mso-position-horizontal-relative:page;mso-position-vertical-relative:paragraph;z-index:251936768"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sz w:val="13"/>
                    </w:rPr>
                    <w:t>Goeth</w:t>
                  </w:r>
                  <w:r>
                    <w:rPr>
                      <w:rFonts w:ascii="Century Gothic"/>
                      <w:b/>
                      <w:color w:val="4D4D4D"/>
                      <w:position w:val="1"/>
                      <w:sz w:val="13"/>
                    </w:rPr>
                    <w:t>als Dr</w:t>
                  </w:r>
                </w:p>
              </w:txbxContent>
            </v:textbox>
            <w10:wrap type="none"/>
          </v:shape>
        </w:pict>
      </w:r>
      <w:r>
        <w:rPr/>
        <w:pict>
          <v:shape style="position:absolute;margin-left:521.312805pt;margin-top:-7.351796pt;width:8.9pt;height:22.45pt;mso-position-horizontal-relative:page;mso-position-vertical-relative:paragraph;z-index:251940864" type="#_x0000_t202" filled="false" stroked="false">
            <v:textbox inset="0,0,0,0" style="layout-flow:vertical;mso-layout-flow-alt:bottom-to-top">
              <w:txbxContent>
                <w:p>
                  <w:pPr>
                    <w:spacing w:before="29"/>
                    <w:ind w:left="20" w:right="0" w:firstLine="0"/>
                    <w:jc w:val="left"/>
                    <w:rPr>
                      <w:rFonts w:ascii="Arial Narrow"/>
                      <w:b/>
                      <w:sz w:val="11"/>
                    </w:rPr>
                  </w:pPr>
                  <w:r>
                    <w:rPr>
                      <w:rFonts w:ascii="Arial Narrow"/>
                      <w:b/>
                      <w:w w:val="105"/>
                      <w:sz w:val="11"/>
                    </w:rPr>
                    <w:t>386 / 188</w:t>
                  </w:r>
                </w:p>
              </w:txbxContent>
            </v:textbox>
            <w10:wrap type="none"/>
          </v:shape>
        </w:pict>
      </w:r>
      <w:r>
        <w:rPr/>
        <w:pict>
          <v:shape style="position:absolute;margin-left:398.2586pt;margin-top:-14.26263pt;width:17.150pt;height:5.85pt;mso-position-horizontal-relative:page;mso-position-vertical-relative:paragraph;z-index:251968512;rotation:310" type="#_x0000_t136" fillcolor="#000000" stroked="f">
            <o:extrusion v:ext="view" autorotationcenter="t"/>
            <v:textpath style="font-family:&quot;Arial Narrow&quot;;font-size:5pt;v-text-kern:t;mso-text-shadow:auto;font-weight:bold" string="64 / 112"/>
            <w10:wrap type="none"/>
          </v:shape>
        </w:pict>
      </w:r>
      <w:r>
        <w:rPr/>
        <w:pict>
          <v:shape style="position:absolute;margin-left:453.455353pt;margin-top:9.151755pt;width:20.5pt;height:5.85pt;mso-position-horizontal-relative:page;mso-position-vertical-relative:paragraph;z-index:251973632;rotation:315" type="#_x0000_t136" fillcolor="#000000" stroked="f">
            <o:extrusion v:ext="view" autorotationcenter="t"/>
            <v:textpath style="font-family:&quot;Arial Narrow&quot;;font-size:5pt;v-text-kern:t;mso-text-shadow:auto;font-weight:bold" string="255 / 138"/>
            <w10:wrap type="none"/>
          </v:shape>
        </w:pict>
      </w:r>
      <w:r>
        <w:rPr>
          <w:rFonts w:ascii="Century Gothic"/>
          <w:b/>
          <w:color w:val="4D4D4D"/>
          <w:sz w:val="13"/>
        </w:rPr>
        <w:t>Aaron </w:t>
      </w:r>
      <w:r>
        <w:rPr>
          <w:rFonts w:ascii="Century Gothic"/>
          <w:b/>
          <w:color w:val="4D4D4D"/>
          <w:position w:val="1"/>
          <w:sz w:val="13"/>
        </w:rPr>
        <w:t>Dr</w:t>
      </w:r>
    </w:p>
    <w:p>
      <w:pPr>
        <w:spacing w:before="64"/>
        <w:ind w:left="8423" w:right="3862" w:firstLine="0"/>
        <w:jc w:val="center"/>
        <w:rPr>
          <w:rFonts w:ascii="Arial Narrow"/>
          <w:b/>
          <w:sz w:val="11"/>
        </w:rPr>
      </w:pPr>
      <w:r>
        <w:rPr/>
        <w:pict>
          <v:shape style="position:absolute;margin-left:319.687775pt;margin-top:7.821579pt;width:39.050pt;height:6.65pt;mso-position-horizontal-relative:page;mso-position-vertical-relative:paragraph;z-index:251871232;rotation:13" type="#_x0000_t136" fillcolor="#4d4d4d" stroked="f">
            <o:extrusion v:ext="view" autorotationcenter="t"/>
            <v:textpath style="font-family:&quot;Century Gothic&quot;;font-size:6pt;v-text-kern:t;mso-text-shadow:auto;font-weight:bold" string="Kennedy Rd"/>
            <w10:wrap type="none"/>
          </v:shape>
        </w:pict>
      </w:r>
      <w:r>
        <w:rPr/>
        <w:pict>
          <v:shape style="position:absolute;margin-left:328.401917pt;margin-top:19.675482pt;width:17.650pt;height:5.85pt;mso-position-horizontal-relative:page;mso-position-vertical-relative:paragraph;z-index:251872256;rotation:14" type="#_x0000_t136" fillcolor="#000000" stroked="f">
            <o:extrusion v:ext="view" autorotationcenter="t"/>
            <v:textpath style="font-family:&quot;Arial Narrow&quot;;font-size:5pt;v-text-kern:t;mso-text-shadow:auto;font-weight:bold" string="66 / 124"/>
            <w10:wrap type="none"/>
          </v:shape>
        </w:pict>
      </w:r>
      <w:r>
        <w:rPr/>
        <w:pict>
          <v:shape style="position:absolute;margin-left:321.149475pt;margin-top:33.719563pt;width:20.5pt;height:5.85pt;mso-position-horizontal-relative:page;mso-position-vertical-relative:paragraph;z-index:251882496;rotation:29" type="#_x0000_t136" fillcolor="#000000" stroked="f">
            <o:extrusion v:ext="view" autorotationcenter="t"/>
            <v:textpath style="font-family:&quot;Arial Narrow&quot;;font-size:5pt;v-text-kern:t;mso-text-shadow:auto;font-weight:bold" string="956 / 984"/>
            <w10:wrap type="none"/>
          </v:shape>
        </w:pict>
      </w:r>
      <w:r>
        <w:rPr/>
        <w:pict>
          <v:shape style="position:absolute;margin-left:545.820483pt;margin-top:19.494118pt;width:25.95pt;height:5.85pt;mso-position-horizontal-relative:page;mso-position-vertical-relative:paragraph;z-index:251894784;rotation:50" type="#_x0000_t136" fillcolor="#000000" stroked="f">
            <o:extrusion v:ext="view" autorotationcenter="t"/>
            <v:textpath style="font-family:&quot;Arial Narrow&quot;;font-size:5pt;v-text-kern:t;mso-text-shadow:auto;font-weight:bold" string="3089 / 1564"/>
            <w10:wrap type="none"/>
          </v:shape>
        </w:pict>
      </w:r>
      <w:r>
        <w:rPr/>
        <w:pict>
          <v:shape style="position:absolute;margin-left:386.514331pt;margin-top:28.381495pt;width:23.2pt;height:5.85pt;mso-position-horizontal-relative:page;mso-position-vertical-relative:paragraph;z-index:251900928;rotation:60" type="#_x0000_t136" fillcolor="#000000" stroked="f">
            <o:extrusion v:ext="view" autorotationcenter="t"/>
            <v:textpath style="font-family:&quot;Arial Narrow&quot;;font-size:5pt;v-text-kern:t;mso-text-shadow:auto;font-weight:bold" string="974 / 1488"/>
            <w10:wrap type="none"/>
          </v:shape>
        </w:pict>
      </w:r>
      <w:r>
        <w:rPr/>
        <w:pict>
          <v:shape style="position:absolute;margin-left:388.109027pt;margin-top:29.490347pt;width:48.75pt;height:6.65pt;mso-position-horizontal-relative:page;mso-position-vertical-relative:paragraph;z-index:251902976;rotation:64" type="#_x0000_t136" fillcolor="#4d4d4d" stroked="f">
            <o:extrusion v:ext="view" autorotationcenter="t"/>
            <v:textpath style="font-family:&quot;Century Gothic&quot;;font-size:6pt;v-text-kern:t;mso-text-shadow:auto;font-weight:bold" string="Queensgate Dr"/>
            <w10:wrap type="none"/>
          </v:shape>
        </w:pict>
      </w:r>
      <w:r>
        <w:rPr/>
        <w:pict>
          <v:shape style="position:absolute;margin-left:348.85556pt;margin-top:34.425423pt;width:20.45pt;height:5.85pt;mso-position-horizontal-relative:page;mso-position-vertical-relative:paragraph;z-index:251976704;rotation:326" type="#_x0000_t136" fillcolor="#000000" stroked="f">
            <o:extrusion v:ext="view" autorotationcenter="t"/>
            <v:textpath style="font-family:&quot;Arial Narrow&quot;;font-size:5pt;v-text-kern:t;mso-text-shadow:auto;font-weight:bold" string="426 / 712"/>
            <w10:wrap type="none"/>
          </v:shape>
        </w:pict>
      </w:r>
      <w:r>
        <w:rPr/>
        <w:pict>
          <v:shape style="position:absolute;margin-left:368.711945pt;margin-top:24.334822pt;width:20.4pt;height:5.85pt;mso-position-horizontal-relative:page;mso-position-vertical-relative:paragraph;z-index:251977728;rotation:332" type="#_x0000_t136" fillcolor="#000000" stroked="f">
            <o:extrusion v:ext="view" autorotationcenter="t"/>
            <v:textpath style="font-family:&quot;Arial Narrow&quot;;font-size:5pt;v-text-kern:t;mso-text-shadow:auto;font-weight:bold" string="433 / 760"/>
            <w10:wrap type="none"/>
          </v:shape>
        </w:pict>
      </w:r>
      <w:r>
        <w:rPr/>
        <w:pict>
          <v:shape style="position:absolute;margin-left:340.231781pt;margin-top:22.045929pt;width:36.450pt;height:6.65pt;mso-position-horizontal-relative:page;mso-position-vertical-relative:paragraph;z-index:251978752;rotation:334" type="#_x0000_t136" fillcolor="#4d4d4d" stroked="f">
            <o:extrusion v:ext="view" autorotationcenter="t"/>
            <v:textpath style="font-family:&quot;Century Gothic&quot;;font-size:6pt;v-text-kern:t;mso-text-shadow:auto;font-weight:bold" string="Duportail St"/>
            <w10:wrap type="none"/>
          </v:shape>
        </w:pict>
      </w:r>
      <w:r>
        <w:rPr/>
        <w:pict>
          <v:shape style="position:absolute;margin-left:469.841125pt;margin-top:3.568207pt;width:20.5pt;height:5.85pt;mso-position-horizontal-relative:page;mso-position-vertical-relative:paragraph;z-index:251985920;rotation:359" type="#_x0000_t136" fillcolor="#000000" stroked="f">
            <o:extrusion v:ext="view" autorotationcenter="t"/>
            <v:textpath style="font-family:&quot;Arial Narrow&quot;;font-size:5pt;v-text-kern:t;mso-text-shadow:auto;font-weight:bold" string="293 / 374"/>
            <w10:wrap type="none"/>
          </v:shape>
        </w:pict>
      </w:r>
      <w:r>
        <w:rPr>
          <w:rFonts w:ascii="Arial Narrow"/>
          <w:b/>
          <w:w w:val="105"/>
          <w:sz w:val="11"/>
        </w:rPr>
        <w:t>290 / 216</w:t>
      </w:r>
    </w:p>
    <w:p>
      <w:pPr>
        <w:pStyle w:val="BodyText"/>
        <w:rPr>
          <w:rFonts w:ascii="Arial Narrow"/>
          <w:b/>
          <w:sz w:val="20"/>
        </w:rPr>
      </w:pPr>
    </w:p>
    <w:p>
      <w:pPr>
        <w:pStyle w:val="BodyText"/>
        <w:rPr>
          <w:rFonts w:ascii="Arial Narrow"/>
          <w:b/>
          <w:sz w:val="20"/>
        </w:rPr>
      </w:pPr>
    </w:p>
    <w:p>
      <w:pPr>
        <w:pStyle w:val="BodyText"/>
        <w:rPr>
          <w:rFonts w:ascii="Arial Narrow"/>
          <w:b/>
          <w:sz w:val="20"/>
        </w:rPr>
      </w:pPr>
    </w:p>
    <w:p>
      <w:pPr>
        <w:spacing w:after="0"/>
        <w:rPr>
          <w:rFonts w:ascii="Arial Narrow"/>
          <w:sz w:val="20"/>
        </w:rPr>
        <w:sectPr>
          <w:type w:val="continuous"/>
          <w:pgSz w:w="15840" w:h="24480"/>
          <w:pgMar w:top="1480" w:bottom="1320" w:left="0" w:right="0"/>
        </w:sectPr>
      </w:pPr>
    </w:p>
    <w:p>
      <w:pPr>
        <w:pStyle w:val="BodyText"/>
        <w:spacing w:before="6"/>
        <w:rPr>
          <w:rFonts w:ascii="Arial Narrow"/>
          <w:b/>
          <w:sz w:val="37"/>
        </w:rPr>
      </w:pPr>
    </w:p>
    <w:p>
      <w:pPr>
        <w:spacing w:before="0"/>
        <w:ind w:left="0" w:right="47" w:firstLine="0"/>
        <w:jc w:val="right"/>
        <w:rPr>
          <w:rFonts w:ascii="Arial" w:hAnsi="Arial"/>
          <w:b/>
          <w:sz w:val="11"/>
        </w:rPr>
      </w:pPr>
      <w:r>
        <w:rPr/>
        <w:pict>
          <v:shape style="position:absolute;margin-left:560.044678pt;margin-top:27.978243pt;width:56.3pt;height:6.65pt;mso-position-horizontal-relative:page;mso-position-vertical-relative:paragraph;z-index:251875328;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364.953094pt;margin-top:-9.724932pt;width:20.45pt;height:5.85pt;mso-position-horizontal-relative:page;mso-position-vertical-relative:paragraph;z-index:251878400;rotation:22" type="#_x0000_t136" fillcolor="#000000" stroked="f">
            <o:extrusion v:ext="view" autorotationcenter="t"/>
            <v:textpath style="font-family:&quot;Arial Narrow&quot;;font-size:5pt;v-text-kern:t;mso-text-shadow:auto;font-weight:bold" string="794 / 643"/>
            <w10:wrap type="none"/>
          </v:shape>
        </w:pict>
      </w:r>
      <w:r>
        <w:rPr/>
        <w:pict>
          <v:shape style="position:absolute;margin-left:564.220251pt;margin-top:-19.451512pt;width:26.05pt;height:5.85pt;mso-position-horizontal-relative:page;mso-position-vertical-relative:paragraph;z-index:251898880;rotation:57" type="#_x0000_t136" fillcolor="#000000" stroked="f">
            <o:extrusion v:ext="view" autorotationcenter="t"/>
            <v:textpath style="font-family:&quot;Arial Narrow&quot;;font-size:5pt;v-text-kern:t;mso-text-shadow:auto;font-weight:bold" string="4440 / 2960"/>
            <w10:wrap type="none"/>
          </v:shape>
        </w:pict>
      </w:r>
      <w:r>
        <w:rPr>
          <w:rFonts w:ascii="Arial" w:hAnsi="Arial"/>
          <w:color w:val="FF0000"/>
          <w:spacing w:val="-284"/>
          <w:w w:val="127"/>
          <w:position w:val="-8"/>
          <w:sz w:val="40"/>
        </w:rPr>
        <w:t>§</w:t>
      </w:r>
      <w:r>
        <w:rPr>
          <w:rFonts w:ascii="Arial" w:hAnsi="Arial"/>
          <w:color w:val="0000FF"/>
          <w:spacing w:val="-284"/>
          <w:w w:val="212"/>
          <w:position w:val="-9"/>
          <w:sz w:val="40"/>
        </w:rPr>
        <w:t>¨</w:t>
      </w:r>
      <w:r>
        <w:rPr>
          <w:rFonts w:ascii="Arial" w:hAnsi="Arial"/>
          <w:spacing w:val="-242"/>
          <w:w w:val="27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pStyle w:val="BodyText"/>
        <w:rPr>
          <w:rFonts w:ascii="Arial"/>
          <w:b/>
          <w:sz w:val="16"/>
        </w:rPr>
      </w:pPr>
      <w:r>
        <w:rPr/>
        <w:br w:type="column"/>
      </w:r>
      <w:r>
        <w:rPr>
          <w:rFonts w:ascii="Arial"/>
          <w:b/>
          <w:sz w:val="16"/>
        </w:rPr>
      </w:r>
    </w:p>
    <w:p>
      <w:pPr>
        <w:pStyle w:val="BodyText"/>
        <w:rPr>
          <w:rFonts w:ascii="Arial"/>
          <w:b/>
          <w:sz w:val="16"/>
        </w:rPr>
      </w:pPr>
    </w:p>
    <w:p>
      <w:pPr>
        <w:pStyle w:val="BodyText"/>
        <w:rPr>
          <w:rFonts w:ascii="Arial"/>
          <w:b/>
          <w:sz w:val="16"/>
        </w:rPr>
      </w:pPr>
    </w:p>
    <w:p>
      <w:pPr>
        <w:pStyle w:val="BodyText"/>
        <w:rPr>
          <w:rFonts w:ascii="Arial"/>
          <w:b/>
          <w:sz w:val="16"/>
        </w:rPr>
      </w:pPr>
    </w:p>
    <w:p>
      <w:pPr>
        <w:pStyle w:val="BodyText"/>
        <w:spacing w:before="6"/>
        <w:rPr>
          <w:rFonts w:ascii="Arial"/>
          <w:b/>
          <w:sz w:val="13"/>
        </w:rPr>
      </w:pPr>
    </w:p>
    <w:p>
      <w:pPr>
        <w:spacing w:before="0"/>
        <w:ind w:left="2067" w:right="0" w:firstLine="0"/>
        <w:jc w:val="center"/>
        <w:rPr>
          <w:rFonts w:ascii="Century Gothic"/>
          <w:b/>
          <w:sz w:val="13"/>
        </w:rPr>
      </w:pPr>
      <w:r>
        <w:rPr/>
        <w:pict>
          <v:shape style="position:absolute;margin-left:493.608917pt;margin-top:-14.409057pt;width:19.95pt;height:5.85pt;mso-position-horizontal-relative:page;mso-position-vertical-relative:paragraph;z-index:251880448;rotation:27" type="#_x0000_t136" fillcolor="#000000" stroked="f">
            <o:extrusion v:ext="view" autorotationcenter="t"/>
            <v:textpath style="font-family:&quot;Arial Narrow&quot;;font-size:5pt;v-text-kern:t;mso-text-shadow:auto;font-weight:bold" string="286 / 211"/>
            <w10:wrap type="none"/>
          </v:shape>
        </w:pict>
      </w:r>
      <w:r>
        <w:rPr/>
        <w:pict>
          <v:shape style="position:absolute;margin-left:406.116425pt;margin-top:-12.311655pt;width:20.45pt;height:5.85pt;mso-position-horizontal-relative:page;mso-position-vertical-relative:paragraph;z-index:251886592;rotation:36" type="#_x0000_t136" fillcolor="#000000" stroked="f">
            <o:extrusion v:ext="view" autorotationcenter="t"/>
            <v:textpath style="font-family:&quot;Arial Narrow&quot;;font-size:5pt;v-text-kern:t;mso-text-shadow:auto;font-weight:bold" string="874 / 877"/>
            <w10:wrap type="none"/>
          </v:shape>
        </w:pict>
      </w:r>
      <w:r>
        <w:rPr/>
        <w:pict>
          <v:shape style="position:absolute;margin-left:446.434021pt;margin-top:7.24241pt;width:31.05pt;height:6.65pt;mso-position-horizontal-relative:page;mso-position-vertical-relative:paragraph;z-index:251891712;rotation:40" type="#_x0000_t136" fillcolor="#4d4d4d" stroked="f">
            <o:extrusion v:ext="view" autorotationcenter="t"/>
            <v:textpath style="font-family:&quot;Century Gothic&quot;;font-size:6pt;v-text-kern:t;mso-text-shadow:auto;font-weight:bold" string="Keene Rd"/>
            <w10:wrap type="none"/>
          </v:shape>
        </w:pict>
      </w:r>
      <w:r>
        <w:rPr>
          <w:rFonts w:ascii="Century Gothic"/>
          <w:b/>
          <w:color w:val="4D4D4D"/>
          <w:sz w:val="13"/>
        </w:rPr>
        <w:t>Shockl</w:t>
      </w:r>
      <w:r>
        <w:rPr>
          <w:rFonts w:ascii="Century Gothic"/>
          <w:b/>
          <w:color w:val="4D4D4D"/>
          <w:position w:val="1"/>
          <w:sz w:val="13"/>
        </w:rPr>
        <w:t>ey Rd</w:t>
      </w:r>
    </w:p>
    <w:p>
      <w:pPr>
        <w:spacing w:before="58"/>
        <w:ind w:left="2067" w:right="0" w:firstLine="0"/>
        <w:jc w:val="center"/>
        <w:rPr>
          <w:rFonts w:ascii="Arial Narrow"/>
          <w:b/>
          <w:sz w:val="11"/>
        </w:rPr>
      </w:pPr>
      <w:r>
        <w:rPr/>
        <w:pict>
          <v:shape style="position:absolute;margin-left:664.113464pt;margin-top:36.166576pt;width:20.5pt;height:5.85pt;mso-position-horizontal-relative:page;mso-position-vertical-relative:paragraph;z-index:251863040;rotation:1" type="#_x0000_t136" fillcolor="#000000" stroked="f">
            <o:extrusion v:ext="view" autorotationcenter="t"/>
            <v:textpath style="font-family:&quot;Arial Narrow&quot;;font-size:5pt;v-text-kern:t;mso-text-shadow:auto;font-weight:bold" string="190 / 190"/>
            <w10:wrap type="none"/>
          </v:shape>
        </w:pict>
      </w:r>
      <w:r>
        <w:rPr/>
        <w:pict>
          <v:shape style="position:absolute;margin-left:663.933105pt;margin-top:27.021238pt;width:28.1pt;height:6.65pt;mso-position-horizontal-relative:page;mso-position-vertical-relative:paragraph;z-index:251866112;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621.697021pt;margin-top:19.838621pt;width:20.45pt;height:5.85pt;mso-position-horizontal-relative:page;mso-position-vertical-relative:paragraph;z-index:251868160;rotation:7" type="#_x0000_t136" fillcolor="#000000" stroked="f">
            <o:extrusion v:ext="view" autorotationcenter="t"/>
            <v:textpath style="font-family:&quot;Arial Narrow&quot;;font-size:5pt;v-text-kern:t;mso-text-shadow:auto;font-weight:bold" string="314 / 346"/>
            <w10:wrap type="none"/>
          </v:shape>
        </w:pict>
      </w:r>
      <w:r>
        <w:rPr/>
        <w:pict>
          <v:shape style="position:absolute;margin-left:714.022156pt;margin-top:24.00736pt;width:17.150pt;height:5.85pt;mso-position-horizontal-relative:page;mso-position-vertical-relative:paragraph;z-index:251870208;rotation:10" type="#_x0000_t136" fillcolor="#000000" stroked="f">
            <o:extrusion v:ext="view" autorotationcenter="t"/>
            <v:textpath style="font-family:&quot;Arial Narrow&quot;;font-size:5pt;v-text-kern:t;mso-text-shadow:auto;font-weight:bold" string="116 / 89"/>
            <w10:wrap type="none"/>
          </v:shape>
        </w:pict>
      </w:r>
      <w:r>
        <w:rPr/>
        <w:pict>
          <v:shape style="position:absolute;margin-left:583.790344pt;margin-top:9.380755pt;width:20.5pt;height:5.85pt;mso-position-horizontal-relative:page;mso-position-vertical-relative:paragraph;z-index:251876352;rotation:16" type="#_x0000_t136" fillcolor="#000000" stroked="f">
            <o:extrusion v:ext="view" autorotationcenter="t"/>
            <v:textpath style="font-family:&quot;Arial Narrow&quot;;font-size:5pt;v-text-kern:t;mso-text-shadow:auto;font-weight:bold" string="512 / 896"/>
            <w10:wrap type="none"/>
          </v:shape>
        </w:pict>
      </w:r>
      <w:r>
        <w:rPr/>
        <w:pict>
          <v:shape style="position:absolute;margin-left:615.745056pt;margin-top:30.035154pt;width:19.95pt;height:40.85pt;mso-position-horizontal-relative:page;mso-position-vertical-relative:paragraph;z-index:251943936" type="#_x0000_t202" filled="false" stroked="false">
            <v:textbox inset="0,0,0,0" style="layout-flow:vertical;mso-layout-flow-alt:bottom-to-top">
              <w:txbxContent>
                <w:p>
                  <w:pPr>
                    <w:spacing w:before="25"/>
                    <w:ind w:left="155" w:right="0" w:firstLine="0"/>
                    <w:jc w:val="left"/>
                    <w:rPr>
                      <w:rFonts w:ascii="Century Gothic"/>
                      <w:b/>
                      <w:sz w:val="13"/>
                    </w:rPr>
                  </w:pPr>
                  <w:r>
                    <w:rPr>
                      <w:rFonts w:ascii="Century Gothic"/>
                      <w:b/>
                      <w:color w:val="4D4D4D"/>
                      <w:sz w:val="13"/>
                    </w:rPr>
                    <w:t>Step</w:t>
                  </w:r>
                  <w:r>
                    <w:rPr>
                      <w:rFonts w:ascii="Century Gothic"/>
                      <w:b/>
                      <w:color w:val="4D4D4D"/>
                      <w:position w:val="1"/>
                      <w:sz w:val="13"/>
                    </w:rPr>
                    <w:t>toe St</w:t>
                  </w:r>
                </w:p>
                <w:p>
                  <w:pPr>
                    <w:spacing w:before="55"/>
                    <w:ind w:left="20" w:right="0" w:firstLine="0"/>
                    <w:jc w:val="left"/>
                    <w:rPr>
                      <w:rFonts w:ascii="Arial Narrow"/>
                      <w:b/>
                      <w:sz w:val="11"/>
                    </w:rPr>
                  </w:pPr>
                  <w:r>
                    <w:rPr>
                      <w:rFonts w:ascii="Arial Narrow"/>
                      <w:b/>
                      <w:w w:val="105"/>
                      <w:sz w:val="11"/>
                    </w:rPr>
                    <w:t>1115 / 1103</w:t>
                  </w:r>
                </w:p>
              </w:txbxContent>
            </v:textbox>
            <w10:wrap type="none"/>
          </v:shape>
        </w:pict>
      </w:r>
      <w:r>
        <w:rPr/>
        <w:pict>
          <v:shape style="position:absolute;margin-left:695.513501pt;margin-top:31.840215pt;width:20.5pt;height:5.85pt;mso-position-horizontal-relative:page;mso-position-vertical-relative:paragraph;z-index:251956224;rotation:274" type="#_x0000_t136" fillcolor="#000000" stroked="f">
            <o:extrusion v:ext="view" autorotationcenter="t"/>
            <v:textpath style="font-family:&quot;Arial Narrow&quot;;font-size:5pt;v-text-kern:t;mso-text-shadow:auto;font-weight:bold" string="606 / 655"/>
            <w10:wrap type="none"/>
          </v:shape>
        </w:pict>
      </w:r>
      <w:r>
        <w:rPr/>
        <w:pict>
          <v:shape style="position:absolute;margin-left:560.396497pt;margin-top:18.257541pt;width:20.5pt;height:5.85pt;mso-position-horizontal-relative:page;mso-position-vertical-relative:paragraph;z-index:251963392;rotation:282" type="#_x0000_t136" fillcolor="#000000" stroked="f">
            <o:extrusion v:ext="view" autorotationcenter="t"/>
            <v:textpath style="font-family:&quot;Arial Narrow&quot;;font-size:5pt;v-text-kern:t;mso-text-shadow:auto;font-weight:bold" string="395 / 786"/>
            <w10:wrap type="none"/>
          </v:shape>
        </w:pict>
      </w:r>
      <w:r>
        <w:rPr/>
        <w:pict>
          <v:shape style="position:absolute;margin-left:482.809357pt;margin-top:23.765144pt;width:20.4pt;height:5.85pt;mso-position-horizontal-relative:page;mso-position-vertical-relative:paragraph;z-index:251980800;rotation:348" type="#_x0000_t136" fillcolor="#000000" stroked="f">
            <o:extrusion v:ext="view" autorotationcenter="t"/>
            <v:textpath style="font-family:&quot;Arial Narrow&quot;;font-size:5pt;v-text-kern:t;mso-text-shadow:auto;font-weight:bold" string="190 / 190"/>
            <w10:wrap type="none"/>
          </v:shape>
        </w:pict>
      </w:r>
      <w:r>
        <w:rPr>
          <w:rFonts w:ascii="Arial Narrow"/>
          <w:b/>
          <w:w w:val="105"/>
          <w:sz w:val="11"/>
        </w:rPr>
        <w:t>115 / 55</w:t>
      </w:r>
    </w:p>
    <w:p>
      <w:pPr>
        <w:spacing w:before="232"/>
        <w:ind w:left="2916" w:right="3782" w:firstLine="0"/>
        <w:jc w:val="center"/>
        <w:rPr>
          <w:rFonts w:ascii="Arial"/>
          <w:b/>
          <w:sz w:val="13"/>
        </w:rPr>
      </w:pPr>
      <w:r>
        <w:rPr/>
        <w:br w:type="column"/>
      </w:r>
      <w:r>
        <w:rPr>
          <w:rFonts w:ascii="Arial Black"/>
          <w:color w:val="FFFFFF"/>
          <w:spacing w:val="-271"/>
          <w:w w:val="101"/>
          <w:position w:val="-2"/>
          <w:sz w:val="32"/>
        </w:rPr>
        <w:t>U</w:t>
      </w:r>
      <w:r>
        <w:rPr>
          <w:rFonts w:ascii="Arial Black"/>
          <w:spacing w:val="-252"/>
          <w:w w:val="108"/>
          <w:position w:val="-2"/>
          <w:sz w:val="32"/>
        </w:rPr>
        <w:t>V</w:t>
      </w:r>
      <w:r>
        <w:rPr>
          <w:rFonts w:ascii="Arial"/>
          <w:b/>
          <w:spacing w:val="-2"/>
          <w:w w:val="102"/>
          <w:sz w:val="13"/>
        </w:rPr>
        <w:t>2</w:t>
      </w:r>
      <w:r>
        <w:rPr>
          <w:rFonts w:ascii="Arial"/>
          <w:b/>
          <w:spacing w:val="3"/>
          <w:w w:val="102"/>
          <w:sz w:val="13"/>
        </w:rPr>
        <w:t>4</w:t>
      </w:r>
      <w:r>
        <w:rPr>
          <w:rFonts w:ascii="Arial"/>
          <w:b/>
          <w:w w:val="102"/>
          <w:sz w:val="13"/>
        </w:rPr>
        <w:t>0</w:t>
      </w:r>
    </w:p>
    <w:p>
      <w:pPr>
        <w:spacing w:after="0"/>
        <w:jc w:val="center"/>
        <w:rPr>
          <w:rFonts w:ascii="Arial"/>
          <w:sz w:val="13"/>
        </w:rPr>
        <w:sectPr>
          <w:type w:val="continuous"/>
          <w:pgSz w:w="15840" w:h="24480"/>
          <w:pgMar w:top="1480" w:bottom="1320" w:left="0" w:right="0"/>
          <w:cols w:num="3" w:equalWidth="0">
            <w:col w:w="5919" w:space="40"/>
            <w:col w:w="2861" w:space="39"/>
            <w:col w:w="6981"/>
          </w:cols>
        </w:sectPr>
      </w:pPr>
    </w:p>
    <w:p>
      <w:pPr>
        <w:pStyle w:val="BodyText"/>
        <w:spacing w:before="8"/>
        <w:rPr>
          <w:rFonts w:ascii="Arial"/>
          <w:b/>
          <w:sz w:val="10"/>
        </w:rPr>
      </w:pPr>
    </w:p>
    <w:p>
      <w:pPr>
        <w:spacing w:after="0"/>
        <w:rPr>
          <w:rFonts w:ascii="Arial"/>
          <w:sz w:val="10"/>
        </w:rPr>
        <w:sectPr>
          <w:type w:val="continuous"/>
          <w:pgSz w:w="15840" w:h="24480"/>
          <w:pgMar w:top="1480" w:bottom="1320" w:left="0" w:right="0"/>
        </w:sectPr>
      </w:pPr>
    </w:p>
    <w:p>
      <w:pPr>
        <w:spacing w:before="128"/>
        <w:ind w:left="0" w:right="0" w:firstLine="0"/>
        <w:jc w:val="right"/>
        <w:rPr>
          <w:rFonts w:ascii="Century Gothic"/>
          <w:b/>
          <w:sz w:val="13"/>
        </w:rPr>
      </w:pPr>
      <w:r>
        <w:rPr/>
        <w:pict>
          <v:shape style="position:absolute;margin-left:438.859766pt;margin-top:-7.819891pt;width:22.2pt;height:6.65pt;mso-position-horizontal-relative:page;mso-position-vertical-relative:paragraph;z-index:251893760;rotation:48" type="#_x0000_t136" fillcolor="#4d4d4d" stroked="f">
            <o:extrusion v:ext="view" autorotationcenter="t"/>
            <v:textpath style="font-family:&quot;Century Gothic&quot;;font-size:6pt;v-text-kern:t;mso-text-shadow:auto;font-weight:bold" string="Fuji Wy"/>
            <w10:wrap type="none"/>
          </v:shape>
        </w:pict>
      </w:r>
      <w:r>
        <w:rPr/>
        <w:pict>
          <v:shape style="position:absolute;margin-left:482.537903pt;margin-top:-6.913576pt;width:44.65pt;height:6.65pt;mso-position-horizontal-relative:page;mso-position-vertical-relative:paragraph;z-index:251983872;rotation:358" type="#_x0000_t136" fillcolor="#4d4d4d" stroked="f">
            <o:extrusion v:ext="view" autorotationcenter="t"/>
            <v:textpath style="font-family:&quot;Century Gothic&quot;;font-size:6pt;v-text-kern:t;mso-text-shadow:auto;font-weight:bold" string="Englewood Dr"/>
            <w10:wrap type="none"/>
          </v:shape>
        </w:pict>
      </w:r>
      <w:r>
        <w:rPr>
          <w:rFonts w:ascii="Century Gothic"/>
          <w:b/>
          <w:color w:val="4D4D4D"/>
          <w:sz w:val="13"/>
        </w:rPr>
        <w:t>Westcliffe Blvd</w:t>
      </w:r>
    </w:p>
    <w:p>
      <w:pPr>
        <w:spacing w:before="38"/>
        <w:ind w:left="0" w:right="104" w:firstLine="0"/>
        <w:jc w:val="right"/>
        <w:rPr>
          <w:rFonts w:ascii="Arial Narrow"/>
          <w:b/>
          <w:sz w:val="11"/>
        </w:rPr>
      </w:pPr>
      <w:r>
        <w:rPr/>
        <w:pict>
          <v:shape style="position:absolute;margin-left:716.778015pt;margin-top:19.451405pt;width:26pt;height:5.85pt;mso-position-horizontal-relative:page;mso-position-vertical-relative:paragraph;z-index:251865088;rotation:2" type="#_x0000_t136" fillcolor="#000000" stroked="f">
            <o:extrusion v:ext="view" autorotationcenter="t"/>
            <v:textpath style="font-family:&quot;Arial Narrow&quot;;font-size:5pt;v-text-kern:t;mso-text-shadow:auto;font-weight:bold" string="2640 / 1760"/>
            <w10:wrap type="none"/>
          </v:shape>
        </w:pict>
      </w:r>
      <w:r>
        <w:rPr/>
        <w:pict>
          <v:shape style="position:absolute;margin-left:677.335938pt;margin-top:29.472612pt;width:14.9pt;height:5.85pt;mso-position-horizontal-relative:page;mso-position-vertical-relative:paragraph;z-index:251873280;rotation:14" type="#_x0000_t136" fillcolor="#000000" stroked="f">
            <o:extrusion v:ext="view" autorotationcenter="t"/>
            <v:textpath style="font-family:&quot;Arial Narrow&quot;;font-size:5pt;v-text-kern:t;mso-text-shadow:auto;font-weight:bold" string="70 / 70"/>
            <w10:wrap type="none"/>
          </v:shape>
        </w:pict>
      </w:r>
      <w:r>
        <w:rPr/>
        <w:pict>
          <v:shape style="position:absolute;margin-left:645.380188pt;margin-top:11.525666pt;width:26.05pt;height:5.85pt;mso-position-horizontal-relative:page;mso-position-vertical-relative:paragraph;z-index:251877376;rotation:19" type="#_x0000_t136" fillcolor="#000000" stroked="f">
            <o:extrusion v:ext="view" autorotationcenter="t"/>
            <v:textpath style="font-family:&quot;Arial Narrow&quot;;font-size:5pt;v-text-kern:t;mso-text-shadow:auto;font-weight:bold" string="3180 / 2120"/>
            <w10:wrap type="none"/>
          </v:shape>
        </w:pict>
      </w:r>
      <w:r>
        <w:rPr/>
        <w:pict>
          <v:shape style="position:absolute;margin-left:639.650818pt;margin-top:21.329206pt;width:32.7pt;height:6.65pt;mso-position-horizontal-relative:page;mso-position-vertical-relative:paragraph;z-index:251879424;rotation:25" type="#_x0000_t136" fillcolor="#4d4d4d" stroked="f">
            <o:extrusion v:ext="view" autorotationcenter="t"/>
            <v:textpath style="font-family:&quot;Century Gothic&quot;;font-size:6pt;v-text-kern:t;mso-text-shadow:auto;font-weight:bold" string="Tapteal Dr"/>
            <w10:wrap type="none"/>
          </v:shape>
        </w:pict>
      </w:r>
      <w:r>
        <w:rPr/>
        <w:pict>
          <v:shape style="position:absolute;margin-left:482.634277pt;margin-top:13.530238pt;width:20.5pt;height:5.85pt;mso-position-horizontal-relative:page;mso-position-vertical-relative:paragraph;z-index:251890688;rotation:39" type="#_x0000_t136" fillcolor="#000000" stroked="f">
            <o:extrusion v:ext="view" autorotationcenter="t"/>
            <v:textpath style="font-family:&quot;Arial Narrow&quot;;font-size:5pt;v-text-kern:t;mso-text-shadow:auto;font-weight:bold" string="874 / 877"/>
            <w10:wrap type="none"/>
          </v:shape>
        </w:pict>
      </w:r>
      <w:r>
        <w:rPr/>
        <w:pict>
          <v:shape style="position:absolute;margin-left:516.396411pt;margin-top:40.607411pt;width:20.45pt;height:5.85pt;mso-position-horizontal-relative:page;mso-position-vertical-relative:paragraph;z-index:251892736;rotation:48" type="#_x0000_t136" fillcolor="#000000" stroked="f">
            <o:extrusion v:ext="view" autorotationcenter="t"/>
            <v:textpath style="font-family:&quot;Arial Narrow&quot;;font-size:5pt;v-text-kern:t;mso-text-shadow:auto;font-weight:bold" string="722 / 874"/>
            <w10:wrap type="none"/>
          </v:shape>
        </w:pict>
      </w:r>
      <w:r>
        <w:rPr/>
        <w:pict>
          <v:shape style="position:absolute;margin-left:550.908447pt;margin-top:15.208674pt;width:8.950pt;height:22.5pt;mso-position-horizontal-relative:page;mso-position-vertical-relative:paragraph;z-index:251942912" type="#_x0000_t202" filled="false" stroked="false">
            <v:textbox inset="0,0,0,0" style="layout-flow:vertical;mso-layout-flow-alt:bottom-to-top">
              <w:txbxContent>
                <w:p>
                  <w:pPr>
                    <w:spacing w:before="30"/>
                    <w:ind w:left="20" w:right="0" w:firstLine="0"/>
                    <w:jc w:val="left"/>
                    <w:rPr>
                      <w:rFonts w:ascii="Arial Narrow"/>
                      <w:b/>
                      <w:sz w:val="11"/>
                    </w:rPr>
                  </w:pPr>
                  <w:r>
                    <w:rPr>
                      <w:rFonts w:ascii="Arial Narrow"/>
                      <w:b/>
                      <w:w w:val="105"/>
                      <w:sz w:val="11"/>
                    </w:rPr>
                    <w:t>453 / 696</w:t>
                  </w:r>
                </w:p>
              </w:txbxContent>
            </v:textbox>
            <w10:wrap type="none"/>
          </v:shape>
        </w:pict>
      </w:r>
      <w:r>
        <w:rPr/>
        <w:pict>
          <v:shape style="position:absolute;margin-left:448.014178pt;margin-top:11.614695pt;width:27.75pt;height:6.65pt;mso-position-horizontal-relative:page;mso-position-vertical-relative:paragraph;z-index:251949056;rotation:272" type="#_x0000_t136" fillcolor="#4d4d4d" stroked="f">
            <o:extrusion v:ext="view" autorotationcenter="t"/>
            <v:textpath style="font-family:&quot;Century Gothic&quot;;font-size:6pt;v-text-kern:t;mso-text-shadow:auto;font-weight:bold" string="Gala Wy"/>
            <w10:wrap type="none"/>
          </v:shape>
        </w:pict>
      </w:r>
      <w:r>
        <w:rPr/>
        <w:pict>
          <v:shape style="position:absolute;margin-left:691.907202pt;margin-top:28.462144pt;width:26.05pt;height:5.85pt;mso-position-horizontal-relative:page;mso-position-vertical-relative:paragraph;z-index:251955200;rotation:273" type="#_x0000_t136" fillcolor="#000000" stroked="f">
            <o:extrusion v:ext="view" autorotationcenter="t"/>
            <v:textpath style="font-family:&quot;Arial Narrow&quot;;font-size:5pt;v-text-kern:t;mso-text-shadow:auto;font-weight:bold" string="1778 / 1733"/>
            <w10:wrap type="none"/>
          </v:shape>
        </w:pict>
      </w:r>
      <w:r>
        <w:rPr/>
        <w:pict>
          <v:shape style="position:absolute;margin-left:597.213879pt;margin-top:27.404926pt;width:20.5pt;height:5.85pt;mso-position-horizontal-relative:page;mso-position-vertical-relative:paragraph;z-index:251959296;rotation:279" type="#_x0000_t136" fillcolor="#000000" stroked="f">
            <o:extrusion v:ext="view" autorotationcenter="t"/>
            <v:textpath style="font-family:&quot;Arial Narrow&quot;;font-size:5pt;v-text-kern:t;mso-text-shadow:auto;font-weight:bold" string="103 / 141"/>
            <w10:wrap type="none"/>
          </v:shape>
        </w:pict>
      </w:r>
      <w:r>
        <w:rPr/>
        <w:pict>
          <v:shape style="position:absolute;margin-left:413.513672pt;margin-top:3.406002pt;width:20.45pt;height:5.85pt;mso-position-horizontal-relative:page;mso-position-vertical-relative:paragraph;z-index:251982848;rotation:355" type="#_x0000_t136" fillcolor="#000000" stroked="f">
            <o:extrusion v:ext="view" autorotationcenter="t"/>
            <v:textpath style="font-family:&quot;Arial Narrow&quot;;font-size:5pt;v-text-kern:t;mso-text-shadow:auto;font-weight:bold" string="190 / 190"/>
            <w10:wrap type="none"/>
          </v:shape>
        </w:pict>
      </w:r>
      <w:r>
        <w:rPr/>
        <w:pict>
          <v:shape style="position:absolute;margin-left:555.806763pt;margin-top:38.820717pt;width:34.1pt;height:6.65pt;mso-position-horizontal-relative:page;mso-position-vertical-relative:paragraph;z-index:251986944;rotation:359" type="#_x0000_t136" fillcolor="#4d4d4d" stroked="f">
            <o:extrusion v:ext="view" autorotationcenter="t"/>
            <v:textpath style="font-family:&quot;Century Gothic&quot;;font-size:6pt;v-text-kern:t;mso-text-shadow:auto;font-weight:bold" string="Gage Blvd"/>
            <w10:wrap type="none"/>
          </v:shape>
        </w:pict>
      </w:r>
      <w:r>
        <w:rPr/>
        <w:pict>
          <v:shape style="position:absolute;margin-left:564.041748pt;margin-top:49.223068pt;width:60.9pt;height:5.85pt;mso-position-horizontal-relative:page;mso-position-vertical-relative:paragraph;z-index:251987968;rotation:359" type="#_x0000_t136" fillcolor="#000000" stroked="f">
            <o:extrusion v:ext="view" autorotationcenter="t"/>
            <v:textpath style="font-family:&quot;Arial Narrow&quot;;font-size:5pt;v-text-kern:t;mso-text-shadow:auto;font-weight:bold" string="832 / 1014 967 / 1231"/>
            <w10:wrap type="none"/>
          </v:shape>
        </w:pict>
      </w:r>
      <w:r>
        <w:rPr>
          <w:rFonts w:ascii="Arial Narrow"/>
          <w:b/>
          <w:w w:val="105"/>
          <w:sz w:val="11"/>
        </w:rPr>
        <w:t>190 / 190</w:t>
      </w:r>
    </w:p>
    <w:p>
      <w:pPr>
        <w:spacing w:before="101"/>
        <w:ind w:left="4253" w:right="0" w:firstLine="0"/>
        <w:jc w:val="left"/>
        <w:rPr>
          <w:rFonts w:ascii="Arial Narrow"/>
          <w:b/>
          <w:sz w:val="11"/>
        </w:rPr>
      </w:pPr>
      <w:r>
        <w:rPr/>
        <w:br w:type="column"/>
      </w:r>
      <w:r>
        <w:rPr>
          <w:rFonts w:ascii="Arial Narrow"/>
          <w:b/>
          <w:w w:val="105"/>
          <w:position w:val="1"/>
          <w:sz w:val="11"/>
        </w:rPr>
        <w:t>3</w:t>
      </w:r>
      <w:r>
        <w:rPr>
          <w:rFonts w:ascii="Arial Narrow"/>
          <w:b/>
          <w:w w:val="105"/>
          <w:sz w:val="11"/>
        </w:rPr>
        <w:t>14 / 346</w:t>
      </w:r>
    </w:p>
    <w:p>
      <w:pPr>
        <w:spacing w:after="0"/>
        <w:jc w:val="left"/>
        <w:rPr>
          <w:rFonts w:ascii="Arial Narrow"/>
          <w:sz w:val="11"/>
        </w:rPr>
        <w:sectPr>
          <w:type w:val="continuous"/>
          <w:pgSz w:w="15840" w:h="24480"/>
          <w:pgMar w:top="1480" w:bottom="1320" w:left="0" w:right="0"/>
          <w:cols w:num="2" w:equalWidth="0">
            <w:col w:w="9238" w:space="40"/>
            <w:col w:w="6562"/>
          </w:cols>
        </w:sectPr>
      </w:pPr>
    </w:p>
    <w:p>
      <w:pPr>
        <w:pStyle w:val="BodyText"/>
        <w:rPr>
          <w:rFonts w:ascii="Arial Narrow"/>
          <w:b/>
          <w:sz w:val="20"/>
        </w:rPr>
      </w:pPr>
    </w:p>
    <w:p>
      <w:pPr>
        <w:pStyle w:val="BodyText"/>
        <w:rPr>
          <w:rFonts w:ascii="Arial Narrow"/>
          <w:b/>
          <w:sz w:val="20"/>
        </w:rPr>
      </w:pPr>
    </w:p>
    <w:p>
      <w:pPr>
        <w:pStyle w:val="BodyText"/>
        <w:spacing w:before="6"/>
        <w:rPr>
          <w:rFonts w:ascii="Arial Narrow"/>
          <w:b/>
        </w:rPr>
      </w:pPr>
    </w:p>
    <w:p>
      <w:pPr>
        <w:spacing w:after="0"/>
        <w:rPr>
          <w:rFonts w:ascii="Arial Narrow"/>
        </w:rPr>
        <w:sectPr>
          <w:type w:val="continuous"/>
          <w:pgSz w:w="15840" w:h="24480"/>
          <w:pgMar w:top="1480" w:bottom="1320" w:left="0" w:right="0"/>
        </w:sectPr>
      </w:pPr>
    </w:p>
    <w:p>
      <w:pPr>
        <w:spacing w:before="95"/>
        <w:ind w:left="1093" w:right="0" w:firstLine="0"/>
        <w:jc w:val="left"/>
        <w:rPr>
          <w:rFonts w:ascii="Arial"/>
          <w:b/>
          <w:sz w:val="24"/>
        </w:rPr>
      </w:pPr>
      <w:r>
        <w:rPr/>
        <w:pict>
          <v:shape style="position:absolute;margin-left:448.654663pt;margin-top:-7.155861pt;width:31.25pt;height:6.65pt;mso-position-horizontal-relative:page;mso-position-vertical-relative:paragraph;z-index:251881472;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233.99942pt;margin-top:2.448797pt;width:10.5pt;height:31.7pt;mso-position-horizontal-relative:page;mso-position-vertical-relative:paragraph;z-index:251919360" type="#_x0000_t202" filled="false" stroked="false">
            <v:textbox inset="0,0,0,0" style="layout-flow:vertical;mso-layout-flow-alt:bottom-to-top">
              <w:txbxContent>
                <w:p>
                  <w:pPr>
                    <w:spacing w:before="18"/>
                    <w:ind w:left="20" w:right="0" w:firstLine="0"/>
                    <w:jc w:val="left"/>
                    <w:rPr>
                      <w:rFonts w:ascii="Century Gothic"/>
                      <w:b/>
                      <w:sz w:val="13"/>
                    </w:rPr>
                  </w:pPr>
                  <w:r>
                    <w:rPr>
                      <w:rFonts w:ascii="Century Gothic"/>
                      <w:b/>
                      <w:color w:val="4D4D4D"/>
                      <w:position w:val="1"/>
                      <w:sz w:val="13"/>
                    </w:rPr>
                    <w:t>D</w:t>
                  </w:r>
                  <w:r>
                    <w:rPr>
                      <w:rFonts w:ascii="Century Gothic"/>
                      <w:b/>
                      <w:color w:val="4D4D4D"/>
                      <w:sz w:val="13"/>
                    </w:rPr>
                    <w:t>allas Rd</w:t>
                  </w:r>
                </w:p>
              </w:txbxContent>
            </v:textbox>
            <w10:wrap type="none"/>
          </v:shape>
        </w:pict>
      </w:r>
      <w:r>
        <w:rPr>
          <w:rFonts w:ascii="Arial"/>
          <w:b/>
          <w:sz w:val="24"/>
        </w:rPr>
        <w:t>Peak Traffic Volume (5 PM)</w:t>
      </w:r>
    </w:p>
    <w:p>
      <w:pPr>
        <w:spacing w:before="174"/>
        <w:ind w:left="2359" w:right="0" w:firstLine="0"/>
        <w:jc w:val="left"/>
        <w:rPr>
          <w:rFonts w:ascii="Arial"/>
          <w:sz w:val="17"/>
        </w:rPr>
      </w:pPr>
      <w:r>
        <w:rPr>
          <w:rFonts w:ascii="Arial"/>
          <w:sz w:val="17"/>
        </w:rPr>
        <w:t>Up to 200</w:t>
      </w:r>
    </w:p>
    <w:p>
      <w:pPr>
        <w:spacing w:before="142"/>
        <w:ind w:left="2359" w:right="0" w:firstLine="0"/>
        <w:jc w:val="left"/>
        <w:rPr>
          <w:rFonts w:ascii="Arial"/>
          <w:sz w:val="17"/>
        </w:rPr>
      </w:pPr>
      <w:r>
        <w:rPr>
          <w:rFonts w:ascii="Arial"/>
          <w:sz w:val="17"/>
        </w:rPr>
        <w:t>201 to 500</w:t>
      </w:r>
    </w:p>
    <w:p>
      <w:pPr>
        <w:spacing w:before="143"/>
        <w:ind w:left="2359" w:right="0" w:firstLine="0"/>
        <w:jc w:val="left"/>
        <w:rPr>
          <w:rFonts w:ascii="Arial"/>
          <w:sz w:val="17"/>
        </w:rPr>
      </w:pPr>
      <w:r>
        <w:rPr>
          <w:rFonts w:ascii="Arial"/>
          <w:sz w:val="17"/>
        </w:rPr>
        <w:t>501 to 1000</w:t>
      </w:r>
    </w:p>
    <w:p>
      <w:pPr>
        <w:spacing w:before="142"/>
        <w:ind w:left="2359" w:right="0" w:firstLine="0"/>
        <w:jc w:val="left"/>
        <w:rPr>
          <w:rFonts w:ascii="Arial"/>
          <w:sz w:val="17"/>
        </w:rPr>
      </w:pPr>
      <w:r>
        <w:rPr>
          <w:rFonts w:ascii="Arial"/>
          <w:sz w:val="17"/>
        </w:rPr>
        <w:t>1001 to 1500</w:t>
      </w:r>
    </w:p>
    <w:p>
      <w:pPr>
        <w:spacing w:before="142"/>
        <w:ind w:left="2359" w:right="0" w:firstLine="0"/>
        <w:jc w:val="left"/>
        <w:rPr>
          <w:rFonts w:ascii="Arial"/>
          <w:sz w:val="17"/>
        </w:rPr>
      </w:pPr>
      <w:r>
        <w:rPr>
          <w:rFonts w:ascii="Arial"/>
          <w:sz w:val="17"/>
        </w:rPr>
        <w:t>More than 1500</w:t>
      </w:r>
    </w:p>
    <w:p>
      <w:pPr>
        <w:spacing w:before="147"/>
        <w:ind w:left="2359" w:right="0" w:firstLine="0"/>
        <w:jc w:val="left"/>
        <w:rPr>
          <w:rFonts w:ascii="Arial"/>
          <w:sz w:val="16"/>
        </w:rPr>
      </w:pPr>
      <w:r>
        <w:rPr/>
        <w:pict>
          <v:shape style="position:absolute;margin-left:509.789154pt;margin-top:31.978783pt;width:29.1pt;height:6.65pt;mso-position-horizontal-relative:page;mso-position-vertical-relative:paragraph;z-index:251864064;rotation:1" type="#_x0000_t136" fillcolor="#4d4d4d" stroked="f">
            <o:extrusion v:ext="view" autorotationcenter="t"/>
            <v:textpath style="font-family:&quot;Century Gothic&quot;;font-size:6pt;v-text-kern:t;mso-text-shadow:auto;font-weight:bold" string="Reata Rd"/>
            <w10:wrap type="none"/>
          </v:shape>
        </w:pict>
      </w:r>
      <w:r>
        <w:rPr/>
        <w:pict>
          <v:shape style="position:absolute;margin-left:504.241241pt;margin-top:43.078518pt;width:20.4pt;height:5.85pt;mso-position-horizontal-relative:page;mso-position-vertical-relative:paragraph;z-index:251867136;rotation:6" type="#_x0000_t136" fillcolor="#000000" stroked="f">
            <o:extrusion v:ext="view" autorotationcenter="t"/>
            <v:textpath style="font-family:&quot;Arial Narrow&quot;;font-size:5pt;v-text-kern:t;mso-text-shadow:auto;font-weight:bold" string="191 / 266"/>
            <w10:wrap type="none"/>
          </v:shape>
        </w:pict>
      </w:r>
      <w:r>
        <w:rPr/>
        <w:pict>
          <v:shape style="position:absolute;margin-left:549.853467pt;margin-top:25.583478pt;width:20.5pt;height:5.85pt;mso-position-horizontal-relative:page;mso-position-vertical-relative:paragraph;z-index:251958272;rotation:278" type="#_x0000_t136" fillcolor="#000000" stroked="f">
            <o:extrusion v:ext="view" autorotationcenter="t"/>
            <v:textpath style="font-family:&quot;Arial Narrow&quot;;font-size:5pt;v-text-kern:t;mso-text-shadow:auto;font-weight:bold" string="458 / 454"/>
            <w10:wrap type="none"/>
          </v:shape>
        </w:pict>
      </w:r>
      <w:r>
        <w:rPr>
          <w:rFonts w:ascii="Arial"/>
          <w:sz w:val="16"/>
        </w:rPr>
        <w:t>No Count Data</w:t>
      </w:r>
    </w:p>
    <w:p>
      <w:pPr>
        <w:spacing w:before="116"/>
        <w:ind w:left="0" w:right="0" w:firstLine="0"/>
        <w:jc w:val="right"/>
        <w:rPr>
          <w:rFonts w:ascii="Arial Narrow"/>
          <w:b/>
          <w:sz w:val="11"/>
        </w:rPr>
      </w:pPr>
      <w:r>
        <w:rPr/>
        <w:br w:type="column"/>
      </w:r>
      <w:r>
        <w:rPr>
          <w:rFonts w:ascii="Arial Narrow"/>
          <w:b/>
          <w:w w:val="105"/>
          <w:sz w:val="11"/>
        </w:rPr>
        <w:t>256 / 382</w:t>
      </w:r>
    </w:p>
    <w:p>
      <w:pPr>
        <w:spacing w:before="117"/>
        <w:ind w:left="342" w:right="0" w:firstLine="0"/>
        <w:jc w:val="left"/>
        <w:rPr>
          <w:rFonts w:ascii="Arial Narrow"/>
          <w:b/>
          <w:sz w:val="11"/>
        </w:rPr>
      </w:pPr>
      <w:r>
        <w:rPr/>
        <w:br w:type="column"/>
      </w:r>
      <w:r>
        <w:rPr>
          <w:rFonts w:ascii="Arial Narrow"/>
          <w:b/>
          <w:w w:val="105"/>
          <w:position w:val="1"/>
          <w:sz w:val="11"/>
        </w:rPr>
        <w:t>8</w:t>
      </w:r>
      <w:r>
        <w:rPr>
          <w:rFonts w:ascii="Arial Narrow"/>
          <w:b/>
          <w:w w:val="105"/>
          <w:sz w:val="11"/>
        </w:rPr>
        <w:t>04 / 1035</w:t>
      </w:r>
    </w:p>
    <w:p>
      <w:pPr>
        <w:pStyle w:val="BodyText"/>
        <w:rPr>
          <w:rFonts w:ascii="Arial Narrow"/>
          <w:b/>
          <w:sz w:val="26"/>
        </w:rPr>
      </w:pPr>
      <w:r>
        <w:rPr/>
        <w:br w:type="column"/>
      </w:r>
      <w:r>
        <w:rPr>
          <w:rFonts w:ascii="Arial Narrow"/>
          <w:b/>
          <w:sz w:val="26"/>
        </w:rPr>
      </w:r>
    </w:p>
    <w:p>
      <w:pPr>
        <w:pStyle w:val="BodyText"/>
        <w:rPr>
          <w:rFonts w:ascii="Arial Narrow"/>
          <w:b/>
          <w:sz w:val="26"/>
        </w:rPr>
      </w:pPr>
    </w:p>
    <w:p>
      <w:pPr>
        <w:pStyle w:val="BodyText"/>
        <w:rPr>
          <w:rFonts w:ascii="Arial Narrow"/>
          <w:b/>
          <w:sz w:val="26"/>
        </w:rPr>
      </w:pPr>
    </w:p>
    <w:p>
      <w:pPr>
        <w:pStyle w:val="BodyText"/>
        <w:rPr>
          <w:rFonts w:ascii="Arial Narrow"/>
          <w:b/>
          <w:sz w:val="26"/>
        </w:rPr>
      </w:pPr>
    </w:p>
    <w:p>
      <w:pPr>
        <w:spacing w:before="183"/>
        <w:ind w:left="1093" w:right="0" w:firstLine="0"/>
        <w:jc w:val="left"/>
        <w:rPr>
          <w:rFonts w:ascii="Arial"/>
          <w:sz w:val="24"/>
        </w:rPr>
      </w:pPr>
      <w:r>
        <w:rPr/>
        <w:pict>
          <v:shape style="position:absolute;margin-left:585.265918pt;margin-top:10.510074pt;width:14.95pt;height:5.85pt;mso-position-horizontal-relative:page;mso-position-vertical-relative:paragraph;z-index:251908096;rotation:74" type="#_x0000_t136" fillcolor="#000000" stroked="f">
            <o:extrusion v:ext="view" autorotationcenter="t"/>
            <v:textpath style="font-family:&quot;Arial Narrow&quot;;font-size:5pt;v-text-kern:t;mso-text-shadow:auto;font-weight:bold" string="50 / 50"/>
            <w10:wrap type="none"/>
          </v:shape>
        </w:pict>
      </w:r>
      <w:r>
        <w:rPr/>
        <w:pict>
          <v:shape style="position:absolute;margin-left:595.561658pt;margin-top:-31.741177pt;width:36.050pt;height:6.65pt;mso-position-horizontal-relative:page;mso-position-vertical-relative:paragraph;z-index:251909120;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586.164478pt;margin-top:-29.991916pt;width:20.45pt;height:5.85pt;mso-position-horizontal-relative:page;mso-position-vertical-relative:paragraph;z-index:251913216;rotation:80" type="#_x0000_t136" fillcolor="#000000" stroked="f">
            <o:extrusion v:ext="view" autorotationcenter="t"/>
            <v:textpath style="font-family:&quot;Arial Narrow&quot;;font-size:5pt;v-text-kern:t;mso-text-shadow:auto;font-weight:bold" string="251 / 296"/>
            <w10:wrap type="none"/>
          </v:shape>
        </w:pict>
      </w:r>
      <w:r>
        <w:rPr/>
        <w:pict>
          <v:shape style="position:absolute;margin-left:536.930603pt;margin-top:-45.19389pt;width:22.4pt;height:29.8pt;mso-position-horizontal-relative:page;mso-position-vertical-relative:paragraph;z-index:251941888"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position w:val="1"/>
                      <w:sz w:val="13"/>
                    </w:rPr>
                    <w:t>Le</w:t>
                  </w:r>
                  <w:r>
                    <w:rPr>
                      <w:rFonts w:ascii="Century Gothic"/>
                      <w:b/>
                      <w:color w:val="4D4D4D"/>
                      <w:sz w:val="13"/>
                    </w:rPr>
                    <w:t>slie Rd</w:t>
                  </w:r>
                </w:p>
                <w:p>
                  <w:pPr>
                    <w:spacing w:before="100"/>
                    <w:ind w:left="63" w:right="0" w:firstLine="0"/>
                    <w:jc w:val="left"/>
                    <w:rPr>
                      <w:rFonts w:ascii="Arial Narrow"/>
                      <w:b/>
                      <w:sz w:val="11"/>
                    </w:rPr>
                  </w:pPr>
                  <w:r>
                    <w:rPr>
                      <w:rFonts w:ascii="Arial Narrow"/>
                      <w:b/>
                      <w:w w:val="105"/>
                      <w:position w:val="1"/>
                      <w:sz w:val="11"/>
                    </w:rPr>
                    <w:t>5</w:t>
                  </w:r>
                  <w:r>
                    <w:rPr>
                      <w:rFonts w:ascii="Arial Narrow"/>
                      <w:b/>
                      <w:w w:val="105"/>
                      <w:sz w:val="11"/>
                    </w:rPr>
                    <w:t>95 / 818</w:t>
                  </w:r>
                </w:p>
              </w:txbxContent>
            </v:textbox>
            <w10:wrap type="none"/>
          </v:shape>
        </w:pict>
      </w:r>
      <w:r>
        <w:rPr/>
        <w:pict>
          <v:shape style="position:absolute;margin-left:616.731567pt;margin-top:-52.069881pt;width:11.45pt;height:68.650pt;mso-position-horizontal-relative:page;mso-position-vertical-relative:paragraph;z-index:251944960" type="#_x0000_t202" filled="false" stroked="false">
            <v:textbox inset="0,0,0,0" style="layout-flow:vertical;mso-layout-flow-alt:bottom-to-top">
              <w:txbxContent>
                <w:p>
                  <w:pPr>
                    <w:tabs>
                      <w:tab w:pos="1351" w:val="left" w:leader="none"/>
                    </w:tabs>
                    <w:spacing w:before="48"/>
                    <w:ind w:left="20" w:right="0" w:firstLine="0"/>
                    <w:jc w:val="left"/>
                    <w:rPr>
                      <w:rFonts w:ascii="Century Gothic"/>
                      <w:b/>
                      <w:sz w:val="13"/>
                    </w:rPr>
                  </w:pPr>
                  <w:r>
                    <w:rPr>
                      <w:rFonts w:ascii="Century Gothic"/>
                      <w:b/>
                      <w:color w:val="4D4D4D"/>
                      <w:w w:val="102"/>
                      <w:sz w:val="13"/>
                      <w:u w:val="thick" w:color="B2B2B2"/>
                    </w:rPr>
                    <w:t> </w:t>
                  </w:r>
                  <w:r>
                    <w:rPr>
                      <w:rFonts w:ascii="Century Gothic"/>
                      <w:b/>
                      <w:color w:val="4D4D4D"/>
                      <w:sz w:val="13"/>
                      <w:u w:val="thick" w:color="B2B2B2"/>
                    </w:rPr>
                    <w:tab/>
                  </w:r>
                </w:p>
              </w:txbxContent>
            </v:textbox>
            <w10:wrap type="none"/>
          </v:shape>
        </w:pict>
      </w:r>
      <w:r>
        <w:rPr>
          <w:rFonts w:ascii="Arial"/>
          <w:emboss/>
          <w:color w:val="757576"/>
          <w:sz w:val="24"/>
        </w:rPr>
        <w:t>K</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w</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k</w:t>
      </w:r>
    </w:p>
    <w:p>
      <w:pPr>
        <w:spacing w:after="0"/>
        <w:jc w:val="left"/>
        <w:rPr>
          <w:rFonts w:ascii="Arial"/>
          <w:sz w:val="24"/>
        </w:rPr>
        <w:sectPr>
          <w:type w:val="continuous"/>
          <w:pgSz w:w="15840" w:h="24480"/>
          <w:pgMar w:top="1480" w:bottom="1320" w:left="0" w:right="0"/>
          <w:cols w:num="4" w:equalWidth="0">
            <w:col w:w="4295" w:space="4586"/>
            <w:col w:w="1504" w:space="40"/>
            <w:col w:w="848" w:space="372"/>
            <w:col w:w="4195"/>
          </w:cols>
        </w:sectPr>
      </w:pPr>
    </w:p>
    <w:p>
      <w:pPr>
        <w:pStyle w:val="BodyText"/>
        <w:rPr>
          <w:rFonts w:ascii="Arial"/>
          <w:sz w:val="20"/>
        </w:rPr>
      </w:pPr>
    </w:p>
    <w:p>
      <w:pPr>
        <w:pStyle w:val="BodyText"/>
        <w:spacing w:before="9"/>
        <w:rPr>
          <w:rFonts w:ascii="Arial"/>
          <w:sz w:val="16"/>
        </w:rPr>
      </w:pPr>
    </w:p>
    <w:p>
      <w:pPr>
        <w:spacing w:after="0"/>
        <w:rPr>
          <w:rFonts w:ascii="Arial"/>
          <w:sz w:val="16"/>
        </w:rPr>
        <w:sectPr>
          <w:type w:val="continuous"/>
          <w:pgSz w:w="15840" w:h="24480"/>
          <w:pgMar w:top="1480" w:bottom="1320" w:left="0" w:right="0"/>
        </w:sectPr>
      </w:pPr>
    </w:p>
    <w:p>
      <w:pPr>
        <w:tabs>
          <w:tab w:pos="2808" w:val="left" w:leader="none"/>
        </w:tabs>
        <w:spacing w:line="252" w:lineRule="auto" w:before="136"/>
        <w:ind w:left="1024" w:right="38" w:firstLine="0"/>
        <w:jc w:val="left"/>
        <w:rPr>
          <w:rFonts w:ascii="Arial Narrow"/>
          <w:b/>
          <w:sz w:val="14"/>
        </w:rPr>
      </w:pPr>
      <w:r>
        <w:rPr/>
        <w:pict>
          <v:group style="position:absolute;margin-left:34.478645pt;margin-top:35.445774pt;width:722.3pt;height:1153.1pt;mso-position-horizontal-relative:page;mso-position-vertical-relative:page;z-index:-268175360" coordorigin="690,709" coordsize="14446,23062">
            <v:rect style="position:absolute;left:720;top:2879;width:14401;height:20880" filled="true" fillcolor="#e5e2cf" stroked="false">
              <v:fill type="solid"/>
            </v:rect>
            <v:shape style="position:absolute;left:717;top:3275;width:14412;height:20493" type="#_x0000_t75" stroked="false">
              <v:imagedata r:id="rId161" o:title=""/>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3.04631pt" strokecolor="#9c9c9c">
              <v:path arrowok="t"/>
              <v:stroke dashstyle="solid"/>
            </v:shape>
            <v:shape style="position:absolute;left:9568;top:5928;width:194;height:150" type="#_x0000_t75" stroked="false">
              <v:imagedata r:id="rId162"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3.04631pt" strokecolor="#9c9c9c">
              <v:path arrowok="t"/>
              <v:stroke dashstyle="solid"/>
            </v:shape>
            <v:shape style="position:absolute;left:13334;top:19254;width:338;height:161" type="#_x0000_t75" stroked="false">
              <v:imagedata r:id="rId163"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3.04631pt" strokecolor="#9c9c9c">
              <v:path arrowok="t"/>
              <v:stroke dashstyle="solid"/>
            </v:shape>
            <v:shape style="position:absolute;left:714;top:2871;width:14421;height:20858" type="#_x0000_t75" stroked="false">
              <v:imagedata r:id="rId164" o:title=""/>
            </v:shape>
            <v:shape style="position:absolute;left:1473;top:5100;width:3451;height:1047" coordorigin="1473,5101" coordsize="3451,1047" path="m1473,5129l1479,5123,1479,5117,1484,5117,1484,5112,1490,5112,1490,5106,1495,5106,1501,5106,1501,5101,1540,5101,4924,6148e" filled="false" stroked="true" strokeweight=".55387pt" strokecolor="#b2b2b2">
              <v:path arrowok="t"/>
              <v:stroke dashstyle="solid"/>
            </v:shape>
            <v:shape style="position:absolute;left:714;top:4549;width:14418;height:19222" type="#_x0000_t75" stroked="false">
              <v:imagedata r:id="rId130" o:title=""/>
            </v:shape>
            <v:line style="position:absolute" from="10058,5943" to="10058,6308" stroked="true" strokeweight="2.21549pt" strokecolor="#b2b2b2">
              <v:stroke dashstyle="solid"/>
            </v:line>
            <v:shape style="position:absolute;left:9377;top:3223;width:809;height:2172" coordorigin="9377,3223" coordsize="809,2172" path="m10186,5394l10186,5300m10186,5300l10180,5151,10180,5068,10180,5057m9405,4209l9388,4209m9410,4647l9388,4647m9377,3223l9388,4209m9405,4209l9394,3223e" filled="false" stroked="true" strokeweight=".55387pt" strokecolor="#b2b2b2">
              <v:path arrowok="t"/>
              <v:stroke dashstyle="solid"/>
            </v:shape>
            <v:shape style="position:absolute;left:9367;top:2874;width:199;height:421" type="#_x0000_t75" stroked="false">
              <v:imagedata r:id="rId65" o:title=""/>
            </v:shape>
            <v:shape style="position:absolute;left:720;top:16127;width:4509;height:5212" coordorigin="720,16128" coordsize="4509,5212" path="m4708,20187l4658,20071,4553,19789,4492,19623,3966,18155,3827,17861,3700,17673,3512,17479,2243,16571m2243,16571l2238,16565,2232,16565,2227,16560,2221,16554,2215,16554,2210,16549,2204,16543,2199,16543,2193,16538,2188,16532,2182,16532,2177,16527,2171,16521,2166,16521,2160,16516,2155,16510,2149,16510,2143,16504,2138,16499,2132,16499,2127,16493,2121,16488,2116,16488,2110,16482,2105,16482,2099,16477,2094,16471,2088,16471,2083,16466,2077,16466,2071,16460,2066,16455,2060,16455,2055,16449,2049,16449,2044,16444,2038,16438,2033,16438,2027,16432,2022,16432,2016,16427,2011,16427,2005,16421,1999,16421,1994,16416,1988,16410,1983,16410,1977,16405,1972,16405,1966,16399,1961,16399,1955,16394,1950,16394,1944,16388,1939,16388,1933,16383,1927,16383,1922,16377,1916,16377,1911,16372,1905,16372,1900,16366,1894,16366,1889,16360,1883,16360,1878,16355,1872,16355,1867,16349,1861,16349,1855,16344,1850,16344,1844,16344,1839,16338,1833,16338,1828,16333,1822,16333,1817,16327,1811,16327,1806,16322,1800,16322,1795,16322,1789,16316,1783,16316,1778,16311,1772,16311,1767,16311,1761,16305,1756,16305,1750,16300,1745,16300,1739,16294,1734,16294,1728,16294,1723,16288,1717,16288,1711,16288,1706,16283,1700,16283,1695,16277,1689,16277,1684,16277,1678,16272,1673,16272,1667,16272,1662,16266,1656,16266,1651,16261,1645,16261,1639,16261,1634,16255,1628,16255,1623,16255,1617,16250,1612,16250,1606,16250,1601,16244,1595,16244,1590,16244,1584,16239,1579,16239,1573,16239,1567,16233,1562,16233,1556,16233,1551,16233,1545,16228,1540,16228,1534,16228,1529,16222,1523,16222,1518,16222,1512,16222,1507,16216,1501,16216,1495,16216,1490,16211,1484,16211,1479,16211,1473,16211,1468,16205,1462,16205,1457,16205,1451,16205,1446,16200,1440,16200,1435,16200,1429,16200,1423,16194,1418,16194,1412,16194,1407,16194,1401,16189,1396,16189,1390,16189,1385,16189,1379,16183,1374,16183,1368,16183,1363,16183,1357,16183,1351,16178,1346,16178,1340,16178,1335,16178,1329,16172,1324,16172,1318,16172,1313,16172,1307,16172,1302,16172,1296,16167,1291,16167,1285,16167,1279,16167,1274,16167,1268,16161,1263,16161,1257,16161,1252,16161,1246,16161,1241,16161,1235,16156,1230,16156,1224,16156,1219,16156,1213,16156,1207,16156,1202,16150,1196,16150,1191,16150,1185,16150,1180,16150,1174,16150,1169,16150,1163,16150,1158,16144,1152,16144,1147,16144,1141,16144,1135,16144,1130,16144,1124,16144,1119,16144,1113,16139,1108,16139,1102,16139,1097,16139,1091,16139,1086,16139,1080,16139,1075,16139,1069,16139,1063,16139,1058,16139,1052,16133,1047,16133,1041,16133,1036,16133,1030,16133,1025,16133,1019,16133,1014,16133,1008,16133,1003,16133,997,16133,991,16133,986,16133,980,16133,975,16133,969,16128,964,16128,958,16128,953,16128,947,16128,942,16128,936,16128,931,16128,925,16128,919,16128,914,16128,908,16128,903,16128,897,16128,892,16128,886,16128,881,16128,875,16128,870,16128,864,16128,859,16128,853,16128,847,16128,842,16128,836,16128,831,16128,825,16128,820,16128,814,16128,809,16128,803,16128,798,16128,792,16128,787,16128,781,16128,775,16128,770,16128,764,16128,759,16128,753,16128,748,16128,742,16133,737,16133,731,16133,726,16133,720,16133m4896,20880l4941,20913m4941,20913l4974,20952m4974,20952l5079,21123,5229,21339m4896,20880l4852,20835m4852,20835l4846,20830,4841,20824,4835,20819,4835,20813,4830,20808,4824,20802,4824,20797,4819,20791,4819,20786,4819,20780,4819,20775,4813,20769,4813,20763,4813,20758,4813,20752,4813,20747,4813,20741e" filled="false" stroked="true" strokeweight=".55387pt" strokecolor="#b2b2b2">
              <v:path arrowok="t"/>
              <v:stroke dashstyle="solid"/>
            </v:shape>
            <v:line style="position:absolute" from="4819,20631" to="4819,20747" stroked="true" strokeweight="1.10774pt" strokecolor="#b2b2b2">
              <v:stroke dashstyle="solid"/>
            </v:line>
            <v:shape style="position:absolute;left:4431;top:19639;width:466;height:1280" coordorigin="4431,19639" coordsize="466,1280" path="m4824,20636l4824,20631,4824,20625,4824,20619,4824,20614,4824,20608,4824,20603,4824,20597,4824,20592,4824,20586,4824,20581,4819,20575,4819,20570,4819,20564,4819,20559,4819,20553,4813,20547m4813,20547l4725,20304m4896,20880l4863,20919m4431,19639l4597,20088,4730,20403e" filled="false" stroked="true" strokeweight=".55387pt" strokecolor="#b2b2b2">
              <v:path arrowok="t"/>
              <v:stroke dashstyle="solid"/>
            </v:shape>
            <v:shape style="position:absolute;left:4724;top:20397;width:144;height:527" type="#_x0000_t75" stroked="false">
              <v:imagedata r:id="rId66" o:title=""/>
            </v:shape>
            <v:shape style="position:absolute;left:4702;top:7404;width:527;height:13935" coordorigin="4702,7405" coordsize="527,13935" path="m5229,21339l5157,21223,5051,21018,4957,20813m4957,20813l4785,20431,4725,20304m4907,7427l4725,7421m4725,7421l4719,7421,4713,7421,4708,7416,4702,7410,4702,7405e" filled="false" stroked="true" strokeweight=".55387pt" strokecolor="#b2b2b2">
              <v:path arrowok="t"/>
              <v:stroke dashstyle="solid"/>
            </v:shape>
            <v:shape style="position:absolute;left:8452;top:19107;width:205;height:493" type="#_x0000_t75" stroked="false">
              <v:imagedata r:id="rId67" o:title=""/>
            </v:shape>
            <v:shape style="position:absolute;left:9565;top:18492;width:637;height:178" type="#_x0000_t75" stroked="false">
              <v:imagedata r:id="rId68" o:title=""/>
            </v:shape>
            <v:shape style="position:absolute;left:8795;top:19107;width:183;height:311" type="#_x0000_t75" stroked="false">
              <v:imagedata r:id="rId69" o:title=""/>
            </v:shape>
            <v:shape style="position:absolute;left:9150;top:19528;width:261;height:78" coordorigin="9150,19528" coordsize="261,78" path="m9150,19595l9167,19595m9167,19595l9183,19589m9183,19589l9205,19573m9205,19573l9211,19573m9211,19573l9228,19545m9228,19545l9233,19540,9239,19534,9244,19534,9250,19528,9255,19528,9261,19528m9261,19528l9410,19528m9211,19573l9216,19584m9216,19584l9222,19589,9228,19595,9233,19595,9239,19600,9244,19600,9250,19606,9255,19606,9261,19606e" filled="false" stroked="true" strokeweight=".55387pt" strokecolor="#b2b2b2">
              <v:path arrowok="t"/>
              <v:stroke dashstyle="solid"/>
            </v:shape>
            <v:line style="position:absolute" from="9255,19609" to="9399,19609" stroked="true" strokeweight=".83079pt" strokecolor="#b2b2b2">
              <v:stroke dashstyle="solid"/>
            </v:line>
            <v:line style="position:absolute" from="9394,19611" to="9399,19611" stroked="true" strokeweight=".55387pt" strokecolor="#b2b2b2">
              <v:stroke dashstyle="solid"/>
            </v:line>
            <v:line style="position:absolute" from="9402,19606" to="9402,19617" stroked="true" strokeweight=".27693pt" strokecolor="#b2b2b2">
              <v:stroke dashstyle="solid"/>
            </v:line>
            <v:shape style="position:absolute;left:8884;top:8556;width:1225;height:10385" coordorigin="8884,8557" coordsize="1225,10385" path="m9970,8557l9837,8557m9970,8557l10108,8557m8945,18941l8912,18936m8912,18936l8895,18936m8895,18936l8890,18936,8884,18930,8884,18925e" filled="false" stroked="true" strokeweight=".55387pt" strokecolor="#b2b2b2">
              <v:path arrowok="t"/>
              <v:stroke dashstyle="solid"/>
            </v:shape>
            <v:line style="position:absolute" from="8881,18869" to="8881,18930" stroked="true" strokeweight=".83081pt" strokecolor="#b2b2b2">
              <v:stroke dashstyle="solid"/>
            </v:line>
            <v:shape style="position:absolute;left:8812;top:18858;width:106;height:17" coordorigin="8812,18858" coordsize="106,17" path="m8917,18869l8912,18869,8906,18869,8901,18869,8895,18869,8895,18875,8890,18875,8884,18875,8879,18875m8812,18858l8818,18858,8823,18864,8829,18864,8834,18869,8840,18869,8845,18869,8851,18869,8856,18875,8862,18875,8868,18875,8873,18875,8879,18875,8879,18875e" filled="false" stroked="true" strokeweight=".55387pt" strokecolor="#b2b2b2">
              <v:path arrowok="t"/>
              <v:stroke dashstyle="solid"/>
            </v:shape>
            <v:shape style="position:absolute;left:8717;top:17052;width:455;height:493" type="#_x0000_t75" stroked="false">
              <v:imagedata r:id="rId70" o:title=""/>
            </v:shape>
            <v:shape style="position:absolute;left:9809;top:13635;width:3700;height:6636" coordorigin="9809,13636" coordsize="3700,6636" path="m9942,13807l9997,13929,10003,13940,10009,13951,10014,13962,10014,13973,10020,13984,10020,13996,10025,14007,10025,14018,10031,14029,10031,14040,10031,14051,10031,14062,10031,14073,10031,14079m10031,13768l9942,13807m9809,13652l9864,13636,9942,13807m10003,20271l10020,20254,10025,20248,10031,20243,10036,20243,10042,20237,10047,20237,10053,20232,10119,20199m13503,17202l13509,17202m13509,17202l13509,17202m9809,13708l9809,13785m9809,13918l9815,14084e" filled="false" stroked="true" strokeweight=".55387pt" strokecolor="#b2b2b2">
              <v:path arrowok="t"/>
              <v:stroke dashstyle="solid"/>
            </v:shape>
            <v:shape style="position:absolute;left:12218;top:20730;width:167;height:394" type="#_x0000_t75" stroked="false">
              <v:imagedata r:id="rId71" o:title=""/>
            </v:shape>
            <v:line style="position:absolute" from="13498,17202" to="13503,17202" stroked="true" strokeweight=".55387pt" strokecolor="#b2b2b2">
              <v:stroke dashstyle="solid"/>
            </v:line>
            <v:shape style="position:absolute;left:12716;top:21494;width:427;height:211" type="#_x0000_t75" stroked="false">
              <v:imagedata r:id="rId72" o:title=""/>
            </v:shape>
            <v:shape style="position:absolute;left:7959;top:9426;width:1479;height:8707" coordorigin="7959,9426" coordsize="1479,8707" path="m8087,18133l8075,18127,7998,18127,7976,18133,7959,18133m8219,9991l8286,9903m8685,10185l8624,10268,8624,10274,8618,10274,8219,9991m8219,9991l8131,10124m8286,9903l8685,10185m8685,10185l8701,10196m9438,10102l9383,10102m9360,9426l9349,9437m9349,9437l9355,9476e" filled="false" stroked="true" strokeweight=".55387pt" strokecolor="#b2b2b2">
              <v:path arrowok="t"/>
              <v:stroke dashstyle="solid"/>
            </v:shape>
            <v:line style="position:absolute" from="9349,9485" to="9360,9485" stroked="true" strokeweight=".83076pt" strokecolor="#b2b2b2">
              <v:stroke dashstyle="solid"/>
            </v:line>
            <v:line style="position:absolute" from="9355,9493" to="9360,9521" stroked="true" strokeweight=".55387pt" strokecolor="#b2b2b2">
              <v:stroke dashstyle="solid"/>
            </v:line>
            <v:line style="position:absolute" from="9360,9521" to="9360,9836" stroked="true" strokeweight=".55387pt" strokecolor="#b2b2b2">
              <v:stroke dashstyle="solid"/>
            </v:line>
            <v:shape style="position:absolute;left:9360;top:9836;width:23;height:266" coordorigin="9360,9836" coordsize="23,266" path="m9360,9836l9366,9869m9366,9869l9372,9897m9372,9897l9377,9930m9377,9930l9383,10102e" filled="false" stroked="true" strokeweight=".55387pt" strokecolor="#b2b2b2">
              <v:path arrowok="t"/>
              <v:stroke dashstyle="solid"/>
            </v:shape>
            <v:line style="position:absolute" from="9374,10407" to="9374,10490" stroked="true" strokeweight=".83081pt" strokecolor="#b2b2b2">
              <v:stroke dashstyle="solid"/>
            </v:line>
            <v:shape style="position:absolute;left:9377;top:10356;width:23;height:56" coordorigin="9377,10357" coordsize="23,56" path="m9377,10412l9383,10385m9383,10385l9399,10357e" filled="false" stroked="true" strokeweight=".55387pt" strokecolor="#b2b2b2">
              <v:path arrowok="t"/>
              <v:stroke dashstyle="solid"/>
            </v:shape>
            <v:line style="position:absolute" from="9394,10349" to="9405,10349" stroked="true" strokeweight=".83076pt" strokecolor="#b2b2b2">
              <v:stroke dashstyle="solid"/>
            </v:line>
            <v:shape style="position:absolute;left:9382;top:10118;width:23;height:222" coordorigin="9383,10119" coordsize="23,222" path="m9399,10340l9405,10263,9405,10180m9405,10180l9399,10157m9399,10157l9388,10135m9388,10135l9383,10119e" filled="false" stroked="true" strokeweight=".55387pt" strokecolor="#b2b2b2">
              <v:path arrowok="t"/>
              <v:stroke dashstyle="solid"/>
            </v:shape>
            <v:line style="position:absolute" from="9377,10110" to="9388,10110" stroked="true" strokeweight=".83076pt" strokecolor="#b2b2b2">
              <v:stroke dashstyle="solid"/>
            </v:line>
            <v:line style="position:absolute" from="9449,9426" to="9360,9426" stroked="true" strokeweight=".55387pt" strokecolor="#b2b2b2">
              <v:stroke dashstyle="solid"/>
            </v:line>
            <v:line style="position:absolute" from="9352,9288" to="9352,9421" stroked="true" strokeweight=".83081pt" strokecolor="#b2b2b2">
              <v:stroke dashstyle="solid"/>
            </v:line>
            <v:line style="position:absolute" from="9349,9418" to="9360,9418" stroked="true" strokeweight=".27692pt" strokecolor="#b2b2b2">
              <v:stroke dashstyle="solid"/>
            </v:line>
            <v:shape style="position:absolute;left:9216;top:9420;width:144;height:1579" coordorigin="9216,9421" coordsize="144,1579" path="m9355,9421l9360,9426m9316,10484l9322,10617,9311,10689m9311,10689l9311,10728m9311,10728l9316,10756,9316,10866m9316,10866l9316,10999m9316,10866l9216,10866e" filled="false" stroked="true" strokeweight=".55387pt" strokecolor="#b2b2b2">
              <v:path arrowok="t"/>
              <v:stroke dashstyle="solid"/>
            </v:shape>
            <v:line style="position:absolute" from="9311,10864" to="9427,10864" stroked="true" strokeweight=".83079pt" strokecolor="#b2b2b2">
              <v:stroke dashstyle="solid"/>
            </v:line>
            <v:shape style="position:absolute;left:9316;top:10484;width:3230;height:10701" coordorigin="9316,10484" coordsize="3230,10701" path="m9372,10484l9316,10484m9427,10484l9372,10484m12545,21184l12534,21162e" filled="false" stroked="true" strokeweight=".55387pt" strokecolor="#b2b2b2">
              <v:path arrowok="t"/>
              <v:stroke dashstyle="solid"/>
            </v:shape>
            <v:line style="position:absolute" from="13163,20991" to="13163,21051" stroked="true" strokeweight=".83081pt" strokecolor="#b2b2b2">
              <v:stroke dashstyle="solid"/>
            </v:line>
            <v:shape style="position:absolute;left:12611;top:21045;width:554;height:117" coordorigin="12612,21046" coordsize="554,117" path="m13166,21046l13166,21051,13166,21057,13166,21063,13166,21068,13160,21074,13160,21079,13160,21085,13155,21090,13155,21096,13149,21101,13149,21107,13143,21112,13138,21118,13132,21123,13127,21129,13121,21135,13116,21140,13110,21140,13105,21146,13099,21146,13094,21151,13088,21151,13083,21151,13077,21157,13071,21157,13066,21157,13060,21157,13055,21157,13049,21157m13049,21157l12656,21162,12628,21162,12617,21162,12612,21162e" filled="false" stroked="true" strokeweight=".55387pt" strokecolor="#b2b2b2">
              <v:path arrowok="t"/>
              <v:stroke dashstyle="solid"/>
            </v:shape>
            <v:shape style="position:absolute;left:12506;top:21079;width:222;height:626" type="#_x0000_t75" stroked="false">
              <v:imagedata r:id="rId73" o:title=""/>
            </v:shape>
            <v:shape style="position:absolute;left:9005;top:17135;width:1197;height:3141" coordorigin="9006,17136" coordsize="1197,3141" path="m9892,17501l9765,17435,9715,17407,9665,17380,9610,17357,9554,17341,9482,17313m9482,17313l9006,17136m10119,20199l10130,20215m10130,20215l10158,20248m10158,20248l10164,20254,10169,20259,10175,20265,10180,20271,10186,20271,10191,20271,10197,20276,10202,20276m10114,20088l10114,20165,10114,20171,10114,20176,10114,20182,10114,20187,10119,20193,10119,20199,10119,20199e" filled="false" stroked="true" strokeweight=".55387pt" strokecolor="#b2b2b2">
              <v:path arrowok="t"/>
              <v:stroke dashstyle="solid"/>
            </v:shape>
            <v:shape style="position:absolute;left:9964;top:20292;width:133;height:128" type="#_x0000_t75" stroked="false">
              <v:imagedata r:id="rId74" o:title=""/>
            </v:shape>
            <v:shape style="position:absolute;left:8501;top:20802;width:261;height:261" type="#_x0000_t75" stroked="false">
              <v:imagedata r:id="rId75" o:title=""/>
            </v:shape>
            <v:shape style="position:absolute;left:8839;top:19207;width:577;height:372" type="#_x0000_t75" stroked="false">
              <v:imagedata r:id="rId76" o:title=""/>
            </v:shape>
            <v:shape style="position:absolute;left:10257;top:8257;width:200;height:294" coordorigin="10258,8258" coordsize="200,294" path="m10269,8551l10302,8551,10308,8551,10313,8551,10319,8546,10324,8546,10324,8540,10457,8407m10269,8551l10258,8258e" filled="false" stroked="true" strokeweight=".55387pt" strokecolor="#b2b2b2">
              <v:path arrowok="t"/>
              <v:stroke dashstyle="solid"/>
            </v:shape>
            <v:shape style="position:absolute;left:13495;top:17191;width:2;height:12" coordorigin="13495,17191" coordsize="0,12" path="m13495,17191l13495,17202m13495,17191l13495,17202m13495,17191l13495,17202e" filled="false" stroked="true" strokeweight=".27693pt" strokecolor="#b2b2b2">
              <v:path arrowok="t"/>
              <v:stroke dashstyle="solid"/>
            </v:shape>
            <v:line style="position:absolute" from="9538,4204" to="9615,4204" stroked="true" strokeweight=".55387pt" strokecolor="#b2b2b2">
              <v:stroke dashstyle="solid"/>
            </v:line>
            <v:line style="position:absolute" from="9657,4636" to="9657,4791" stroked="true" strokeweight=".8308pt" strokecolor="#b2b2b2">
              <v:stroke dashstyle="solid"/>
            </v:line>
            <v:shape style="position:absolute;left:9493;top:4441;width:4016;height:12755" coordorigin="9493,4442" coordsize="4016,12755" path="m13492,17197l13509,17197m13498,17197l13509,17197m13509,17197l13492,17197m13492,17197l13509,17197m13509,17197l13492,17197m13509,17197l13492,17197m13492,17197l13509,17197m9504,4591l9499,4547m9499,4547l9493,4519m9493,4519l9493,4464m9493,4464l9499,4442e" filled="false" stroked="true" strokeweight=".55387pt" strokecolor="#b2b2b2">
              <v:path arrowok="t"/>
              <v:stroke dashstyle="solid"/>
            </v:shape>
            <v:line style="position:absolute" from="9504,4591" to="9504,4829" stroked="true" strokeweight=".55387pt" strokecolor="#b2b2b2">
              <v:stroke dashstyle="solid"/>
            </v:line>
            <v:shape style="position:absolute;left:9659;top:5051;width:433;height:355" type="#_x0000_t75" stroked="false">
              <v:imagedata r:id="rId77" o:title=""/>
            </v:shape>
            <v:shape style="position:absolute;left:9421;top:6679;width:1441;height:13642" coordorigin="9421,6679" coordsize="1441,13642" path="m10834,20320l10861,20320m9576,7438l9471,7438m9471,7438l9466,7383,9432,7056,9427,7006,9421,6951,9421,6895,9421,6679m9471,7438l9449,7438m9477,7970l9477,7543,9471,7493,9471,7438e" filled="false" stroked="true" strokeweight=".55387pt" strokecolor="#b2b2b2">
              <v:path arrowok="t"/>
              <v:stroke dashstyle="solid"/>
            </v:shape>
            <v:shape style="position:absolute;left:9366;top:21444;width:194;height:394" type="#_x0000_t75" stroked="false">
              <v:imagedata r:id="rId78" o:title=""/>
            </v:shape>
            <v:shape style="position:absolute;left:8064;top:11575;width:244;height:211" type="#_x0000_t75" stroked="false">
              <v:imagedata r:id="rId79" o:title=""/>
            </v:shape>
            <v:shape style="position:absolute;left:9493;top:19439;width:167;height:6" coordorigin="9493,19440" coordsize="167,6" path="m9560,19445l9615,19445,9621,19445,9626,19445,9632,19445,9637,19445,9660,19440m9560,19445l9493,19445e" filled="false" stroked="true" strokeweight=".55387pt" strokecolor="#b2b2b2">
              <v:path arrowok="t"/>
              <v:stroke dashstyle="solid"/>
            </v:shape>
            <v:shape style="position:absolute;left:8330;top:19683;width:139;height:294" type="#_x0000_t75" stroked="false">
              <v:imagedata r:id="rId80" o:title=""/>
            </v:shape>
            <v:shape style="position:absolute;left:9449;top:8811;width:4060;height:8397" coordorigin="9449,8812" coordsize="4060,8397" path="m9720,9676l9715,9432m9759,9432l9726,9432,9715,9432m9643,8812l9654,9371m9693,9432l9654,9432m9654,9432l9471,9426m9471,9426l9449,9426m9466,9847l9471,9426m9471,9426l9482,8961,9482,8812m13509,17202l13498,17202m13503,17202l13492,17208e" filled="false" stroked="true" strokeweight=".55387pt" strokecolor="#b2b2b2">
              <v:path arrowok="t"/>
              <v:stroke dashstyle="solid"/>
            </v:shape>
            <v:shape style="position:absolute;left:12406;top:21178;width:144;height:122" type="#_x0000_t75" stroked="false">
              <v:imagedata r:id="rId81" o:title=""/>
            </v:shape>
            <v:shape style="position:absolute;left:8308;top:19107;width:255;height:477" type="#_x0000_t75" stroked="false">
              <v:imagedata r:id="rId82" o:title=""/>
            </v:shape>
            <v:shape style="position:absolute;left:10074;top:5183;width:3446;height:12024" coordorigin="10075,5184" coordsize="3446,12024" path="m10086,5306l10092,5621,10092,5693,10092,5743,10092,5793,10075,5948m13509,17208l13520,17208m10075,5948l10141,6004,10197,6070,10241,6137,10258,6164,10297,6225,10407,6391,10418,6408,10429,6425,10441,6441,10446,6452,10446,6458,10452,6463,10452,6469,10457,6474,10457,6480,10463,6508,10468,6530,10479,6580,10485,6607,10490,6624m13509,17208l13492,17208m13492,17208l13509,17208m13492,17208l13509,17208m13492,17208l13509,17208m13492,17208l13509,17208m13492,17208l13509,17208m13509,17208l13492,17208m13492,17208l13509,17208m13509,17208l13492,17208m13492,17208l13509,17208m10236,5300l10230,5289m10230,5289l10225,5267m10225,5267l10219,5239m10219,5239l10213,5212m10213,5212l10219,5184e" filled="false" stroked="true" strokeweight=".55387pt" strokecolor="#b2b2b2">
              <v:path arrowok="t"/>
              <v:stroke dashstyle="solid"/>
            </v:shape>
            <v:line style="position:absolute" from="10213,5159" to="10225,5159" stroked="true" strokeweight="2.49228pt" strokecolor="#b2b2b2">
              <v:stroke dashstyle="solid"/>
            </v:line>
            <v:shape style="position:absolute;left:8031;top:4945;width:5478;height:17834" coordorigin="8031,4946" coordsize="5478,17834" path="m10219,5134l10230,5112m10230,5112l10247,5106,10263,5095m10263,5095l10269,5090,10274,5084,10274,5079m10274,5079l10263,5051m13492,17208l13509,17208m13492,17208l13509,17208m13509,17208l13492,17208m13509,17208l13492,17208m13509,17208l13492,17208m13492,17208l13509,17208m13509,17208l13492,17208m10335,4946l10341,4957,10341,4968,10346,4979,10346,4985,10346,5023,10346,5029,10346,5034,10346,5040,10341,5040,10335,5045,10324,5051,10302,5051,10269,5051,10263,5051m13509,17202l13498,17197m13509,17197l13498,17197m13492,17191l13503,17197m13503,17197l13498,17197m13503,17202l13498,17197m13509,17202l13492,17202m13509,17197l13487,17197m13487,17197l13503,17197m13498,17202l13503,17197m10236,5300l10297,5300m10297,5300l10313,5295m10313,5295l10324,5295m10324,5295l10330,5300m10330,5300l10330,5356,10330,5394,10335,5494,10335,5677m13498,17197l13498,17197m13498,17202l13492,17197m13503,17197l13492,17197m13509,17197l13492,17197m13509,17197l13492,17197m13492,17197l13509,17197m13492,17197l13509,17197m8303,22392l8303,22497,8303,22591m8303,22591l8308,22779m8303,22591l8208,22591,8070,22591,8031,22602m9228,22619l9222,22619,9216,22624,9211,22624,9205,22630,9200,22630,9194,22635,9189,22635,9183,22635,9178,22641,9172,22641,9167,22641,9161,22641,9156,22641,8784,22641e" filled="false" stroked="true" strokeweight=".55387pt" strokecolor="#b2b2b2">
              <v:path arrowok="t"/>
              <v:stroke dashstyle="solid"/>
            </v:shape>
            <v:line style="position:absolute" from="8784,22569" to="8784,22663" stroked="true" strokeweight=".55387pt" strokecolor="#b2b2b2">
              <v:stroke dashstyle="solid"/>
            </v:line>
            <v:shape style="position:absolute;left:4347;top:20918;width:5024;height:1762" coordorigin="4348,20919" coordsize="5024,1762" path="m9228,22619l9211,22597,9205,22591,9200,22591,9200,22586,9194,22586,9194,22580,9189,22580,9183,22575,9178,22575,9172,22575,9167,22569,9161,22569,9156,22569,9150,22569,9144,22569,9045,22569,8784,22569m9372,22386l8779,22386m8779,22386l8690,22386m8784,22569l8779,22491,8779,22386m8784,22663l8779,22669m8779,22669l8613,22674m8303,22680l8363,22674,8375,22680,8408,22674m4813,20968l4774,21013m4774,21013l4769,21018,4769,21024,4763,21029,4758,21035,4752,21035,4747,21040,4741,21046,4736,21051,4730,21057,4725,21057,4719,21063,4713,21068,4708,21068,4702,21074,4697,21079,4691,21079,4686,21085,4680,21085,4675,21090,4669,21090,4664,21090,4658,21096,4653,21096,4647,21096,4641,21101,4636,21101,4630,21101,4625,21107,4619,21107,4614,21107,4608,21107,4603,21107,4597,21112,4592,21112,4586,21112,4581,21112,4575,21112,4569,21112,4564,21112,4558,21112,4553,21112,4547,21112,4542,21112,4536,21112,4531,21112,4525,21112,4520,21112,4514,21107,4509,21107,4503,21107,4497,21107,4492,21107,4486,21101,4481,21101,4475,21101,4470,21096,4464,21096,4459,21096,4453,21090,4448,21090,4442,21090,4437,21085,4431,21085,4425,21079,4420,21079,4414,21074,4409,21068,4403,21074m4403,21074l4348,21040m4813,20968l4863,20919m5096,21389l5096,21384,5096,21378,5096,21373,5096,21367,5096,21362,5096,21356,5090,21351,5090,21345,5090,21339,5085,21334,5085,21328,5079,21323,5079,21317,5073,21312,5073,21306,5068,21301,5068,21295,5062,21290,5057,21284,5057,21279,5051,21273m5051,21273l4996,21212,4968,21168,4929,21123,4913,21079,4896,21051,4857,21007,4813,20968m5289,21777l5262,21744m5262,21744l5251,21727m5251,21727l5234,21699m5234,21699l5217,21683m5217,21683l5162,21616m5289,21777l5506,22021m5506,22021l5528,22054m5572,22148l5572,22143,5566,22137,5566,22131,5566,22126,5561,22120,5561,22115,5561,22109,5555,22104,5555,22098,5555,22093,5550,22087,5550,22082,5544,22076,5544,22071,5539,22065,5533,22059,5533,22054,5528,22054m5162,21616l5140,21594m5140,21594l5134,21589,5134,21583,5129,21578,5123,21572,5123,21567,5118,21561,5112,21555,5112,21550,5107,21544,5107,21539,5107,21533,5101,21528,5101,21522,5101,21517m5101,21517l5101,21511,5101,21506,5101,21500,5096,21495,5096,21489,5096,21483,5096,21478,5096,21472,5096,21467,5096,21461,5096,21456,5096,21450,5096,21445,5096,21439m5096,21439l5096,21389e" filled="false" stroked="true" strokeweight=".55387pt" strokecolor="#b2b2b2">
              <v:path arrowok="t"/>
              <v:stroke dashstyle="solid"/>
            </v:shape>
            <v:shape style="position:absolute;left:12268;top:20674;width:194;height:449" type="#_x0000_t75" stroked="false">
              <v:imagedata r:id="rId83" o:title=""/>
            </v:shape>
            <v:line style="position:absolute" from="13498,17191" to="13498,17191" stroked="true" strokeweight=".55387pt" strokecolor="#b2b2b2">
              <v:stroke dashstyle="solid"/>
            </v:line>
            <v:shape style="position:absolute;left:9836;top:20292;width:222;height:211" type="#_x0000_t75" stroked="false">
              <v:imagedata r:id="rId84" o:title=""/>
            </v:shape>
            <v:shape style="position:absolute;left:13481;top:17196;width:1645;height:1619" coordorigin="13481,17197" coordsize="1645,1619" path="m14855,18664l14833,18653,14805,18637,14783,18626,14755,18615,14728,18604,14700,18592,14678,18587,14595,18559,14539,18543,14484,18532,14428,18520,14373,18509,14312,18504,14257,18498,14201,18493,14146,18493,14007,18487m15126,18815l14855,18664m13515,17197l13481,17197m13481,17197l13515,17197m13481,17197l13515,17197m13515,17197l13481,17197m13481,17197l13515,17197m13481,17197l13515,17197e" filled="false" stroked="true" strokeweight=".55387pt" strokecolor="#b2b2b2">
              <v:path arrowok="t"/>
              <v:stroke dashstyle="solid"/>
            </v:shape>
            <v:shape style="position:absolute;left:9083;top:14865;width:4282;height:3080" type="#_x0000_t75" stroked="false">
              <v:imagedata r:id="rId85" o:title=""/>
            </v:shape>
            <v:shape style="position:absolute;left:7948;top:18514;width:338;height:405" type="#_x0000_t75" stroked="false">
              <v:imagedata r:id="rId86" o:title=""/>
            </v:shape>
            <v:shape style="position:absolute;left:9449;top:9365;width:244;height:10280" coordorigin="9449,9365" coordsize="244,10280" path="m9693,9365l9693,9432m9449,19307l9449,19407,9455,19423,9455,19440m9493,19445l9455,19440m9455,19440l9449,19645e" filled="false" stroked="true" strokeweight=".55387pt" strokecolor="#b2b2b2">
              <v:path arrowok="t"/>
              <v:stroke dashstyle="solid"/>
            </v:shape>
            <v:line style="position:absolute" from="8084,18166" to="8084,18293" stroked="true" strokeweight=".83081pt" strokecolor="#b2b2b2">
              <v:stroke dashstyle="solid"/>
            </v:line>
            <v:shape style="position:absolute;left:9493;top:10162;width:1429;height:9322" coordorigin="9493,10163" coordsize="1429,9322" path="m10828,10169l10906,10163,10911,10163,10911,10169,10917,10169,10922,10169,10922,10169m9560,19484l9560,19445m9493,19445l9493,19484e" filled="false" stroked="true" strokeweight=".55387pt" strokecolor="#b2b2b2">
              <v:path arrowok="t"/>
              <v:stroke dashstyle="solid"/>
            </v:shape>
            <v:shape style="position:absolute;left:10241;top:7266;width:449;height:322" type="#_x0000_t75" stroked="false">
              <v:imagedata r:id="rId131" o:title=""/>
            </v:shape>
            <v:shape style="position:absolute;left:4951;top:21383;width:781;height:770" type="#_x0000_t75" stroked="false">
              <v:imagedata r:id="rId88" o:title=""/>
            </v:shape>
            <v:shape style="position:absolute;left:7311;top:9154;width:449;height:383" type="#_x0000_t75" stroked="false">
              <v:imagedata r:id="rId89" o:title=""/>
            </v:shape>
            <v:shape style="position:absolute;left:7084;top:7565;width:543;height:1684" coordorigin="7084,7565" coordsize="543,1684" path="m7627,9249l7621,8590m7128,9005l7095,8845,7090,8828,7090,8817,7084,8801,7084,8784,7084,8773,7084,8756,7084,8745,7084,8729,7084,8717,7084,8701,7090,8684,7090,8673,7095,8657,7095,8645,7101,8629,7106,8618,7134,8524m7134,8524l7156,8463,7162,8452,7162,8435,7167,8424,7167,8407,7173,8396,7173,8385,7173,8369,7178,8357,7178,8346,7178,8335,7178,8319,7178,8308,7173,8297,7173,8280,7173,8269,7173,8252,7167,8241,7162,8230,7162,8213,7156,8202,7156,8186,7151,8175,7145,8158,7145,8147,7145,8130,7145,8119,7139,8097,7139,8081,7145,8058,7145,8042,7145,8020,7151,8003,7162,7942,7167,7925,7167,7914,7167,7898,7173,7887,7173,7870,7173,7859,7173,7842,7173,7831,7167,7815,7167,7804,7167,7793,7167,7776,7128,7565e" filled="false" stroked="true" strokeweight=".55387pt" strokecolor="#b2b2b2">
              <v:path arrowok="t"/>
              <v:stroke dashstyle="solid"/>
            </v:shape>
            <v:shape style="position:absolute;left:7128;top:8219;width:499;height:377" type="#_x0000_t75" stroked="false">
              <v:imagedata r:id="rId90" o:title=""/>
            </v:shape>
            <v:line style="position:absolute" from="8286,9903" to="8430,9703" stroked="true" strokeweight=".55387pt" strokecolor="#b2b2b2">
              <v:stroke dashstyle="solid"/>
            </v:line>
            <v:shape style="position:absolute;left:11775;top:20735;width:277;height:576" type="#_x0000_t75" stroked="false">
              <v:imagedata r:id="rId91" o:title=""/>
            </v:shape>
            <v:shape style="position:absolute;left:6962;top:5820;width:3545;height:17552" coordorigin="6962,5821" coordsize="3545,17552" path="m8818,19634l8951,19634m8951,19634l8967,19628m8967,19628l9039,19567m8807,19589l8812,19606,8812,19611,8818,19611,8818,19617,8818,19623,8818,19634m9720,9365l9693,9365m9693,9365l9654,9371m9654,9371l9654,9432m9693,9432l9715,9432m9516,10290l9510,10301,9504,10479m9543,10479l9504,10479m10341,23328l10407,23367m10407,23367l10413,23372,10418,23372,10424,23372,10429,23372,10435,23367m10435,23367l10507,23317m10252,20276l10252,20232,10291,20232m10252,20276l10374,20276m9510,5926l9615,5954,9626,5959,9632,5959,9643,5965,9648,5970,9654,5970,9665,5976,9671,5981,9676,5987,9687,5993,9693,5998,9698,6004,9704,6009,9715,6015,9720,6020,9726,6026,9781,6092,9787,6109,9804,6125,9815,6142,9826,6159,9848,6186,9925,6297,10009,6402m9510,5926l9416,5904m9416,5904l9416,5821m7067,10080l7023,10080m6962,10119l6962,10080m7023,10080l6962,10080m8314,19174l8341,19285m8341,19285l8352,19324e" filled="false" stroked="true" strokeweight=".55387pt" strokecolor="#b2b2b2">
              <v:path arrowok="t"/>
              <v:stroke dashstyle="solid"/>
            </v:shape>
            <v:line style="position:absolute" from="8358,19318" to="8358,19434" stroked="true" strokeweight="1.10775pt" strokecolor="#b2b2b2">
              <v:stroke dashstyle="solid"/>
            </v:line>
            <v:line style="position:absolute" from="8358,19434" to="8369,19434" stroked="true" strokeweight=".55384pt" strokecolor="#b2b2b2">
              <v:stroke dashstyle="solid"/>
            </v:line>
            <v:line style="position:absolute" from="8358,19445" to="8369,19445" stroked="true" strokeweight=".55384pt" strokecolor="#b2b2b2">
              <v:stroke dashstyle="solid"/>
            </v:line>
            <v:shape style="position:absolute;left:8130;top:19173;width:233;height:288" coordorigin="8131,19174" coordsize="233,288" path="m8363,19451l8336,19456m8336,19456l8319,19462m8314,19174l8258,19191m8258,19191l8208,19207m8258,19191l8291,19296m8291,19296l8297,19335m8297,19335l8303,19357m8303,19357l8303,19362,8303,19368,8303,19373,8297,19379,8291,19384,8286,19384m8286,19384l8286,19384m8208,19207l8164,19218m8164,19218l8147,19229m8147,19229l8131,19235m8208,19207l8236,19301m8236,19301l8236,19307,8236,19312,8236,19318,8236,19324,8231,19329e" filled="false" stroked="true" strokeweight=".55387pt" strokecolor="#b2b2b2">
              <v:path arrowok="t"/>
              <v:stroke dashstyle="solid"/>
            </v:shape>
            <v:line style="position:absolute" from="8225,19332" to="8236,19332" stroked="true" strokeweight=".27692pt" strokecolor="#b2b2b2">
              <v:stroke dashstyle="solid"/>
            </v:line>
            <v:shape style="position:absolute;left:8130;top:19234;width:217;height:277" coordorigin="8131,19235" coordsize="217,277" path="m8231,19335l8153,19263m8153,19263l8131,19235m8231,19335l8264,19362m8264,19362l8286,19384m8286,19384l8308,19429m8308,19429l8308,19429m8308,19429l8319,19462m8286,19384l8269,19396m8319,19462l8347,19512e" filled="false" stroked="true" strokeweight=".55387pt" strokecolor="#b2b2b2">
              <v:path arrowok="t"/>
              <v:stroke dashstyle="solid"/>
            </v:shape>
            <v:shape style="position:absolute;left:13514;top:19500;width:421;height:139" type="#_x0000_t75" stroked="false">
              <v:imagedata r:id="rId92" o:title=""/>
            </v:shape>
            <v:shape style="position:absolute;left:5727;top:9066;width:6054;height:12340" coordorigin="5727,9066" coordsize="6054,12340" path="m11781,21279l11781,21400m11781,21279l11781,21245m11781,21245l11748,21245m11748,21245l11742,21245,11737,21251,11737,21256m11737,21256l11737,21406m5794,9161l5766,9149m5766,9149l5727,9144m5849,9210l5849,9210m5849,9210l5854,9199m5854,9199l5871,9172m5871,9172l5877,9161m5877,9161l5882,9127m5882,9127l5893,9111m5893,9111l5910,9094m5910,9094l5910,9089,5915,9083,5915,9077,5915,9072,5915,9066m5849,9210l5838,9199m5838,9199l5821,9183m5821,9183l5816,9188m5816,9188l5794,9199e" filled="false" stroked="true" strokeweight=".55387pt" strokecolor="#b2b2b2">
              <v:path arrowok="t"/>
              <v:stroke dashstyle="solid"/>
            </v:shape>
            <v:line style="position:absolute" from="5677,9194" to="5799,9194" stroked="true" strokeweight="1.10771pt" strokecolor="#b2b2b2">
              <v:stroke dashstyle="solid"/>
            </v:line>
            <v:shape style="position:absolute;left:5560;top:9188;width:156;height:10961" coordorigin="5561,9188" coordsize="156,10961" path="m5683,9188l5661,9188m5661,9188l5627,9194m5583,20027l5561,20071,5699,20132m5699,20132l5716,20149e" filled="false" stroked="true" strokeweight=".55387pt" strokecolor="#b2b2b2">
              <v:path arrowok="t"/>
              <v:stroke dashstyle="solid"/>
            </v:shape>
            <v:line style="position:absolute" from="5710,20151" to="5722,20151" stroked="true" strokeweight=".27692pt" strokecolor="#b2b2b2">
              <v:stroke dashstyle="solid"/>
            </v:line>
            <v:shape style="position:absolute;left:5793;top:9160;width:28;height:23" coordorigin="5794,9161" coordsize="28,23" path="m5821,9183l5810,9172m5810,9172l5794,9161e" filled="false" stroked="true" strokeweight=".55387pt" strokecolor="#b2b2b2">
              <v:path arrowok="t"/>
              <v:stroke dashstyle="solid"/>
            </v:shape>
            <v:line style="position:absolute" from="5816,9053" to="5827,9053" stroked="true" strokeweight=".83076pt" strokecolor="#b2b2b2">
              <v:stroke dashstyle="solid"/>
            </v:line>
            <v:line style="position:absolute" from="5816,9069" to="5827,9069" stroked="true" strokeweight=".83076pt" strokecolor="#b2b2b2">
              <v:stroke dashstyle="solid"/>
            </v:line>
            <v:line style="position:absolute" from="5821,9077" to="5799,9138" stroked="true" strokeweight=".55387pt" strokecolor="#b2b2b2">
              <v:stroke dashstyle="solid"/>
            </v:line>
            <v:line style="position:absolute" from="5794,9144" to="5805,9144" stroked="true" strokeweight=".55384pt" strokecolor="#b2b2b2">
              <v:stroke dashstyle="solid"/>
            </v:line>
            <v:line style="position:absolute" from="5799,9149" to="5794,9161" stroked="true" strokeweight=".55387pt" strokecolor="#b2b2b2">
              <v:stroke dashstyle="solid"/>
            </v:line>
            <v:line style="position:absolute" from="5677,9141" to="5733,9141" stroked="true" strokeweight=".83079pt" strokecolor="#b2b2b2">
              <v:stroke dashstyle="solid"/>
            </v:line>
            <v:shape style="position:absolute;left:5632;top:9138;width:50;height:6" coordorigin="5633,9138" coordsize="50,6" path="m5683,9138l5650,9144m5650,9144l5633,9144e" filled="false" stroked="true" strokeweight=".55387pt" strokecolor="#b2b2b2">
              <v:path arrowok="t"/>
              <v:stroke dashstyle="solid"/>
            </v:shape>
            <v:line style="position:absolute" from="5722,9136" to="5733,9136" stroked="true" strokeweight=".83076pt" strokecolor="#b2b2b2">
              <v:stroke dashstyle="solid"/>
            </v:line>
            <v:line style="position:absolute" from="5722,9125" to="5733,9125" stroked="true" strokeweight=".27692pt" strokecolor="#b2b2b2">
              <v:stroke dashstyle="solid"/>
            </v:line>
            <v:shape style="position:absolute;left:5727;top:9044;width:211;height:78" coordorigin="5727,9044" coordsize="211,78" path="m5727,9122l5733,9094m5733,9094l5738,9083m5738,9083l5738,9083m5738,9083l5738,9077,5738,9072,5744,9066,5749,9061,5755,9061m5755,9061l5805,9050m5805,9050l5821,9044m5915,9066l5938,9055m5915,9066l5910,9061,5910,9055,5904,9050,5899,9044,5893,9044,5888,9044m5888,9044l5821,9044e" filled="false" stroked="true" strokeweight=".55387pt" strokecolor="#b2b2b2">
              <v:path arrowok="t"/>
              <v:stroke dashstyle="solid"/>
            </v:shape>
            <v:shape style="position:absolute;left:916;top:4732;width:7553;height:13578" type="#_x0000_t75" stroked="false">
              <v:imagedata r:id="rId93" o:title=""/>
            </v:shape>
            <v:shape style="position:absolute;left:5422;top:20037;width:294;height:150" coordorigin="5422,20038" coordsize="294,150" path="m5561,20071l5506,20049m5506,20049l5472,20038m5472,20038l5445,20038m5422,20176l5461,20182,5506,20182,5528,20187,5555,20187m5555,20187l5572,20187m5572,20187l5589,20187,5600,20187m5600,20187l5633,20182m5633,20182l5683,20165m5683,20165l5710,20160m5710,20160l5716,20154e" filled="false" stroked="true" strokeweight=".55387pt" strokecolor="#b2b2b2">
              <v:path arrowok="t"/>
              <v:stroke dashstyle="solid"/>
            </v:shape>
            <v:line style="position:absolute" from="5417,20171" to="5428,20171" stroked="true" strokeweight=".55384pt" strokecolor="#b2b2b2">
              <v:stroke dashstyle="solid"/>
            </v:line>
            <v:line style="position:absolute" from="5422,20165" to="5428,20143" stroked="true" strokeweight=".55387pt" strokecolor="#b2b2b2">
              <v:stroke dashstyle="solid"/>
            </v:line>
            <v:line style="position:absolute" from="5422,20135" to="5434,20135" stroked="true" strokeweight=".83076pt" strokecolor="#b2b2b2">
              <v:stroke dashstyle="solid"/>
            </v:line>
            <v:shape style="position:absolute;left:5427;top:20049;width:17;height:78" coordorigin="5428,20049" coordsize="17,78" path="m5428,20127l5439,20104m5439,20104l5439,20077m5439,20077l5445,20049e" filled="false" stroked="true" strokeweight=".55387pt" strokecolor="#b2b2b2">
              <v:path arrowok="t"/>
              <v:stroke dashstyle="solid"/>
            </v:shape>
            <v:line style="position:absolute" from="5445,19983" to="5445,20049" stroked="true" strokeweight=".55387pt" strokecolor="#b2b2b2">
              <v:stroke dashstyle="solid"/>
            </v:line>
            <v:shape style="position:absolute;left:5444;top:19511;width:7145;height:2975" coordorigin="5445,19512" coordsize="7145,2975" path="m5445,19983l5450,19966m5716,20154l5727,20149m5727,20149l5738,20138m5738,20138l5749,20115m5749,20115l5755,20104m12462,22486l12506,22458m12506,22458l12529,22442m12529,22442l12540,22425m12540,22425l12556,22403m12556,22403l12562,22408,12567,22408,12573,22408,12578,22403,12584,22403,12584,22397,12590,22397m8347,19512l8369,19540m8369,19540l8397,19567m8397,19567l8413,19584m8413,19584l8463,19623m8463,19623l8469,19623,8474,19628,8480,19634,8485,19639,8485,19645,8491,19650,8496,19656,8502,19661,8502,19667,8508,19672,8508,19678,8508,19683,8513,19689,8513,19695,8513,19700,8519,19706,8519,19711,8519,19717,8519,19722,8519,19728,8519,19733,8519,19739,8519,19744e" filled="false" stroked="true" strokeweight=".55387pt" strokecolor="#b2b2b2">
              <v:path arrowok="t"/>
              <v:stroke dashstyle="solid"/>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1.93856pt" strokecolor="#000000">
              <v:path arrowok="t"/>
              <v:stroke dashstyle="solid"/>
            </v:shape>
            <v:shape style="position:absolute;left:9579;top:5939;width:172;height:128" type="#_x0000_t75" stroked="false">
              <v:imagedata r:id="rId94"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1.93856pt" strokecolor="#000000">
              <v:path arrowok="t"/>
              <v:stroke dashstyle="solid"/>
            </v:shape>
            <v:shape style="position:absolute;left:13345;top:19265;width:316;height:139" type="#_x0000_t75" stroked="false">
              <v:imagedata r:id="rId95"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1.93856pt" strokecolor="#000000">
              <v:path arrowok="t"/>
              <v:stroke dashstyle="solid"/>
            </v:shape>
            <v:shape style="position:absolute;left:9778;top:9977;width:122;height:128" type="#_x0000_t75" stroked="false">
              <v:imagedata r:id="rId96" o:title=""/>
            </v:shape>
            <v:line style="position:absolute" from="13991,19384" to="13991,19279" stroked="true" strokeweight="1.93856pt" strokecolor="#b2b2b2">
              <v:stroke dashstyle="solid"/>
            </v:line>
            <v:shape style="position:absolute;left:4533;top:6637;width:10402;height:16472" type="#_x0000_t75" stroked="false">
              <v:imagedata r:id="rId149" o:title=""/>
            </v:shape>
            <v:shape style="position:absolute;left:720;top:4554;width:4382;height:15733" coordorigin="720,4555" coordsize="4382,15733" path="m4891,7743l3528,6701,1473,5129,1014,4774,720,4555m4963,19634l4963,19916,4963,19927,4963,19933,4968,19944,4968,19955m4968,19955l4968,19960,4968,19966,4968,19971,4968,19977,4968,19983,4974,19988,4974,19994,4974,19999,4979,20005,4979,20010,4979,20016,4985,20021,4985,20027,4985,20032,4990,20038,4990,20043,4996,20049,4996,20055,5001,20060,5001,20066,5007,20066m5007,20066l5062,20165m5062,20165l5062,20171,5068,20176,5073,20182,5073,20187,5079,20193,5079,20199,5079,20204,5085,20210,5085,20215,5090,20221,5090,20226,5090,20232,5090,20237,5096,20243,5096,20248,5096,20254,5096,20259,5096,20265,5101,20271,5101,20276,5101,20282,5101,20287e" filled="false" stroked="true" strokeweight="1.93856pt" strokecolor="#b2b2b2">
              <v:path arrowok="t"/>
              <v:stroke dashstyle="solid"/>
            </v:shape>
            <v:line style="position:absolute" from="5107,20268" to="5107,20412" stroked="true" strokeweight="2.49243pt" strokecolor="#b2b2b2">
              <v:stroke dashstyle="solid"/>
            </v:line>
            <v:shape style="position:absolute;left:5112;top:20392;width:2;height:78" coordorigin="5112,20392" coordsize="0,78" path="m5112,20392l5112,20392,5112,20464,5112,20470e" filled="false" stroked="true" strokeweight="1.93856pt" strokecolor="#b2b2b2">
              <v:path arrowok="t"/>
              <v:stroke dashstyle="solid"/>
            </v:shape>
            <v:line style="position:absolute" from="5107,20451" to="5107,20589" stroked="true" strokeweight="2.49243pt" strokecolor="#b2b2b2">
              <v:stroke dashstyle="solid"/>
            </v:line>
            <v:shape style="position:absolute;left:5062;top:20569;width:39;height:117" coordorigin="5062,20570" coordsize="39,117" path="m5101,20570l5101,20575,5101,20581,5096,20586,5096,20592,5096,20597,5096,20603,5096,20608,5090,20614,5090,20619,5090,20625,5085,20631,5085,20636,5085,20642,5079,20647,5079,20653,5073,20658,5073,20664,5068,20669,5068,20675,5062,20680,5062,20686e" filled="false" stroked="true" strokeweight="1.93856pt" strokecolor="#b2b2b2">
              <v:path arrowok="t"/>
              <v:stroke dashstyle="solid"/>
            </v:shape>
            <v:shape style="position:absolute;left:4705;top:6460;width:10242;height:16760" type="#_x0000_t75" stroked="false">
              <v:imagedata r:id="rId165" o:title=""/>
            </v:shape>
            <v:shape style="position:absolute;left:720;top:4554;width:4171;height:3188" coordorigin="720,4555" coordsize="4171,3188" path="m4891,7743l3528,6701,1473,5129,1014,4774,720,4555e" filled="false" stroked="true" strokeweight="3.04631pt" strokecolor="#e5e500">
              <v:path arrowok="t"/>
              <v:stroke dashstyle="solid"/>
            </v:shape>
            <v:shape style="position:absolute;left:4962;top:19633;width:139;height:654" coordorigin="4963,19634" coordsize="139,654" path="m4963,19634l4963,19916,4963,19927,4963,19933,4968,19944,4968,19955m4968,19955l4968,19960,4968,19966,4968,19971,4968,19977,4968,19983,4974,19988,4974,19994,4974,19999,4979,20005,4979,20010,4979,20016,4985,20021,4985,20027,4985,20032,4990,20038,4990,20043,4996,20049,4996,20055,5001,20060,5001,20066,5007,20066m5007,20066l5062,20165m5062,20165l5062,20171,5068,20176,5073,20182,5073,20187,5079,20193,5079,20199,5079,20204,5085,20210,5085,20215,5090,20221,5090,20226,5090,20232,5090,20237,5096,20243,5096,20248,5096,20254,5096,20259,5096,20265,5101,20271,5101,20276,5101,20282,5101,20287e" filled="false" stroked="true" strokeweight="3.04631pt" strokecolor="#0070ff">
              <v:path arrowok="t"/>
              <v:stroke dashstyle="solid"/>
            </v:shape>
            <v:line style="position:absolute" from="5107,20257" to="5107,20423" stroked="true" strokeweight="3.60018pt" strokecolor="#0070ff">
              <v:stroke dashstyle="solid"/>
            </v:line>
            <v:line style="position:absolute" from="5112,20362" to="5112,20500" stroked="true" strokeweight="3.04631pt" strokecolor="#0070ff">
              <v:stroke dashstyle="solid"/>
            </v:line>
            <v:line style="position:absolute" from="5107,20439" to="5107,20600" stroked="true" strokeweight="3.60018pt" strokecolor="#0070ff">
              <v:stroke dashstyle="solid"/>
            </v:line>
            <v:shape style="position:absolute;left:5062;top:20569;width:39;height:117" coordorigin="5062,20570" coordsize="39,117" path="m5101,20570l5101,20575,5101,20581,5096,20586,5096,20592,5096,20597,5096,20603,5096,20608,5090,20614,5090,20619,5090,20625,5085,20631,5085,20636,5085,20642,5079,20647,5079,20653,5073,20658,5073,20664,5068,20669,5068,20675,5062,20680,5062,20686e" filled="false" stroked="true" strokeweight="3.04631pt" strokecolor="#0070ff">
              <v:path arrowok="t"/>
              <v:stroke dashstyle="solid"/>
            </v:shape>
            <v:shape style="position:absolute;left:8014;top:17584;width:6614;height:5647" type="#_x0000_t75" stroked="false">
              <v:imagedata r:id="rId166" o:title=""/>
            </v:shape>
            <v:shape style="position:absolute;left:4694;top:6831;width:380;height:1800" type="#_x0000_t75" stroked="false">
              <v:imagedata r:id="rId167" o:title=""/>
            </v:shape>
            <v:shape style="position:absolute;left:5710;top:6449;width:6004;height:11019" type="#_x0000_t75" stroked="false">
              <v:imagedata r:id="rId168" o:title=""/>
            </v:shape>
            <v:shape style="position:absolute;left:4719;top:19650;width:139;height:604" type="#_x0000_t75" stroked="false">
              <v:imagedata r:id="rId118" o:title=""/>
            </v:shape>
            <v:shape style="position:absolute;left:14323;top:19090;width:538;height:128" type="#_x0000_t75" stroked="false">
              <v:imagedata r:id="rId169" o:title=""/>
            </v:shape>
            <v:shape style="position:absolute;left:2558;top:6081;width:366;height:305" type="#_x0000_t75" stroked="false">
              <v:imagedata r:id="rId170" o:title=""/>
            </v:shape>
            <v:shape style="position:absolute;left:720;top:2879;width:14401;height:20880" coordorigin="720,2880" coordsize="14401,20880" path="m720,13320l720,2880,15121,2880,15121,23760,720,23760,720,13320e" filled="false" stroked="true" strokeweight="1.10775pt" strokecolor="#000000">
              <v:path arrowok="t"/>
              <v:stroke dashstyle="solid"/>
            </v:shape>
            <v:shape style="position:absolute;left:891;top:19484;width:3567;height:2759" coordorigin="892,19484" coordsize="3567,2759" path="m4287,22237l1058,22237,1063,22242,4281,22242,4287,22237xm4309,22231l1036,22231,1041,22237,4304,22237,4309,22231xm4326,22226l1019,22226,1025,22231,4320,22231,4326,22226xm4342,22220l1008,22220,1014,22226,4337,22226,4342,22220xm4353,22215l997,22215,1003,22220,4348,22220,4353,22215xm4359,19512l991,19512,980,19523,975,19523,931,19567,931,19573,919,19584,919,19589,914,19595,914,19600,908,19606,908,19611,903,19617,903,19628,897,19634,897,19656,892,19661,892,22065,897,22071,897,22093,903,22098,903,22109,908,22115,908,22120,914,22126,914,22131,919,22137,919,22143,931,22154,931,22159,975,22203,980,22203,991,22215,4359,22215,4376,22198,4381,22198,4414,22165,4414,22159,4431,22143,4431,22137,4437,22131,4437,22126,4442,22120,4442,22109,4448,22104,4448,22093,4453,22087,4453,22071,4459,22065,4459,19661,4453,19656,4453,19639,4448,19634,4448,19623,4442,19617,4442,19606,4437,19600,4437,19595,4431,19589,4431,19584,4414,19567,4414,19562,4381,19528,4376,19528,4359,19512xm4348,19506l1003,19506,997,19512,4353,19512,4348,19506xm4337,19501l1014,19501,1008,19506,4342,19506,4337,19501xm4320,19495l1025,19495,1019,19501,4326,19501,4320,19495xm4304,19490l1041,19490,1036,19495,4309,19495,4304,19490xm4281,19484l1063,19484,1058,19490,4287,19490,4281,19484xe" filled="true" fillcolor="#ffffff" stroked="false">
              <v:path arrowok="t"/>
              <v:fill type="solid"/>
            </v:shape>
            <v:line style="position:absolute" from="1767,20226" to="2265,20226" stroked="true" strokeweight="3.04631pt" strokecolor="#38a700">
              <v:stroke dashstyle="solid"/>
            </v:line>
            <v:line style="position:absolute" from="1767,20564" to="2265,20564" stroked="true" strokeweight="3.04631pt" strokecolor="#0070ff">
              <v:stroke dashstyle="solid"/>
            </v:line>
            <v:line style="position:absolute" from="1767,20902" to="2265,20902" stroked="true" strokeweight="3.04631pt" strokecolor="#e5e500">
              <v:stroke dashstyle="solid"/>
            </v:line>
            <v:line style="position:absolute" from="1767,21240" to="2265,21240" stroked="true" strokeweight="3.04631pt" strokecolor="#e59800">
              <v:stroke dashstyle="solid"/>
            </v:line>
            <v:line style="position:absolute" from="1767,21578" to="2265,21578" stroked="true" strokeweight="3.04631pt" strokecolor="#e50000">
              <v:stroke dashstyle="solid"/>
            </v:line>
            <v:line style="position:absolute" from="1767,21915" to="2265,21915" stroked="true" strokeweight="1.93856pt" strokecolor="#b2b2b2">
              <v:stroke dashstyle="solid"/>
            </v:line>
            <v:line style="position:absolute" from="4248,22242" to="1097,22242" stroked="true" strokeweight="1.10775pt" strokecolor="#000000">
              <v:stroke dashstyle="solid"/>
            </v:line>
            <v:shape style="position:absolute;left:880;top:22020;width:228;height:233" type="#_x0000_t75" stroked="false">
              <v:imagedata r:id="rId171" o:title=""/>
            </v:shape>
            <v:line style="position:absolute" from="892,22032" to="892,19689" stroked="true" strokeweight="1.10775pt" strokecolor="#000000">
              <v:stroke dashstyle="solid"/>
            </v:line>
            <v:shape style="position:absolute;left:880;top:19473;width:228;height:228" type="#_x0000_t75" stroked="false">
              <v:imagedata r:id="rId172" o:title=""/>
            </v:shape>
            <v:line style="position:absolute" from="1097,19484" to="4248,19484" stroked="true" strokeweight="1.10775pt" strokecolor="#000000">
              <v:stroke dashstyle="solid"/>
            </v:line>
            <v:shape style="position:absolute;left:4237;top:19473;width:233;height:228" type="#_x0000_t75" stroked="false">
              <v:imagedata r:id="rId173" o:title=""/>
            </v:shape>
            <v:line style="position:absolute" from="4459,19689" to="4459,22032" stroked="true" strokeweight="1.10775pt" strokecolor="#000000">
              <v:stroke dashstyle="solid"/>
            </v:line>
            <v:shape style="position:absolute;left:4237;top:22020;width:233;height:233" type="#_x0000_t75" stroked="false">
              <v:imagedata r:id="rId174" o:title=""/>
            </v:shape>
            <v:rect style="position:absolute;left:720;top:720;width:14401;height:2160" filled="false" stroked="true" strokeweight="1.10775pt" strokecolor="#000000">
              <v:stroke dashstyle="solid"/>
            </v:rect>
            <v:shape style="position:absolute;left:14539;top:947;width:344;height:1706" coordorigin="14539,947" coordsize="344,1706" path="m14713,2000l14708,2000,14708,2595,14711,2595,14711,2599,14779,2653,14779,2135,14713,2074,14713,2000xm14883,1658l14595,1658,14573,1662,14555,1674,14544,1692,14539,1714,14539,2000,14826,2000,14848,1995,14866,1983,14878,1965,14882,1949,14708,1949,14688,1947,14668,1942,14649,1933,14632,1921,14620,1909,14632,1898,14610,1898,14593,1860,14590,1819,14590,1818,14600,1779,14625,1745,14643,1730,14664,1719,14685,1712,14708,1710,14883,1710,14883,1658xm14883,1740l14792,1740,14802,1751,14825,1791,14831,1834,14821,1877,14795,1914,14777,1929,14757,1940,14735,1947,14713,1949,14882,1949,14883,1944,14883,1740xm14711,1911l14709,1911,14709,1913,14708,1913,14701,1916,14693,1919,14686,1923,14681,1924,14675,1924,14670,1926,14681,1931,14694,1934,14726,1934,14731,1932,14713,1914,14711,1911xm14752,1881l14742,1890,14734,1896,14724,1903,14749,1927,14759,1923,14770,1918,14779,1909,14752,1881xm14676,1876l14645,1908,14653,1913,14666,1913,14686,1906,14699,1899,14676,1876xm14713,1728l14708,1728,14669,1737,14638,1760,14616,1792,14609,1829,14609,1833,14609,1845,14612,1859,14617,1872,14623,1885,14610,1898,14632,1898,14661,1868,14640,1868,14633,1857,14630,1844,14630,1829,14632,1815,14636,1800,14644,1786,14655,1773,14666,1763,14679,1756,14693,1752,14708,1750,14782,1750,14788,1743,14765,1743,14754,1737,14741,1733,14727,1730,14713,1728xm14785,1842l14779,1852,14770,1862,14762,1870,14790,1898,14798,1888,14805,1876,14808,1867,14785,1842xm14711,1842l14686,1867,14708,1886,14713,1891,14722,1886,14731,1878,14741,1870,14713,1844,14711,1842xm14721,1770l14708,1770,14697,1771,14687,1774,14677,1780,14668,1788,14660,1797,14654,1808,14651,1819,14650,1829,14650,1839,14651,1847,14653,1853,14640,1868,14661,1868,14713,1817,14758,1773,14734,1773,14721,1770xm14747,1806l14722,1830,14752,1860,14760,1850,14774,1830,14747,1806xm14807,1789l14807,1794,14805,1799,14803,1806,14800,1812,14793,1829,14813,1849,14815,1834,14815,1829,14814,1818,14812,1803,14807,1789xm14790,1765l14759,1794,14782,1817,14784,1811,14787,1806,14793,1786,14793,1773,14790,1765xm14782,1750l14726,1750,14737,1753,14749,1758,14734,1773,14758,1773,14782,1750xm14883,1710l14713,1710,14730,1712,14747,1716,14762,1723,14777,1732,14765,1743,14788,1743,14792,1740,14883,1740,14883,1710xm14713,947l14642,1523,14708,1585,14708,1658,14713,1658,14713,947xe" filled="true" fillcolor="#335f93" stroked="false">
              <v:path arrowok="t"/>
              <v:fill type="solid"/>
            </v:shape>
            <v:shape style="position:absolute;left:14589;top:1710;width:188;height:188" type="#_x0000_t75" stroked="false">
              <v:imagedata r:id="rId123" o:title=""/>
            </v:shape>
            <v:shape style="position:absolute;left:819;top:1046;width:1508;height:1795" type="#_x0000_t75" stroked="false">
              <v:imagedata r:id="rId124" o:title=""/>
            </v:shape>
            <w10:wrap type="none"/>
          </v:group>
        </w:pict>
      </w:r>
      <w:r>
        <w:rPr>
          <w:rFonts w:ascii="Century Gothic"/>
          <w:b/>
          <w:w w:val="105"/>
          <w:sz w:val="17"/>
        </w:rPr>
        <w:t>Note: </w:t>
      </w:r>
      <w:r>
        <w:rPr>
          <w:rFonts w:ascii="Century Gothic"/>
          <w:w w:val="105"/>
          <w:sz w:val="17"/>
        </w:rPr>
        <w:t>Volume labels show eastbound or northbound volumes first and westbound or southbound volumes </w:t>
      </w:r>
      <w:r>
        <w:rPr>
          <w:rFonts w:ascii="Century Gothic"/>
          <w:w w:val="105"/>
          <w:position w:val="1"/>
          <w:sz w:val="17"/>
        </w:rPr>
        <w:t>second as</w:t>
      </w:r>
      <w:r>
        <w:rPr>
          <w:rFonts w:ascii="Century Gothic"/>
          <w:spacing w:val="2"/>
          <w:w w:val="105"/>
          <w:position w:val="1"/>
          <w:sz w:val="17"/>
        </w:rPr>
        <w:t> </w:t>
      </w:r>
      <w:r>
        <w:rPr>
          <w:rFonts w:ascii="Century Gothic"/>
          <w:w w:val="105"/>
          <w:position w:val="1"/>
          <w:sz w:val="17"/>
        </w:rPr>
        <w:t>follows:</w:t>
        <w:tab/>
      </w:r>
      <w:r>
        <w:rPr>
          <w:rFonts w:ascii="Arial Narrow"/>
          <w:b/>
          <w:w w:val="105"/>
          <w:sz w:val="14"/>
        </w:rPr>
        <w:t>EB / WB </w:t>
      </w:r>
      <w:r>
        <w:rPr>
          <w:rFonts w:ascii="Arial Narrow"/>
          <w:w w:val="105"/>
          <w:sz w:val="14"/>
        </w:rPr>
        <w:t>or </w:t>
      </w:r>
      <w:r>
        <w:rPr>
          <w:rFonts w:ascii="Arial Narrow"/>
          <w:b/>
          <w:w w:val="105"/>
          <w:sz w:val="14"/>
        </w:rPr>
        <w:t>NB /</w:t>
      </w:r>
      <w:r>
        <w:rPr>
          <w:rFonts w:ascii="Arial Narrow"/>
          <w:b/>
          <w:spacing w:val="-4"/>
          <w:w w:val="105"/>
          <w:sz w:val="14"/>
        </w:rPr>
        <w:t> </w:t>
      </w:r>
      <w:r>
        <w:rPr>
          <w:rFonts w:ascii="Arial Narrow"/>
          <w:b/>
          <w:w w:val="105"/>
          <w:sz w:val="14"/>
        </w:rPr>
        <w:t>SB</w:t>
      </w:r>
    </w:p>
    <w:p>
      <w:pPr>
        <w:spacing w:before="121"/>
        <w:ind w:left="0" w:right="38" w:firstLine="0"/>
        <w:jc w:val="right"/>
        <w:rPr>
          <w:rFonts w:ascii="Arial" w:hAnsi="Arial"/>
          <w:b/>
          <w:sz w:val="11"/>
        </w:rPr>
      </w:pPr>
      <w:r>
        <w:rPr/>
        <w:br w:type="column"/>
      </w:r>
      <w:r>
        <w:rPr>
          <w:rFonts w:ascii="Arial" w:hAnsi="Arial"/>
          <w:color w:val="FF0000"/>
          <w:spacing w:val="-284"/>
          <w:w w:val="127"/>
          <w:position w:val="1"/>
          <w:sz w:val="40"/>
        </w:rPr>
        <w:t>§</w:t>
      </w:r>
      <w:r>
        <w:rPr>
          <w:rFonts w:ascii="Arial" w:hAnsi="Arial"/>
          <w:color w:val="0000FF"/>
          <w:spacing w:val="-284"/>
          <w:w w:val="212"/>
          <w:sz w:val="40"/>
        </w:rPr>
        <w:t>¨</w:t>
      </w:r>
      <w:r>
        <w:rPr>
          <w:rFonts w:ascii="Arial" w:hAnsi="Arial"/>
          <w:spacing w:val="-209"/>
          <w:w w:val="272"/>
          <w:sz w:val="40"/>
        </w:rPr>
        <w:t>¦</w:t>
      </w:r>
      <w:r>
        <w:rPr>
          <w:rFonts w:ascii="Arial" w:hAnsi="Arial"/>
          <w:b/>
          <w:color w:val="FFFFFF"/>
          <w:spacing w:val="-4"/>
          <w:w w:val="105"/>
          <w:position w:val="10"/>
          <w:sz w:val="11"/>
        </w:rPr>
        <w:t>8</w:t>
      </w:r>
      <w:r>
        <w:rPr>
          <w:rFonts w:ascii="Arial" w:hAnsi="Arial"/>
          <w:b/>
          <w:color w:val="FFFFFF"/>
          <w:w w:val="105"/>
          <w:position w:val="10"/>
          <w:sz w:val="11"/>
        </w:rPr>
        <w:t>2</w:t>
      </w:r>
    </w:p>
    <w:p>
      <w:pPr>
        <w:pStyle w:val="BodyText"/>
        <w:rPr>
          <w:rFonts w:ascii="Arial"/>
          <w:b/>
          <w:sz w:val="28"/>
        </w:rPr>
      </w:pPr>
      <w:r>
        <w:rPr/>
        <w:br w:type="column"/>
      </w:r>
      <w:r>
        <w:rPr>
          <w:rFonts w:ascii="Arial"/>
          <w:b/>
          <w:sz w:val="28"/>
        </w:rPr>
      </w:r>
    </w:p>
    <w:p>
      <w:pPr>
        <w:pStyle w:val="BodyText"/>
        <w:rPr>
          <w:rFonts w:ascii="Arial"/>
          <w:b/>
          <w:sz w:val="28"/>
        </w:rPr>
      </w:pPr>
    </w:p>
    <w:p>
      <w:pPr>
        <w:pStyle w:val="BodyText"/>
        <w:spacing w:before="4"/>
        <w:rPr>
          <w:rFonts w:ascii="Arial"/>
          <w:b/>
          <w:sz w:val="33"/>
        </w:rPr>
      </w:pPr>
    </w:p>
    <w:p>
      <w:pPr>
        <w:spacing w:before="1"/>
        <w:ind w:left="1024" w:right="0" w:firstLine="0"/>
        <w:jc w:val="left"/>
        <w:rPr>
          <w:rFonts w:ascii="Century Gothic"/>
          <w:sz w:val="24"/>
        </w:rPr>
      </w:pPr>
      <w:r>
        <w:rPr/>
        <w:pict>
          <v:shape style="position:absolute;margin-left:543.751599pt;margin-top:-38.338307pt;width:20.5pt;height:5.85pt;mso-position-horizontal-relative:page;mso-position-vertical-relative:paragraph;z-index:251953152;rotation:272" type="#_x0000_t136" fillcolor="#000000" stroked="f">
            <o:extrusion v:ext="view" autorotationcenter="t"/>
            <v:textpath style="font-family:&quot;Arial Narrow&quot;;font-size:5pt;v-text-kern:t;mso-text-shadow:auto;font-weight:bold" string="547 / 424"/>
            <w10:wrap type="none"/>
          </v:shape>
        </w:pict>
      </w:r>
      <w:r>
        <w:rPr>
          <w:rFonts w:ascii="Century Gothic"/>
          <w:sz w:val="24"/>
        </w:rPr>
        <w:t>February 24, 2017</w:t>
      </w:r>
    </w:p>
    <w:p>
      <w:pPr>
        <w:spacing w:after="0"/>
        <w:jc w:val="left"/>
        <w:rPr>
          <w:rFonts w:ascii="Century Gothic"/>
          <w:sz w:val="24"/>
        </w:rPr>
        <w:sectPr>
          <w:type w:val="continuous"/>
          <w:pgSz w:w="15840" w:h="24480"/>
          <w:pgMar w:top="1480" w:bottom="1320" w:left="0" w:right="0"/>
          <w:cols w:num="3" w:equalWidth="0">
            <w:col w:w="4310" w:space="3297"/>
            <w:col w:w="1266" w:space="3207"/>
            <w:col w:w="3760"/>
          </w:cols>
        </w:sectPr>
      </w:pPr>
    </w:p>
    <w:p>
      <w:pPr>
        <w:pStyle w:val="BodyText"/>
        <w:spacing w:before="8"/>
        <w:rPr>
          <w:rFonts w:ascii="Century Gothic"/>
          <w:sz w:val="13"/>
        </w:rPr>
      </w:pPr>
    </w:p>
    <w:p>
      <w:pPr>
        <w:spacing w:before="100"/>
        <w:ind w:left="3842" w:right="3837" w:firstLine="0"/>
        <w:jc w:val="center"/>
        <w:rPr>
          <w:rFonts w:ascii="Century Gothic"/>
          <w:b/>
          <w:sz w:val="72"/>
        </w:rPr>
      </w:pPr>
      <w:r>
        <w:rPr>
          <w:rFonts w:ascii="Century Gothic"/>
          <w:b/>
          <w:color w:val="004CA7"/>
          <w:sz w:val="72"/>
        </w:rPr>
        <w:t>City of Richland</w:t>
      </w:r>
    </w:p>
    <w:p>
      <w:pPr>
        <w:pStyle w:val="ListParagraph"/>
        <w:numPr>
          <w:ilvl w:val="1"/>
          <w:numId w:val="6"/>
        </w:numPr>
        <w:tabs>
          <w:tab w:pos="6006" w:val="left" w:leader="none"/>
        </w:tabs>
        <w:spacing w:line="240" w:lineRule="auto" w:before="47" w:after="0"/>
        <w:ind w:left="6005" w:right="0" w:hanging="5999"/>
        <w:jc w:val="left"/>
        <w:rPr>
          <w:rFonts w:ascii="Century Gothic"/>
          <w:b/>
          <w:sz w:val="40"/>
        </w:rPr>
      </w:pPr>
      <w:r>
        <w:rPr>
          <w:rFonts w:ascii="Century Gothic"/>
          <w:b/>
          <w:sz w:val="40"/>
        </w:rPr>
        <w:t>- Bike Routes and</w:t>
      </w:r>
      <w:r>
        <w:rPr>
          <w:rFonts w:ascii="Century Gothic"/>
          <w:b/>
          <w:spacing w:val="-1"/>
          <w:sz w:val="40"/>
        </w:rPr>
        <w:t> </w:t>
      </w:r>
      <w:r>
        <w:rPr>
          <w:rFonts w:ascii="Century Gothic"/>
          <w:b/>
          <w:sz w:val="40"/>
        </w:rPr>
        <w:t>Paths</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2"/>
        <w:rPr>
          <w:rFonts w:ascii="Century Gothic"/>
          <w:b/>
        </w:rPr>
      </w:pPr>
    </w:p>
    <w:p>
      <w:pPr>
        <w:spacing w:after="0"/>
        <w:rPr>
          <w:rFonts w:ascii="Century Gothic"/>
        </w:rPr>
        <w:sectPr>
          <w:footerReference w:type="default" r:id="rId175"/>
          <w:pgSz w:w="15840" w:h="24480"/>
          <w:pgMar w:footer="0" w:header="0" w:top="760" w:bottom="280" w:left="0" w:right="0"/>
        </w:sectPr>
      </w:pPr>
    </w:p>
    <w:p>
      <w:pPr>
        <w:pStyle w:val="BodyText"/>
        <w:spacing w:before="7"/>
        <w:rPr>
          <w:rFonts w:ascii="Century Gothic"/>
          <w:b/>
          <w:sz w:val="33"/>
        </w:rPr>
      </w:pPr>
    </w:p>
    <w:p>
      <w:pPr>
        <w:spacing w:before="0"/>
        <w:ind w:left="0" w:right="0" w:firstLine="0"/>
        <w:jc w:val="right"/>
        <w:rPr>
          <w:rFonts w:ascii="Arial"/>
          <w:b/>
          <w:sz w:val="13"/>
        </w:rPr>
      </w:pPr>
      <w:r>
        <w:rPr>
          <w:rFonts w:ascii="Arial Black"/>
          <w:spacing w:val="-283"/>
          <w:w w:val="106"/>
          <w:position w:val="-3"/>
          <w:sz w:val="34"/>
        </w:rPr>
        <w:t>V</w:t>
      </w:r>
      <w:r>
        <w:rPr>
          <w:rFonts w:ascii="Arial Black"/>
          <w:color w:val="FFFFFF"/>
          <w:spacing w:val="-256"/>
          <w:w w:val="99"/>
          <w:position w:val="-3"/>
          <w:sz w:val="34"/>
        </w:rPr>
        <w:t>U</w:t>
      </w:r>
      <w:r>
        <w:rPr>
          <w:rFonts w:ascii="Arial"/>
          <w:b/>
          <w:spacing w:val="-1"/>
          <w:w w:val="99"/>
          <w:sz w:val="13"/>
        </w:rPr>
        <w:t>2</w:t>
      </w:r>
      <w:r>
        <w:rPr>
          <w:rFonts w:ascii="Arial"/>
          <w:b/>
          <w:spacing w:val="4"/>
          <w:w w:val="99"/>
          <w:sz w:val="13"/>
        </w:rPr>
        <w:t>4</w:t>
      </w:r>
      <w:r>
        <w:rPr>
          <w:rFonts w:ascii="Arial"/>
          <w:b/>
          <w:w w:val="99"/>
          <w:sz w:val="13"/>
        </w:rPr>
        <w:t>0</w:t>
      </w:r>
    </w:p>
    <w:p>
      <w:pPr>
        <w:spacing w:before="103"/>
        <w:ind w:left="3732" w:right="0" w:firstLine="0"/>
        <w:jc w:val="left"/>
        <w:rPr>
          <w:rFonts w:ascii="Century Gothic"/>
          <w:b/>
          <w:sz w:val="13"/>
        </w:rPr>
      </w:pPr>
      <w:r>
        <w:rPr/>
        <w:br w:type="column"/>
      </w:r>
      <w:r>
        <w:rPr>
          <w:rFonts w:ascii="Century Gothic"/>
          <w:b/>
          <w:color w:val="4D4D4D"/>
          <w:sz w:val="13"/>
        </w:rPr>
        <w:t>Horn Rapids Rd</w:t>
      </w:r>
    </w:p>
    <w:p>
      <w:pPr>
        <w:pStyle w:val="BodyText"/>
        <w:rPr>
          <w:rFonts w:ascii="Century Gothic"/>
          <w:b/>
          <w:sz w:val="16"/>
        </w:rPr>
      </w:pPr>
    </w:p>
    <w:p>
      <w:pPr>
        <w:pStyle w:val="BodyText"/>
        <w:rPr>
          <w:rFonts w:ascii="Century Gothic"/>
          <w:b/>
          <w:sz w:val="16"/>
        </w:rPr>
      </w:pPr>
    </w:p>
    <w:p>
      <w:pPr>
        <w:pStyle w:val="BodyText"/>
        <w:spacing w:before="2"/>
        <w:rPr>
          <w:rFonts w:ascii="Century Gothic"/>
          <w:b/>
          <w:sz w:val="14"/>
        </w:rPr>
      </w:pPr>
    </w:p>
    <w:p>
      <w:pPr>
        <w:spacing w:before="1"/>
        <w:ind w:left="4033" w:right="6794" w:firstLine="0"/>
        <w:jc w:val="center"/>
        <w:rPr>
          <w:rFonts w:ascii="Century Gothic"/>
          <w:b/>
          <w:sz w:val="13"/>
        </w:rPr>
      </w:pPr>
      <w:r>
        <w:rPr/>
        <w:pict>
          <v:shape style="position:absolute;margin-left:233.028336pt;margin-top:-6.799251pt;width:10.5pt;height:51.25pt;mso-position-horizontal-relative:page;mso-position-vertical-relative:paragraph;z-index:252002304"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position w:val="1"/>
                      <w:sz w:val="13"/>
                    </w:rPr>
                    <w:t>Twin Br</w:t>
                  </w:r>
                  <w:r>
                    <w:rPr>
                      <w:rFonts w:ascii="Century Gothic"/>
                      <w:b/>
                      <w:color w:val="4D4D4D"/>
                      <w:sz w:val="13"/>
                    </w:rPr>
                    <w:t>idges Rd</w:t>
                  </w:r>
                </w:p>
              </w:txbxContent>
            </v:textbox>
            <w10:wrap type="none"/>
          </v:shape>
        </w:pict>
      </w:r>
      <w:r>
        <w:rPr/>
        <w:pict>
          <v:shape style="position:absolute;margin-left:345.298859pt;margin-top:-10.716393pt;width:11.55pt;height:50.4pt;mso-position-horizontal-relative:page;mso-position-vertical-relative:paragraph;z-index:252005376"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Kin</w:t>
                  </w:r>
                  <w:r>
                    <w:rPr>
                      <w:rFonts w:ascii="Century Gothic"/>
                      <w:b/>
                      <w:color w:val="4D4D4D"/>
                      <w:position w:val="1"/>
                      <w:sz w:val="13"/>
                    </w:rPr>
                    <w:t>gsga</w:t>
                  </w:r>
                  <w:r>
                    <w:rPr>
                      <w:rFonts w:ascii="Century Gothic"/>
                      <w:b/>
                      <w:color w:val="4D4D4D"/>
                      <w:position w:val="2"/>
                      <w:sz w:val="13"/>
                    </w:rPr>
                    <w:t>te W</w:t>
                  </w:r>
                  <w:r>
                    <w:rPr>
                      <w:rFonts w:ascii="Century Gothic"/>
                      <w:b/>
                      <w:color w:val="4D4D4D"/>
                      <w:position w:val="3"/>
                      <w:sz w:val="13"/>
                    </w:rPr>
                    <w:t>ay</w:t>
                  </w:r>
                </w:p>
              </w:txbxContent>
            </v:textbox>
            <w10:wrap type="none"/>
          </v:shape>
        </w:pict>
      </w:r>
      <w:r>
        <w:rPr>
          <w:rFonts w:ascii="Century Gothic"/>
          <w:b/>
          <w:color w:val="4D4D4D"/>
          <w:sz w:val="13"/>
        </w:rPr>
        <w:t>Battelle B</w:t>
      </w:r>
      <w:r>
        <w:rPr>
          <w:rFonts w:ascii="Century Gothic"/>
          <w:b/>
          <w:color w:val="4D4D4D"/>
          <w:position w:val="1"/>
          <w:sz w:val="13"/>
        </w:rPr>
        <w:t>lvd</w:t>
      </w:r>
    </w:p>
    <w:p>
      <w:pPr>
        <w:spacing w:after="0"/>
        <w:jc w:val="center"/>
        <w:rPr>
          <w:rFonts w:ascii="Century Gothic"/>
          <w:sz w:val="13"/>
        </w:rPr>
        <w:sectPr>
          <w:type w:val="continuous"/>
          <w:pgSz w:w="15840" w:h="24480"/>
          <w:pgMar w:top="1480" w:bottom="1320" w:left="0" w:right="0"/>
          <w:cols w:num="2" w:equalWidth="0">
            <w:col w:w="4162" w:space="40"/>
            <w:col w:w="11638"/>
          </w:cols>
        </w:sect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
        <w:rPr>
          <w:rFonts w:ascii="Century Gothic"/>
          <w:b/>
          <w:sz w:val="19"/>
        </w:rPr>
      </w:pPr>
    </w:p>
    <w:p>
      <w:pPr>
        <w:spacing w:before="0"/>
        <w:ind w:left="7737" w:right="3862" w:firstLine="0"/>
        <w:jc w:val="center"/>
        <w:rPr>
          <w:rFonts w:ascii="Century Gothic"/>
          <w:b/>
          <w:sz w:val="13"/>
        </w:rPr>
      </w:pPr>
      <w:r>
        <w:rPr/>
        <w:pict>
          <v:shape style="position:absolute;margin-left:448.619519pt;margin-top:39.639671pt;width:33.4pt;height:6.5pt;mso-position-horizontal-relative:page;mso-position-vertical-relative:paragraph;z-index:252015616;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66.782367pt;margin-top:67.429242pt;width:80.6pt;height:6.5pt;mso-position-horizontal-relative:page;mso-position-vertical-relative:paragraph;z-index:252017664;rotation:272" type="#_x0000_t136" fillcolor="#4d4d4d" stroked="f">
            <o:extrusion v:ext="view" autorotationcenter="t"/>
            <v:textpath style="font-family:&quot;Century Gothic&quot;;font-size:6pt;v-text-kern:t;mso-text-shadow:auto;font-weight:bold" string="George Washington Way"/>
            <w10:wrap type="none"/>
          </v:shape>
        </w:pict>
      </w:r>
      <w:r>
        <w:rPr/>
        <w:pict>
          <v:shape style="position:absolute;margin-left:412.51424pt;margin-top:75.484772pt;width:40.85pt;height:6.5pt;mso-position-horizontal-relative:page;mso-position-vertical-relative:paragraph;z-index:252018688;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393.687207pt;margin-top:63.050876pt;width:40.15pt;height:6.5pt;mso-position-horizontal-relative:page;mso-position-vertical-relative:paragraph;z-index:252020736;rotation:306" type="#_x0000_t136" fillcolor="#4d4d4d" stroked="f">
            <o:extrusion v:ext="view" autorotationcenter="t"/>
            <v:textpath style="font-family:&quot;Century Gothic&quot;;font-size:6pt;v-text-kern:t;mso-text-shadow:auto;font-weight:bold" string="Logston Blvd"/>
            <w10:wrap type="none"/>
          </v:shape>
        </w:pict>
      </w:r>
      <w:r>
        <w:rPr>
          <w:rFonts w:ascii="Century Gothic"/>
          <w:b/>
          <w:color w:val="4D4D4D"/>
          <w:sz w:val="13"/>
        </w:rPr>
        <w:t>Univer</w:t>
      </w:r>
      <w:r>
        <w:rPr>
          <w:rFonts w:ascii="Century Gothic"/>
          <w:b/>
          <w:color w:val="4D4D4D"/>
          <w:position w:val="1"/>
          <w:sz w:val="13"/>
        </w:rPr>
        <w:t>sity 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0"/>
        <w:rPr>
          <w:rFonts w:ascii="Century Gothic"/>
          <w:b/>
        </w:rPr>
      </w:pPr>
    </w:p>
    <w:p>
      <w:pPr>
        <w:spacing w:before="125"/>
        <w:ind w:left="4649" w:right="0" w:firstLine="0"/>
        <w:jc w:val="left"/>
        <w:rPr>
          <w:rFonts w:ascii="Arial"/>
          <w:sz w:val="36"/>
        </w:rPr>
      </w:pPr>
      <w:r>
        <w:rPr/>
        <w:pict>
          <v:shape style="position:absolute;margin-left:478.494366pt;margin-top:43.182437pt;width:37.65pt;height:6.5pt;mso-position-horizontal-relative:page;mso-position-vertical-relative:paragraph;z-index:252000256;rotation:69" type="#_x0000_t136" fillcolor="#4d4d4d" stroked="f">
            <o:extrusion v:ext="view" autorotationcenter="t"/>
            <v:textpath style="font-family:&quot;Century Gothic&quot;;font-size:6pt;v-text-kern:t;mso-text-shadow:auto;font-weight:bold" string="Jadwin Ave"/>
            <w10:wrap type="none"/>
          </v:shape>
        </w:pict>
      </w:r>
      <w:r>
        <w:rPr/>
        <w:pict>
          <v:shape style="position:absolute;margin-left:328.76004pt;margin-top:4.387552pt;width:10.050pt;height:30.55pt;mso-position-horizontal-relative:page;mso-position-vertical-relative:paragraph;z-index:252004352"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Jones Rd</w:t>
                  </w:r>
                </w:p>
              </w:txbxContent>
            </v:textbox>
            <w10:wrap type="none"/>
          </v:shape>
        </w:pict>
      </w:r>
      <w:r>
        <w:rPr/>
        <w:pict>
          <v:shape style="position:absolute;margin-left:461.334839pt;margin-top:27.392336pt;width:10.4pt;height:35.4pt;mso-position-horizontal-relative:page;mso-position-vertical-relative:paragraph;z-index:252009472" type="#_x0000_t202" filled="false" stroked="false">
            <v:textbox inset="0,0,0,0" style="layout-flow:vertical;mso-layout-flow-alt:bottom-to-top">
              <w:txbxContent>
                <w:p>
                  <w:pPr>
                    <w:spacing w:before="17"/>
                    <w:ind w:left="20" w:right="0" w:firstLine="0"/>
                    <w:jc w:val="left"/>
                    <w:rPr>
                      <w:rFonts w:ascii="Century Gothic"/>
                      <w:b/>
                      <w:sz w:val="13"/>
                    </w:rPr>
                  </w:pPr>
                  <w:r>
                    <w:rPr>
                      <w:rFonts w:ascii="Century Gothic"/>
                      <w:b/>
                      <w:color w:val="4D4D4D"/>
                      <w:sz w:val="13"/>
                    </w:rPr>
                    <w:t>Steven</w:t>
                  </w:r>
                  <w:r>
                    <w:rPr>
                      <w:rFonts w:ascii="Century Gothic"/>
                      <w:b/>
                      <w:color w:val="4D4D4D"/>
                      <w:position w:val="1"/>
                      <w:sz w:val="13"/>
                    </w:rPr>
                    <w:t>s Dr</w:t>
                  </w:r>
                </w:p>
              </w:txbxContent>
            </v:textbox>
            <w10:wrap type="none"/>
          </v:shape>
        </w:pict>
      </w:r>
      <w:r>
        <w:rPr/>
        <w:pict>
          <v:shape style="position:absolute;margin-left:409.658289pt;margin-top:-45.043077pt;width:31.8pt;height:6.5pt;mso-position-horizontal-relative:page;mso-position-vertical-relative:paragraph;z-index:252019712;rotation:282" type="#_x0000_t136" fillcolor="#4d4d4d" stroked="f">
            <o:extrusion v:ext="view" autorotationcenter="t"/>
            <v:textpath style="font-family:&quot;Century Gothic&quot;;font-size:6pt;v-text-kern:t;mso-text-shadow:auto;font-weight:bold" string="Hagen Rd"/>
            <w10:wrap type="none"/>
          </v:shape>
        </w:pict>
      </w:r>
      <w:r>
        <w:rPr/>
        <w:pict>
          <v:shape style="position:absolute;margin-left:422.340332pt;margin-top:-15.810135pt;width:40.75pt;height:6.5pt;mso-position-horizontal-relative:page;mso-position-vertical-relative:paragraph;z-index:252021760;rotation:312" type="#_x0000_t136" fillcolor="#4d4d4d" stroked="f">
            <o:extrusion v:ext="view" autorotationcenter="t"/>
            <v:textpath style="font-family:&quot;Century Gothic&quot;;font-size:6pt;v-text-kern:t;mso-text-shadow:auto;font-weight:bold" string="By-pass Hwy"/>
            <w10:wrap type="none"/>
          </v:shape>
        </w:pict>
      </w:r>
      <w:r>
        <w:rPr>
          <w:rFonts w:ascii="Arial"/>
          <w:color w:val="FFFF00"/>
          <w:spacing w:val="-253"/>
          <w:w w:val="251"/>
          <w:sz w:val="36"/>
        </w:rPr>
        <w:t>!</w:t>
      </w:r>
      <w:r>
        <w:rPr>
          <w:rFonts w:ascii="Arial"/>
          <w:w w:val="89"/>
          <w:sz w:val="36"/>
        </w:rPr>
        <w:t>O</w:t>
      </w:r>
    </w:p>
    <w:p>
      <w:pPr>
        <w:pStyle w:val="BodyText"/>
        <w:spacing w:before="3"/>
        <w:rPr>
          <w:rFonts w:ascii="Arial"/>
          <w:sz w:val="16"/>
        </w:rPr>
      </w:pPr>
    </w:p>
    <w:p>
      <w:pPr>
        <w:spacing w:after="0"/>
        <w:rPr>
          <w:rFonts w:ascii="Arial"/>
          <w:sz w:val="16"/>
        </w:rPr>
        <w:sectPr>
          <w:type w:val="continuous"/>
          <w:pgSz w:w="15840" w:h="24480"/>
          <w:pgMar w:top="1480" w:bottom="1320" w:left="0" w:right="0"/>
        </w:sectPr>
      </w:pPr>
    </w:p>
    <w:p>
      <w:pPr>
        <w:pStyle w:val="BodyText"/>
        <w:spacing w:before="9"/>
        <w:rPr>
          <w:rFonts w:ascii="Arial"/>
        </w:rPr>
      </w:pPr>
    </w:p>
    <w:p>
      <w:pPr>
        <w:spacing w:before="0"/>
        <w:ind w:left="2246" w:right="0" w:firstLine="0"/>
        <w:jc w:val="left"/>
        <w:rPr>
          <w:rFonts w:ascii="Arial"/>
          <w:sz w:val="24"/>
        </w:rPr>
      </w:pPr>
      <w:r>
        <w:rPr>
          <w:rFonts w:ascii="Arial"/>
          <w:shadow/>
          <w:color w:val="6B6B6C"/>
          <w:sz w:val="24"/>
        </w:rPr>
        <w:t>W</w:t>
      </w:r>
      <w:r>
        <w:rPr>
          <w:rFonts w:ascii="Arial"/>
          <w:shadow w:val="0"/>
          <w:color w:val="6B6B6C"/>
          <w:sz w:val="24"/>
        </w:rPr>
        <w:t> </w:t>
      </w:r>
      <w:r>
        <w:rPr>
          <w:rFonts w:ascii="Arial"/>
          <w:shadow/>
          <w:color w:val="6B6B6C"/>
          <w:sz w:val="24"/>
        </w:rPr>
        <w:t>e</w:t>
      </w:r>
      <w:r>
        <w:rPr>
          <w:rFonts w:ascii="Arial"/>
          <w:shadow w:val="0"/>
          <w:color w:val="6B6B6C"/>
          <w:sz w:val="24"/>
        </w:rPr>
        <w:t> </w:t>
      </w:r>
      <w:r>
        <w:rPr>
          <w:rFonts w:ascii="Arial"/>
          <w:shadow/>
          <w:color w:val="6B6B6C"/>
          <w:sz w:val="24"/>
        </w:rPr>
        <w:t>s</w:t>
      </w:r>
      <w:r>
        <w:rPr>
          <w:rFonts w:ascii="Arial"/>
          <w:shadow w:val="0"/>
          <w:color w:val="6B6B6C"/>
          <w:sz w:val="24"/>
        </w:rPr>
        <w:t> </w:t>
      </w:r>
      <w:r>
        <w:rPr>
          <w:rFonts w:ascii="Arial"/>
          <w:shadow/>
          <w:color w:val="6B6B6C"/>
          <w:sz w:val="24"/>
        </w:rPr>
        <w:t>t</w:t>
      </w:r>
      <w:r>
        <w:rPr>
          <w:rFonts w:ascii="Arial"/>
          <w:shadow w:val="0"/>
          <w:color w:val="6B6B6C"/>
          <w:sz w:val="24"/>
        </w:rPr>
        <w:t> </w:t>
      </w:r>
      <w:r>
        <w:rPr>
          <w:rFonts w:ascii="Arial"/>
          <w:shadow/>
          <w:color w:val="6B6B6C"/>
          <w:sz w:val="24"/>
        </w:rPr>
        <w:t>R</w:t>
      </w:r>
      <w:r>
        <w:rPr>
          <w:rFonts w:ascii="Arial"/>
          <w:shadow w:val="0"/>
          <w:color w:val="6B6B6C"/>
          <w:sz w:val="24"/>
        </w:rPr>
        <w:t> </w:t>
      </w:r>
      <w:r>
        <w:rPr>
          <w:rFonts w:ascii="Arial"/>
          <w:shadow/>
          <w:color w:val="6B6B6C"/>
          <w:sz w:val="24"/>
        </w:rPr>
        <w:t>i</w:t>
      </w:r>
      <w:r>
        <w:rPr>
          <w:rFonts w:ascii="Arial"/>
          <w:shadow w:val="0"/>
          <w:color w:val="6B6B6C"/>
          <w:sz w:val="24"/>
        </w:rPr>
        <w:t> </w:t>
      </w:r>
      <w:r>
        <w:rPr>
          <w:rFonts w:ascii="Arial"/>
          <w:shadow/>
          <w:color w:val="6B6B6C"/>
          <w:sz w:val="24"/>
        </w:rPr>
        <w:t>c</w:t>
      </w:r>
      <w:r>
        <w:rPr>
          <w:rFonts w:ascii="Arial"/>
          <w:shadow w:val="0"/>
          <w:color w:val="6B6B6C"/>
          <w:sz w:val="24"/>
        </w:rPr>
        <w:t> </w:t>
      </w:r>
      <w:r>
        <w:rPr>
          <w:rFonts w:ascii="Arial"/>
          <w:shadow/>
          <w:color w:val="6B6B6C"/>
          <w:sz w:val="24"/>
        </w:rPr>
        <w:t>h</w:t>
      </w:r>
      <w:r>
        <w:rPr>
          <w:rFonts w:ascii="Arial"/>
          <w:shadow w:val="0"/>
          <w:color w:val="6B6B6C"/>
          <w:sz w:val="24"/>
        </w:rPr>
        <w:t> </w:t>
      </w:r>
      <w:r>
        <w:rPr>
          <w:rFonts w:ascii="Arial"/>
          <w:shadow/>
          <w:color w:val="6B6B6C"/>
          <w:sz w:val="24"/>
        </w:rPr>
        <w:t>l</w:t>
      </w:r>
      <w:r>
        <w:rPr>
          <w:rFonts w:ascii="Arial"/>
          <w:shadow w:val="0"/>
          <w:color w:val="6B6B6C"/>
          <w:sz w:val="24"/>
        </w:rPr>
        <w:t> </w:t>
      </w:r>
      <w:r>
        <w:rPr>
          <w:rFonts w:ascii="Arial"/>
          <w:shadow/>
          <w:color w:val="6B6B6C"/>
          <w:sz w:val="24"/>
        </w:rPr>
        <w:t>a</w:t>
      </w:r>
      <w:r>
        <w:rPr>
          <w:rFonts w:ascii="Arial"/>
          <w:shadow w:val="0"/>
          <w:color w:val="6B6B6C"/>
          <w:sz w:val="24"/>
        </w:rPr>
        <w:t> </w:t>
      </w:r>
      <w:r>
        <w:rPr>
          <w:rFonts w:ascii="Arial"/>
          <w:shadow/>
          <w:color w:val="6B6B6C"/>
          <w:sz w:val="24"/>
        </w:rPr>
        <w:t>n</w:t>
      </w:r>
      <w:r>
        <w:rPr>
          <w:rFonts w:ascii="Arial"/>
          <w:shadow w:val="0"/>
          <w:color w:val="6B6B6C"/>
          <w:sz w:val="24"/>
        </w:rPr>
        <w:t> </w:t>
      </w:r>
      <w:r>
        <w:rPr>
          <w:rFonts w:ascii="Arial"/>
          <w:shadow/>
          <w:color w:val="6B6B6C"/>
          <w:sz w:val="24"/>
        </w:rPr>
        <w:t>d</w:t>
      </w:r>
    </w:p>
    <w:p>
      <w:pPr>
        <w:spacing w:before="103"/>
        <w:ind w:left="2246" w:right="0" w:firstLine="0"/>
        <w:jc w:val="left"/>
        <w:rPr>
          <w:rFonts w:ascii="Century Gothic"/>
          <w:b/>
          <w:sz w:val="13"/>
        </w:rPr>
      </w:pPr>
      <w:r>
        <w:rPr/>
        <w:br w:type="column"/>
      </w:r>
      <w:r>
        <w:rPr>
          <w:rFonts w:ascii="Century Gothic"/>
          <w:b/>
          <w:color w:val="4D4D4D"/>
          <w:sz w:val="13"/>
        </w:rPr>
        <w:t>Van Giesen St</w:t>
      </w:r>
    </w:p>
    <w:p>
      <w:pPr>
        <w:spacing w:after="0"/>
        <w:jc w:val="left"/>
        <w:rPr>
          <w:rFonts w:ascii="Century Gothic"/>
          <w:sz w:val="13"/>
        </w:rPr>
        <w:sectPr>
          <w:type w:val="continuous"/>
          <w:pgSz w:w="15840" w:h="24480"/>
          <w:pgMar w:top="1480" w:bottom="1320" w:left="0" w:right="0"/>
          <w:cols w:num="2" w:equalWidth="0">
            <w:col w:w="4542" w:space="961"/>
            <w:col w:w="10337"/>
          </w:cols>
        </w:sectPr>
      </w:pPr>
    </w:p>
    <w:p>
      <w:pPr>
        <w:pStyle w:val="BodyText"/>
        <w:spacing w:before="2"/>
        <w:rPr>
          <w:rFonts w:ascii="Century Gothic"/>
          <w:b/>
          <w:sz w:val="16"/>
        </w:rPr>
      </w:pPr>
    </w:p>
    <w:p>
      <w:pPr>
        <w:spacing w:before="100"/>
        <w:ind w:left="3842" w:right="1162" w:firstLine="0"/>
        <w:jc w:val="center"/>
        <w:rPr>
          <w:rFonts w:ascii="Century Gothic"/>
          <w:b/>
          <w:sz w:val="13"/>
        </w:rPr>
      </w:pPr>
      <w:r>
        <w:rPr/>
        <w:pict>
          <v:shape style="position:absolute;margin-left:414.734894pt;margin-top:-1.462573pt;width:10.45pt;height:36.75pt;mso-position-horizontal-relative:page;mso-position-vertical-relative:paragraph;z-index:252007424"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sz w:val="13"/>
                    </w:rPr>
                    <w:t>Wrigh</w:t>
                  </w:r>
                  <w:r>
                    <w:rPr>
                      <w:rFonts w:ascii="Century Gothic"/>
                      <w:b/>
                      <w:color w:val="4D4D4D"/>
                      <w:position w:val="1"/>
                      <w:sz w:val="13"/>
                    </w:rPr>
                    <w:t>t Ave</w:t>
                  </w:r>
                </w:p>
              </w:txbxContent>
            </v:textbox>
            <w10:wrap type="none"/>
          </v:shape>
        </w:pict>
      </w:r>
      <w:r>
        <w:rPr>
          <w:rFonts w:ascii="Century Gothic"/>
          <w:b/>
          <w:color w:val="4D4D4D"/>
          <w:sz w:val="13"/>
        </w:rPr>
        <w:t>William</w:t>
      </w:r>
      <w:r>
        <w:rPr>
          <w:rFonts w:ascii="Century Gothic"/>
          <w:b/>
          <w:color w:val="4D4D4D"/>
          <w:position w:val="1"/>
          <w:sz w:val="13"/>
        </w:rPr>
        <w:t>s Blvd</w:t>
      </w:r>
    </w:p>
    <w:p>
      <w:pPr>
        <w:pStyle w:val="BodyText"/>
        <w:rPr>
          <w:rFonts w:ascii="Century Gothic"/>
          <w:b/>
          <w:sz w:val="20"/>
        </w:rPr>
      </w:pPr>
    </w:p>
    <w:p>
      <w:pPr>
        <w:pStyle w:val="BodyText"/>
        <w:spacing w:before="7"/>
        <w:rPr>
          <w:rFonts w:ascii="Century Gothic"/>
          <w:b/>
          <w:sz w:val="15"/>
        </w:rPr>
      </w:pPr>
    </w:p>
    <w:p>
      <w:pPr>
        <w:spacing w:after="0"/>
        <w:rPr>
          <w:rFonts w:ascii="Century Gothic"/>
          <w:sz w:val="15"/>
        </w:rPr>
        <w:sectPr>
          <w:type w:val="continuous"/>
          <w:pgSz w:w="15840" w:h="24480"/>
          <w:pgMar w:top="1480" w:bottom="1320" w:left="0" w:right="0"/>
        </w:sectPr>
      </w:pPr>
    </w:p>
    <w:p>
      <w:pPr>
        <w:spacing w:before="99"/>
        <w:ind w:left="0" w:right="0" w:firstLine="0"/>
        <w:jc w:val="right"/>
        <w:rPr>
          <w:rFonts w:ascii="Century Gothic"/>
          <w:b/>
          <w:sz w:val="13"/>
        </w:rPr>
      </w:pPr>
      <w:r>
        <w:rPr/>
        <w:pict>
          <v:shape style="position:absolute;margin-left:383.04541pt;margin-top:-12.264534pt;width:10.45pt;height:42.85pt;mso-position-horizontal-relative:page;mso-position-vertical-relative:paragraph;z-index:252006400"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sz w:val="13"/>
                    </w:rPr>
                    <w:t>By-pas</w:t>
                  </w:r>
                  <w:r>
                    <w:rPr>
                      <w:rFonts w:ascii="Century Gothic"/>
                      <w:b/>
                      <w:color w:val="4D4D4D"/>
                      <w:position w:val="1"/>
                      <w:sz w:val="13"/>
                    </w:rPr>
                    <w:t>s Hwy</w:t>
                  </w:r>
                </w:p>
              </w:txbxContent>
            </v:textbox>
            <w10:wrap type="none"/>
          </v:shape>
        </w:pict>
      </w:r>
      <w:r>
        <w:rPr>
          <w:rFonts w:ascii="Century Gothic"/>
          <w:b/>
          <w:color w:val="4D4D4D"/>
          <w:sz w:val="13"/>
        </w:rPr>
        <w:t>Swift </w:t>
      </w:r>
      <w:r>
        <w:rPr>
          <w:rFonts w:ascii="Century Gothic"/>
          <w:b/>
          <w:color w:val="4D4D4D"/>
          <w:position w:val="1"/>
          <w:sz w:val="13"/>
        </w:rPr>
        <w:t>Blvd</w:t>
      </w:r>
    </w:p>
    <w:p>
      <w:pPr>
        <w:pStyle w:val="BodyText"/>
        <w:rPr>
          <w:rFonts w:ascii="Century Gothic"/>
          <w:b/>
          <w:sz w:val="16"/>
        </w:rPr>
      </w:pPr>
      <w:r>
        <w:rPr/>
        <w:br w:type="column"/>
      </w:r>
      <w:r>
        <w:rPr>
          <w:rFonts w:ascii="Century Gothic"/>
          <w:b/>
          <w:sz w:val="16"/>
        </w:rPr>
      </w:r>
    </w:p>
    <w:p>
      <w:pPr>
        <w:pStyle w:val="BodyText"/>
        <w:rPr>
          <w:rFonts w:ascii="Century Gothic"/>
          <w:b/>
          <w:sz w:val="16"/>
        </w:rPr>
      </w:pPr>
    </w:p>
    <w:p>
      <w:pPr>
        <w:pStyle w:val="BodyText"/>
        <w:spacing w:before="8"/>
        <w:rPr>
          <w:rFonts w:ascii="Century Gothic"/>
          <w:b/>
          <w:sz w:val="14"/>
        </w:rPr>
      </w:pPr>
    </w:p>
    <w:p>
      <w:pPr>
        <w:spacing w:before="1"/>
        <w:ind w:left="574" w:right="0" w:firstLine="0"/>
        <w:jc w:val="left"/>
        <w:rPr>
          <w:rFonts w:ascii="Century Gothic"/>
          <w:b/>
          <w:sz w:val="13"/>
        </w:rPr>
      </w:pPr>
      <w:r>
        <w:rPr/>
        <w:pict>
          <v:shape style="position:absolute;margin-left:442.63443pt;margin-top:-36.142193pt;width:10.35pt;height:32.0500pt;mso-position-horizontal-relative:page;mso-position-vertical-relative:paragraph;z-index:252008448" type="#_x0000_t202" filled="false" stroked="false">
            <v:textbox inset="0,0,0,0" style="layout-flow:vertical;mso-layout-flow-alt:bottom-to-top">
              <w:txbxContent>
                <w:p>
                  <w:pPr>
                    <w:spacing w:before="17"/>
                    <w:ind w:left="20" w:right="0" w:firstLine="0"/>
                    <w:jc w:val="left"/>
                    <w:rPr>
                      <w:rFonts w:ascii="Century Gothic"/>
                      <w:b/>
                      <w:sz w:val="13"/>
                    </w:rPr>
                  </w:pPr>
                  <w:r>
                    <w:rPr>
                      <w:rFonts w:ascii="Century Gothic"/>
                      <w:b/>
                      <w:color w:val="4D4D4D"/>
                      <w:sz w:val="13"/>
                    </w:rPr>
                    <w:t>Thayer </w:t>
                  </w:r>
                  <w:r>
                    <w:rPr>
                      <w:rFonts w:ascii="Century Gothic"/>
                      <w:b/>
                      <w:color w:val="4D4D4D"/>
                      <w:position w:val="1"/>
                      <w:sz w:val="13"/>
                    </w:rPr>
                    <w:t>Dr</w:t>
                  </w:r>
                </w:p>
              </w:txbxContent>
            </v:textbox>
            <w10:wrap type="none"/>
          </v:shape>
        </w:pict>
      </w:r>
      <w:r>
        <w:rPr>
          <w:rFonts w:ascii="Century Gothic"/>
          <w:b/>
          <w:color w:val="4D4D4D"/>
          <w:sz w:val="13"/>
        </w:rPr>
        <w:t>Lee Blvd</w:t>
      </w:r>
    </w:p>
    <w:p>
      <w:pPr>
        <w:spacing w:before="286"/>
        <w:ind w:left="37" w:right="0" w:firstLine="0"/>
        <w:jc w:val="left"/>
        <w:rPr>
          <w:rFonts w:ascii="Century Gothic"/>
          <w:b/>
          <w:sz w:val="13"/>
        </w:rPr>
      </w:pPr>
      <w:r>
        <w:rPr/>
        <w:br w:type="column"/>
      </w:r>
      <w:r>
        <w:rPr>
          <w:rFonts w:ascii="Century Gothic"/>
          <w:b/>
          <w:color w:val="4D4D4D"/>
          <w:spacing w:val="-52"/>
          <w:w w:val="99"/>
          <w:sz w:val="13"/>
        </w:rPr>
        <w:t>K</w:t>
      </w:r>
      <w:r>
        <w:rPr>
          <w:rFonts w:ascii="Arial"/>
          <w:color w:val="FFFF00"/>
          <w:spacing w:val="-253"/>
          <w:w w:val="251"/>
          <w:position w:val="-10"/>
          <w:sz w:val="36"/>
        </w:rPr>
        <w:t>!</w:t>
      </w:r>
      <w:r>
        <w:rPr>
          <w:rFonts w:ascii="Arial"/>
          <w:spacing w:val="-200"/>
          <w:w w:val="89"/>
          <w:position w:val="-11"/>
          <w:sz w:val="36"/>
        </w:rPr>
        <w:t>O</w:t>
      </w:r>
      <w:r>
        <w:rPr>
          <w:rFonts w:ascii="Century Gothic"/>
          <w:b/>
          <w:color w:val="4D4D4D"/>
          <w:spacing w:val="-4"/>
          <w:w w:val="99"/>
          <w:sz w:val="13"/>
        </w:rPr>
        <w:t>n</w:t>
      </w:r>
      <w:r>
        <w:rPr>
          <w:rFonts w:ascii="Century Gothic"/>
          <w:b/>
          <w:color w:val="4D4D4D"/>
          <w:spacing w:val="-1"/>
          <w:w w:val="99"/>
          <w:sz w:val="13"/>
        </w:rPr>
        <w:t>i</w:t>
      </w:r>
      <w:r>
        <w:rPr>
          <w:rFonts w:ascii="Century Gothic"/>
          <w:b/>
          <w:color w:val="4D4D4D"/>
          <w:spacing w:val="2"/>
          <w:w w:val="99"/>
          <w:sz w:val="13"/>
        </w:rPr>
        <w:t>g</w:t>
      </w:r>
      <w:r>
        <w:rPr>
          <w:rFonts w:ascii="Century Gothic"/>
          <w:b/>
          <w:color w:val="4D4D4D"/>
          <w:spacing w:val="-4"/>
          <w:w w:val="99"/>
          <w:sz w:val="13"/>
        </w:rPr>
        <w:t>h</w:t>
      </w:r>
      <w:r>
        <w:rPr>
          <w:rFonts w:ascii="Century Gothic"/>
          <w:b/>
          <w:color w:val="4D4D4D"/>
          <w:w w:val="99"/>
          <w:position w:val="1"/>
          <w:sz w:val="13"/>
        </w:rPr>
        <w:t>t</w:t>
      </w:r>
      <w:r>
        <w:rPr>
          <w:rFonts w:ascii="Century Gothic"/>
          <w:b/>
          <w:color w:val="4D4D4D"/>
          <w:spacing w:val="-2"/>
          <w:position w:val="1"/>
          <w:sz w:val="13"/>
        </w:rPr>
        <w:t> </w:t>
      </w:r>
      <w:r>
        <w:rPr>
          <w:rFonts w:ascii="Century Gothic"/>
          <w:b/>
          <w:color w:val="4D4D4D"/>
          <w:spacing w:val="1"/>
          <w:w w:val="99"/>
          <w:position w:val="1"/>
          <w:sz w:val="13"/>
        </w:rPr>
        <w:t>S</w:t>
      </w:r>
      <w:r>
        <w:rPr>
          <w:rFonts w:ascii="Century Gothic"/>
          <w:b/>
          <w:color w:val="4D4D4D"/>
          <w:w w:val="99"/>
          <w:position w:val="1"/>
          <w:sz w:val="13"/>
        </w:rPr>
        <w:t>t</w:t>
      </w:r>
    </w:p>
    <w:p>
      <w:pPr>
        <w:spacing w:after="0"/>
        <w:jc w:val="left"/>
        <w:rPr>
          <w:rFonts w:ascii="Century Gothic"/>
          <w:sz w:val="13"/>
        </w:rPr>
        <w:sectPr>
          <w:type w:val="continuous"/>
          <w:pgSz w:w="15840" w:h="24480"/>
          <w:pgMar w:top="1480" w:bottom="1320" w:left="0" w:right="0"/>
          <w:cols w:num="3" w:equalWidth="0">
            <w:col w:w="8496" w:space="40"/>
            <w:col w:w="1113" w:space="39"/>
            <w:col w:w="6152"/>
          </w:cols>
        </w:sectPr>
      </w:pPr>
    </w:p>
    <w:p>
      <w:pPr>
        <w:pStyle w:val="BodyText"/>
        <w:spacing w:before="5"/>
        <w:rPr>
          <w:rFonts w:ascii="Century Gothic"/>
          <w:b/>
          <w:sz w:val="27"/>
        </w:rPr>
      </w:pPr>
    </w:p>
    <w:p>
      <w:pPr>
        <w:spacing w:before="127"/>
        <w:ind w:left="0" w:right="2846" w:firstLine="0"/>
        <w:jc w:val="right"/>
        <w:rPr>
          <w:rFonts w:ascii="Arial" w:hAnsi="Arial"/>
          <w:b/>
          <w:sz w:val="11"/>
        </w:rPr>
      </w:pPr>
      <w:r>
        <w:rPr/>
        <w:pict>
          <v:shape style="position:absolute;margin-left:462.202393pt;margin-top:-8.669621pt;width:10.55pt;height:44.55pt;mso-position-horizontal-relative:page;mso-position-vertical-relative:paragraph;z-index:252010496"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Wellsi</w:t>
                  </w:r>
                  <w:r>
                    <w:rPr>
                      <w:rFonts w:ascii="Century Gothic"/>
                      <w:b/>
                      <w:color w:val="4D4D4D"/>
                      <w:position w:val="1"/>
                      <w:sz w:val="13"/>
                    </w:rPr>
                    <w:t>an Way</w:t>
                  </w:r>
                </w:p>
              </w:txbxContent>
            </v:textbox>
            <w10:wrap type="none"/>
          </v:shape>
        </w:pict>
      </w:r>
      <w:r>
        <w:rPr/>
        <w:pict>
          <v:shape style="position:absolute;margin-left:479.756866pt;margin-top:3.336204pt;width:10.5pt;height:39.7pt;mso-position-horizontal-relative:page;mso-position-vertical-relative:paragraph;z-index:252011520" type="#_x0000_t202" filled="false" stroked="false">
            <v:textbox inset="0,0,0,0" style="layout-flow:vertical;mso-layout-flow-alt:bottom-to-top">
              <w:txbxContent>
                <w:p>
                  <w:pPr>
                    <w:spacing w:before="20"/>
                    <w:ind w:left="20" w:right="0" w:firstLine="0"/>
                    <w:jc w:val="left"/>
                    <w:rPr>
                      <w:rFonts w:ascii="Century Gothic"/>
                      <w:b/>
                      <w:sz w:val="13"/>
                    </w:rPr>
                  </w:pPr>
                  <w:r>
                    <w:rPr>
                      <w:rFonts w:ascii="Century Gothic"/>
                      <w:b/>
                      <w:color w:val="4D4D4D"/>
                      <w:sz w:val="13"/>
                    </w:rPr>
                    <w:t>Goeth</w:t>
                  </w:r>
                  <w:r>
                    <w:rPr>
                      <w:rFonts w:ascii="Century Gothic"/>
                      <w:b/>
                      <w:color w:val="4D4D4D"/>
                      <w:position w:val="1"/>
                      <w:sz w:val="13"/>
                    </w:rPr>
                    <w:t>als Dr</w:t>
                  </w:r>
                </w:p>
              </w:txbxContent>
            </v:textbox>
            <w10:wrap type="none"/>
          </v:shape>
        </w:pict>
      </w:r>
      <w:r>
        <w:rPr/>
        <w:pict>
          <v:shape style="position:absolute;margin-left:388.979962pt;margin-top:12.940306pt;width:36.4pt;height:6.5pt;mso-position-horizontal-relative:page;mso-position-vertical-relative:paragraph;z-index:252022784;rotation:312" type="#_x0000_t136" fillcolor="#4d4d4d" stroked="f">
            <o:extrusion v:ext="view" autorotationcenter="t"/>
            <v:textpath style="font-family:&quot;Century Gothic&quot;;font-size:6pt;v-text-kern:t;mso-text-shadow:auto;font-weight:bold" string="Duportail St"/>
            <w10:wrap type="none"/>
          </v:shape>
        </w:pict>
      </w:r>
      <w:r>
        <w:rPr/>
        <w:pict>
          <v:shape style="position:absolute;margin-left:492.935638pt;margin-top:25.788456pt;width:40.4pt;height:6.5pt;mso-position-horizontal-relative:page;mso-position-vertical-relative:paragraph;z-index:252024832;rotation:354" type="#_x0000_t136" fillcolor="#4d4d4d" stroked="f">
            <o:extrusion v:ext="view" autorotationcenter="t"/>
            <v:textpath style="font-family:&quot;Century Gothic&quot;;font-size:6pt;v-text-kern:t;mso-text-shadow:auto;font-weight:bold" string="Comstock St"/>
            <w10:wrap type="none"/>
          </v:shape>
        </w:pict>
      </w:r>
      <w:r>
        <w:rPr>
          <w:rFonts w:ascii="Arial" w:hAnsi="Arial"/>
          <w:color w:val="FF0000"/>
          <w:spacing w:val="-283"/>
          <w:w w:val="126"/>
          <w:position w:val="-8"/>
          <w:sz w:val="40"/>
        </w:rPr>
        <w:t>§</w:t>
      </w:r>
      <w:r>
        <w:rPr>
          <w:rFonts w:ascii="Arial" w:hAnsi="Arial"/>
          <w:spacing w:val="-283"/>
          <w:w w:val="271"/>
          <w:position w:val="-8"/>
          <w:sz w:val="40"/>
        </w:rPr>
        <w:t>¦</w:t>
      </w:r>
      <w:r>
        <w:rPr>
          <w:rFonts w:ascii="Arial" w:hAnsi="Arial"/>
          <w:color w:val="0000FF"/>
          <w:spacing w:val="-237"/>
          <w:w w:val="211"/>
          <w:position w:val="-8"/>
          <w:sz w:val="40"/>
        </w:rPr>
        <w:t>¨</w:t>
      </w:r>
      <w:r>
        <w:rPr>
          <w:rFonts w:ascii="Arial" w:hAnsi="Arial"/>
          <w:b/>
          <w:color w:val="FFFFFF"/>
          <w:spacing w:val="-2"/>
          <w:w w:val="104"/>
          <w:sz w:val="11"/>
        </w:rPr>
        <w:t>1</w:t>
      </w:r>
      <w:r>
        <w:rPr>
          <w:rFonts w:ascii="Arial" w:hAnsi="Arial"/>
          <w:b/>
          <w:color w:val="FFFFFF"/>
          <w:spacing w:val="3"/>
          <w:w w:val="104"/>
          <w:sz w:val="11"/>
        </w:rPr>
        <w:t>8</w:t>
      </w:r>
      <w:r>
        <w:rPr>
          <w:rFonts w:ascii="Arial" w:hAnsi="Arial"/>
          <w:b/>
          <w:color w:val="FFFFFF"/>
          <w:w w:val="104"/>
          <w:sz w:val="11"/>
        </w:rPr>
        <w:t>2</w:t>
      </w:r>
    </w:p>
    <w:p>
      <w:pPr>
        <w:pStyle w:val="BodyText"/>
        <w:spacing w:before="8"/>
        <w:rPr>
          <w:rFonts w:ascii="Arial"/>
          <w:b/>
          <w:sz w:val="27"/>
        </w:rPr>
      </w:pPr>
    </w:p>
    <w:p>
      <w:pPr>
        <w:spacing w:before="97"/>
        <w:ind w:left="8130" w:right="3862" w:firstLine="0"/>
        <w:jc w:val="center"/>
        <w:rPr>
          <w:rFonts w:ascii="Century Gothic"/>
          <w:b/>
          <w:sz w:val="13"/>
        </w:rPr>
      </w:pPr>
      <w:r>
        <w:rPr/>
        <w:pict>
          <v:shape style="position:absolute;margin-left:319.664154pt;margin-top:21.114586pt;width:38.9pt;height:6.5pt;mso-position-horizontal-relative:page;mso-position-vertical-relative:paragraph;z-index:251993088;rotation:13" type="#_x0000_t136" fillcolor="#4d4d4d" stroked="f">
            <o:extrusion v:ext="view" autorotationcenter="t"/>
            <v:textpath style="font-family:&quot;Century Gothic&quot;;font-size:6pt;v-text-kern:t;mso-text-shadow:auto;font-weight:bold" string="Kennedy Rd"/>
            <w10:wrap type="none"/>
          </v:shape>
        </w:pict>
      </w:r>
      <w:r>
        <w:rPr/>
        <w:pict>
          <v:shape style="position:absolute;margin-left:388.065552pt;margin-top:42.840332pt;width:48.75pt;height:6.5pt;mso-position-horizontal-relative:page;mso-position-vertical-relative:paragraph;z-index:251999232;rotation:64" type="#_x0000_t136" fillcolor="#4d4d4d" stroked="f">
            <o:extrusion v:ext="view" autorotationcenter="t"/>
            <v:textpath style="font-family:&quot;Century Gothic&quot;;font-size:6pt;v-text-kern:t;mso-text-shadow:auto;font-weight:bold" string="Queensgate Dr"/>
            <w10:wrap type="none"/>
          </v:shape>
        </w:pict>
      </w:r>
      <w:r>
        <w:rPr/>
        <w:pict>
          <v:shape style="position:absolute;margin-left:340.233093pt;margin-top:35.437504pt;width:36.4pt;height:6.5pt;mso-position-horizontal-relative:page;mso-position-vertical-relative:paragraph;z-index:252023808;rotation:334" type="#_x0000_t136" fillcolor="#4d4d4d" stroked="f">
            <o:extrusion v:ext="view" autorotationcenter="t"/>
            <v:textpath style="font-family:&quot;Century Gothic&quot;;font-size:6pt;v-text-kern:t;mso-text-shadow:auto;font-weight:bold" string="Duportail St"/>
            <w10:wrap type="none"/>
          </v:shape>
        </w:pict>
      </w:r>
      <w:r>
        <w:rPr>
          <w:rFonts w:ascii="Century Gothic"/>
          <w:b/>
          <w:color w:val="4D4D4D"/>
          <w:sz w:val="13"/>
        </w:rPr>
        <w:t>Aaron </w:t>
      </w:r>
      <w:r>
        <w:rPr>
          <w:rFonts w:ascii="Century Gothic"/>
          <w:b/>
          <w:color w:val="4D4D4D"/>
          <w:position w:val="1"/>
          <w:sz w:val="13"/>
        </w:rPr>
        <w:t>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5"/>
        <w:rPr>
          <w:rFonts w:ascii="Century Gothic"/>
          <w:b/>
          <w:sz w:val="24"/>
        </w:rPr>
      </w:pPr>
    </w:p>
    <w:p>
      <w:pPr>
        <w:spacing w:after="0"/>
        <w:rPr>
          <w:rFonts w:ascii="Century Gothic"/>
          <w:sz w:val="24"/>
        </w:rPr>
        <w:sectPr>
          <w:type w:val="continuous"/>
          <w:pgSz w:w="15840" w:h="24480"/>
          <w:pgMar w:top="1480" w:bottom="1320" w:left="0" w:right="0"/>
        </w:sectPr>
      </w:pPr>
    </w:p>
    <w:p>
      <w:pPr>
        <w:spacing w:line="460" w:lineRule="exact" w:before="272"/>
        <w:ind w:left="0" w:right="38" w:firstLine="0"/>
        <w:jc w:val="right"/>
        <w:rPr>
          <w:rFonts w:ascii="Arial" w:hAnsi="Arial"/>
          <w:b/>
          <w:sz w:val="11"/>
        </w:rPr>
      </w:pPr>
      <w:r>
        <w:rPr>
          <w:rFonts w:ascii="Arial" w:hAnsi="Arial"/>
          <w:color w:val="FF0000"/>
          <w:spacing w:val="-283"/>
          <w:w w:val="126"/>
          <w:position w:val="-8"/>
          <w:sz w:val="40"/>
        </w:rPr>
        <w:t>§</w:t>
      </w:r>
      <w:r>
        <w:rPr>
          <w:rFonts w:ascii="Arial" w:hAnsi="Arial"/>
          <w:color w:val="0000FF"/>
          <w:spacing w:val="-283"/>
          <w:w w:val="211"/>
          <w:position w:val="-9"/>
          <w:sz w:val="40"/>
        </w:rPr>
        <w:t>¨</w:t>
      </w:r>
      <w:r>
        <w:rPr>
          <w:rFonts w:ascii="Arial" w:hAnsi="Arial"/>
          <w:spacing w:val="-237"/>
          <w:w w:val="271"/>
          <w:position w:val="-9"/>
          <w:sz w:val="40"/>
        </w:rPr>
        <w:t>¦</w:t>
      </w:r>
      <w:r>
        <w:rPr>
          <w:rFonts w:ascii="Arial" w:hAnsi="Arial"/>
          <w:b/>
          <w:color w:val="FFFFFF"/>
          <w:spacing w:val="-2"/>
          <w:w w:val="104"/>
          <w:sz w:val="11"/>
        </w:rPr>
        <w:t>1</w:t>
      </w:r>
      <w:r>
        <w:rPr>
          <w:rFonts w:ascii="Arial" w:hAnsi="Arial"/>
          <w:b/>
          <w:color w:val="FFFFFF"/>
          <w:spacing w:val="3"/>
          <w:w w:val="104"/>
          <w:sz w:val="11"/>
        </w:rPr>
        <w:t>8</w:t>
      </w:r>
      <w:r>
        <w:rPr>
          <w:rFonts w:ascii="Arial" w:hAnsi="Arial"/>
          <w:b/>
          <w:color w:val="FFFFFF"/>
          <w:w w:val="104"/>
          <w:sz w:val="11"/>
        </w:rPr>
        <w:t>2</w:t>
      </w:r>
    </w:p>
    <w:p>
      <w:pPr>
        <w:spacing w:before="54"/>
        <w:ind w:left="5613" w:right="3781" w:firstLine="0"/>
        <w:jc w:val="center"/>
        <w:rPr>
          <w:rFonts w:ascii="Arial"/>
          <w:b/>
          <w:sz w:val="13"/>
        </w:rPr>
      </w:pPr>
      <w:r>
        <w:rPr/>
        <w:br w:type="column"/>
      </w:r>
      <w:r>
        <w:rPr>
          <w:rFonts w:ascii="Arial Black"/>
          <w:color w:val="FFFFFF"/>
          <w:spacing w:val="-283"/>
          <w:w w:val="99"/>
          <w:position w:val="-3"/>
          <w:sz w:val="34"/>
        </w:rPr>
        <w:t>U</w:t>
      </w:r>
      <w:r>
        <w:rPr>
          <w:rFonts w:ascii="Arial Black"/>
          <w:spacing w:val="-251"/>
          <w:w w:val="106"/>
          <w:position w:val="-3"/>
          <w:sz w:val="34"/>
        </w:rPr>
        <w:t>V</w:t>
      </w:r>
      <w:r>
        <w:rPr>
          <w:rFonts w:ascii="Arial"/>
          <w:b/>
          <w:spacing w:val="-1"/>
          <w:w w:val="99"/>
          <w:sz w:val="13"/>
        </w:rPr>
        <w:t>2</w:t>
      </w:r>
      <w:r>
        <w:rPr>
          <w:rFonts w:ascii="Arial"/>
          <w:b/>
          <w:spacing w:val="4"/>
          <w:w w:val="99"/>
          <w:sz w:val="13"/>
        </w:rPr>
        <w:t>4</w:t>
      </w:r>
      <w:r>
        <w:rPr>
          <w:rFonts w:ascii="Arial"/>
          <w:b/>
          <w:w w:val="99"/>
          <w:sz w:val="13"/>
        </w:rPr>
        <w:t>0</w:t>
      </w:r>
    </w:p>
    <w:p>
      <w:pPr>
        <w:spacing w:after="0"/>
        <w:jc w:val="center"/>
        <w:rPr>
          <w:rFonts w:ascii="Arial"/>
          <w:sz w:val="13"/>
        </w:rPr>
        <w:sectPr>
          <w:type w:val="continuous"/>
          <w:pgSz w:w="15840" w:h="24480"/>
          <w:pgMar w:top="1480" w:bottom="1320" w:left="0" w:right="0"/>
          <w:cols w:num="2" w:equalWidth="0">
            <w:col w:w="5913" w:space="241"/>
            <w:col w:w="9686"/>
          </w:cols>
        </w:sectPr>
      </w:pPr>
    </w:p>
    <w:p>
      <w:pPr>
        <w:spacing w:line="169" w:lineRule="exact" w:before="0"/>
        <w:ind w:left="3842" w:right="2837" w:firstLine="0"/>
        <w:jc w:val="center"/>
        <w:rPr>
          <w:rFonts w:ascii="Century Gothic"/>
          <w:b/>
          <w:sz w:val="13"/>
        </w:rPr>
      </w:pPr>
      <w:r>
        <w:rPr/>
        <w:pict>
          <v:shape style="position:absolute;margin-left:560.040649pt;margin-top:5.024037pt;width:56.2pt;height:6.5pt;mso-position-horizontal-relative:page;mso-position-vertical-relative:paragraph;z-index:251994112;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446.403717pt;margin-top:7.371249pt;width:31pt;height:6.5pt;mso-position-horizontal-relative:page;mso-position-vertical-relative:paragraph;z-index:251997184;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438.594385pt;margin-top:16.196957pt;width:22.05pt;height:6.5pt;mso-position-horizontal-relative:page;mso-position-vertical-relative:paragraph;z-index:251998208;rotation:48" type="#_x0000_t136" fillcolor="#4d4d4d" stroked="f">
            <o:extrusion v:ext="view" autorotationcenter="t"/>
            <v:textpath style="font-family:&quot;Century Gothic&quot;;font-size:6pt;v-text-kern:t;mso-text-shadow:auto;font-weight:bold" string="Fuji Wy"/>
            <w10:wrap type="none"/>
          </v:shape>
        </w:pict>
      </w:r>
      <w:r>
        <w:rPr/>
        <w:pict>
          <v:shape style="position:absolute;margin-left:482.370117pt;margin-top:17.328596pt;width:44.7pt;height:6.5pt;mso-position-horizontal-relative:page;mso-position-vertical-relative:paragraph;z-index:252025856;rotation:358" type="#_x0000_t136" fillcolor="#4d4d4d" stroked="f">
            <o:extrusion v:ext="view" autorotationcenter="t"/>
            <v:textpath style="font-family:&quot;Century Gothic&quot;;font-size:6pt;v-text-kern:t;mso-text-shadow:auto;font-weight:bold" string="Englewood Dr"/>
            <w10:wrap type="none"/>
          </v:shape>
        </w:pict>
      </w:r>
      <w:r>
        <w:rPr>
          <w:rFonts w:ascii="Century Gothic"/>
          <w:b/>
          <w:color w:val="4D4D4D"/>
          <w:sz w:val="13"/>
        </w:rPr>
        <w:t>Shockl</w:t>
      </w:r>
      <w:r>
        <w:rPr>
          <w:rFonts w:ascii="Century Gothic"/>
          <w:b/>
          <w:color w:val="4D4D4D"/>
          <w:position w:val="1"/>
          <w:sz w:val="13"/>
        </w:rPr>
        <w:t>ey Rd</w:t>
      </w:r>
    </w:p>
    <w:p>
      <w:pPr>
        <w:pStyle w:val="BodyText"/>
        <w:spacing w:before="3"/>
        <w:rPr>
          <w:rFonts w:ascii="Century Gothic"/>
          <w:b/>
          <w:sz w:val="27"/>
        </w:rPr>
      </w:pPr>
    </w:p>
    <w:p>
      <w:pPr>
        <w:spacing w:before="103"/>
        <w:ind w:left="3842" w:right="2125" w:firstLine="0"/>
        <w:jc w:val="center"/>
        <w:rPr>
          <w:rFonts w:ascii="Century Gothic"/>
          <w:b/>
          <w:sz w:val="13"/>
        </w:rPr>
      </w:pPr>
      <w:r>
        <w:rPr/>
        <w:pict>
          <v:shape style="position:absolute;margin-left:663.76062pt;margin-top:10.390958pt;width:28.2pt;height:6.5pt;mso-position-horizontal-relative:page;mso-position-vertical-relative:paragraph;z-index:251992064;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639.558716pt;margin-top:34.340904pt;width:32.4500pt;height:6.5pt;mso-position-horizontal-relative:page;mso-position-vertical-relative:paragraph;z-index:251995136;rotation:25" type="#_x0000_t136" fillcolor="#4d4d4d" stroked="f">
            <o:extrusion v:ext="view" autorotationcenter="t"/>
            <v:textpath style="font-family:&quot;Century Gothic&quot;;font-size:6pt;v-text-kern:t;mso-text-shadow:auto;font-weight:bold" string="Tapteal Dr"/>
            <w10:wrap type="none"/>
          </v:shape>
        </w:pict>
      </w:r>
      <w:r>
        <w:rPr/>
        <w:pict>
          <v:shape style="position:absolute;margin-left:234.330185pt;margin-top:59.689796pt;width:10.3pt;height:31.6pt;mso-position-horizontal-relative:page;mso-position-vertical-relative:paragraph;z-index:252003328" type="#_x0000_t202" filled="false" stroked="false">
            <v:textbox inset="0,0,0,0" style="layout-flow:vertical;mso-layout-flow-alt:bottom-to-top">
              <w:txbxContent>
                <w:p>
                  <w:pPr>
                    <w:spacing w:before="15"/>
                    <w:ind w:left="20" w:right="0" w:firstLine="0"/>
                    <w:jc w:val="left"/>
                    <w:rPr>
                      <w:rFonts w:ascii="Century Gothic"/>
                      <w:b/>
                      <w:sz w:val="13"/>
                    </w:rPr>
                  </w:pPr>
                  <w:r>
                    <w:rPr>
                      <w:rFonts w:ascii="Century Gothic"/>
                      <w:b/>
                      <w:color w:val="4D4D4D"/>
                      <w:position w:val="1"/>
                      <w:sz w:val="13"/>
                    </w:rPr>
                    <w:t>D</w:t>
                  </w:r>
                  <w:r>
                    <w:rPr>
                      <w:rFonts w:ascii="Century Gothic"/>
                      <w:b/>
                      <w:color w:val="4D4D4D"/>
                      <w:sz w:val="13"/>
                    </w:rPr>
                    <w:t>allas Rd</w:t>
                  </w:r>
                </w:p>
              </w:txbxContent>
            </v:textbox>
            <w10:wrap type="none"/>
          </v:shape>
        </w:pict>
      </w:r>
      <w:r>
        <w:rPr/>
        <w:pict>
          <v:shape style="position:absolute;margin-left:537.188843pt;margin-top:71.779991pt;width:10.35pt;height:29.7pt;mso-position-horizontal-relative:page;mso-position-vertical-relative:paragraph;z-index:252012544" type="#_x0000_t202" filled="false" stroked="false">
            <v:textbox inset="0,0,0,0" style="layout-flow:vertical;mso-layout-flow-alt:bottom-to-top">
              <w:txbxContent>
                <w:p>
                  <w:pPr>
                    <w:spacing w:before="16"/>
                    <w:ind w:left="20" w:right="0" w:firstLine="0"/>
                    <w:jc w:val="left"/>
                    <w:rPr>
                      <w:rFonts w:ascii="Century Gothic"/>
                      <w:b/>
                      <w:sz w:val="13"/>
                    </w:rPr>
                  </w:pPr>
                  <w:r>
                    <w:rPr>
                      <w:rFonts w:ascii="Century Gothic"/>
                      <w:b/>
                      <w:color w:val="4D4D4D"/>
                      <w:position w:val="1"/>
                      <w:sz w:val="13"/>
                    </w:rPr>
                    <w:t>Le</w:t>
                  </w:r>
                  <w:r>
                    <w:rPr>
                      <w:rFonts w:ascii="Century Gothic"/>
                      <w:b/>
                      <w:color w:val="4D4D4D"/>
                      <w:sz w:val="13"/>
                    </w:rPr>
                    <w:t>slie Rd</w:t>
                  </w:r>
                </w:p>
              </w:txbxContent>
            </v:textbox>
            <w10:wrap type="none"/>
          </v:shape>
        </w:pict>
      </w:r>
      <w:r>
        <w:rPr/>
        <w:pict>
          <v:shape style="position:absolute;margin-left:615.799438pt;margin-top:13.290573pt;width:10.6pt;height:34.1pt;mso-position-horizontal-relative:page;mso-position-vertical-relative:paragraph;z-index:252013568"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sz w:val="13"/>
                    </w:rPr>
                    <w:t>Step</w:t>
                  </w:r>
                  <w:r>
                    <w:rPr>
                      <w:rFonts w:ascii="Century Gothic"/>
                      <w:b/>
                      <w:color w:val="4D4D4D"/>
                      <w:position w:val="1"/>
                      <w:sz w:val="13"/>
                    </w:rPr>
                    <w:t>toe St</w:t>
                  </w:r>
                </w:p>
              </w:txbxContent>
            </v:textbox>
            <w10:wrap type="none"/>
          </v:shape>
        </w:pict>
      </w:r>
      <w:r>
        <w:rPr/>
        <w:pict>
          <v:shape style="position:absolute;margin-left:448.159839pt;margin-top:24.771591pt;width:27.6pt;height:6.5pt;mso-position-horizontal-relative:page;mso-position-vertical-relative:paragraph;z-index:252016640;rotation:272" type="#_x0000_t136" fillcolor="#4d4d4d" stroked="f">
            <o:extrusion v:ext="view" autorotationcenter="t"/>
            <v:textpath style="font-family:&quot;Century Gothic&quot;;font-size:6pt;v-text-kern:t;mso-text-shadow:auto;font-weight:bold" string="Gala Wy"/>
            <w10:wrap type="none"/>
          </v:shape>
        </w:pict>
      </w:r>
      <w:r>
        <w:rPr>
          <w:rFonts w:ascii="Century Gothic"/>
          <w:b/>
          <w:color w:val="4D4D4D"/>
          <w:sz w:val="13"/>
        </w:rPr>
        <w:t>Westcliffe Blvd</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9"/>
        <w:rPr>
          <w:rFonts w:ascii="Century Gothic"/>
          <w:b/>
          <w:sz w:val="29"/>
        </w:rPr>
      </w:pPr>
    </w:p>
    <w:p>
      <w:pPr>
        <w:spacing w:after="0"/>
        <w:rPr>
          <w:rFonts w:ascii="Century Gothic"/>
          <w:sz w:val="29"/>
        </w:rPr>
        <w:sectPr>
          <w:type w:val="continuous"/>
          <w:pgSz w:w="15840" w:h="24480"/>
          <w:pgMar w:top="1480" w:bottom="1320" w:left="0" w:right="0"/>
        </w:sectPr>
      </w:pPr>
    </w:p>
    <w:p>
      <w:pPr>
        <w:pStyle w:val="BodyText"/>
        <w:spacing w:before="3"/>
        <w:rPr>
          <w:rFonts w:ascii="Century Gothic"/>
          <w:b/>
          <w:sz w:val="20"/>
        </w:rPr>
      </w:pPr>
    </w:p>
    <w:p>
      <w:pPr>
        <w:spacing w:line="350" w:lineRule="atLeast" w:before="0"/>
        <w:ind w:left="1929" w:right="169" w:firstLine="0"/>
        <w:jc w:val="left"/>
        <w:rPr>
          <w:rFonts w:ascii="Arial"/>
          <w:sz w:val="19"/>
        </w:rPr>
      </w:pPr>
      <w:r>
        <w:rPr/>
        <w:pict>
          <v:shape style="position:absolute;margin-left:66.483330pt;margin-top:23.766758pt;width:25.25pt;height:11.2pt;mso-position-horizontal-relative:page;mso-position-vertical-relative:paragraph;z-index:251990016" type="#_x0000_t202" filled="true" fillcolor="#cccccc" stroked="false">
            <v:textbox inset="0,0,0,0">
              <w:txbxContent>
                <w:p>
                  <w:pPr>
                    <w:spacing w:line="217" w:lineRule="exact" w:before="6"/>
                    <w:ind w:left="230" w:right="0" w:firstLine="0"/>
                    <w:jc w:val="left"/>
                    <w:rPr>
                      <w:rFonts w:ascii="Arial"/>
                      <w:sz w:val="19"/>
                    </w:rPr>
                  </w:pPr>
                  <w:r>
                    <w:rPr>
                      <w:rFonts w:ascii="Arial"/>
                      <w:w w:val="103"/>
                      <w:sz w:val="19"/>
                      <w:u w:val="thick"/>
                    </w:rPr>
                    <w:t> </w:t>
                  </w:r>
                  <w:r>
                    <w:rPr>
                      <w:rFonts w:ascii="Arial"/>
                      <w:spacing w:val="12"/>
                      <w:sz w:val="19"/>
                      <w:u w:val="thick"/>
                    </w:rPr>
                    <w:t> </w:t>
                  </w:r>
                </w:p>
              </w:txbxContent>
            </v:textbox>
            <v:fill type="solid"/>
            <w10:wrap type="none"/>
          </v:shape>
        </w:pict>
      </w:r>
      <w:r>
        <w:rPr/>
        <w:pict>
          <v:shape style="position:absolute;margin-left:448.480804pt;margin-top:-30.200499pt;width:31.15pt;height:6.5pt;mso-position-horizontal-relative:page;mso-position-vertical-relative:paragraph;z-index:251996160;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555.727295pt;margin-top:-28.624601pt;width:34.1pt;height:6.5pt;mso-position-horizontal-relative:page;mso-position-vertical-relative:paragraph;z-index:252026880;rotation:359" type="#_x0000_t136" fillcolor="#4d4d4d" stroked="f">
            <o:extrusion v:ext="view" autorotationcenter="t"/>
            <v:textpath style="font-family:&quot;Century Gothic&quot;;font-size:6pt;v-text-kern:t;mso-text-shadow:auto;font-weight:bold" string="Gage Blvd"/>
            <w10:wrap type="none"/>
          </v:shape>
        </w:pict>
      </w:r>
      <w:r>
        <w:rPr>
          <w:rFonts w:ascii="Arial"/>
          <w:w w:val="105"/>
          <w:sz w:val="19"/>
        </w:rPr>
        <w:t>Richland City Limits Urban Growth Area</w:t>
      </w:r>
    </w:p>
    <w:p>
      <w:pPr>
        <w:tabs>
          <w:tab w:pos="1929" w:val="left" w:leader="none"/>
        </w:tabs>
        <w:spacing w:before="17"/>
        <w:ind w:left="1447" w:right="0" w:firstLine="0"/>
        <w:jc w:val="left"/>
        <w:rPr>
          <w:rFonts w:ascii="Arial"/>
          <w:sz w:val="19"/>
        </w:rPr>
      </w:pPr>
      <w:r>
        <w:rPr>
          <w:rFonts w:ascii="Arial"/>
          <w:color w:val="FFFF00"/>
          <w:spacing w:val="-253"/>
          <w:w w:val="251"/>
          <w:position w:val="-3"/>
          <w:sz w:val="36"/>
        </w:rPr>
        <w:t>!</w:t>
      </w:r>
      <w:r>
        <w:rPr>
          <w:rFonts w:ascii="Arial"/>
          <w:w w:val="89"/>
          <w:position w:val="-4"/>
          <w:sz w:val="36"/>
        </w:rPr>
        <w:t>O</w:t>
      </w:r>
      <w:r>
        <w:rPr>
          <w:rFonts w:ascii="Arial"/>
          <w:position w:val="-4"/>
          <w:sz w:val="36"/>
        </w:rPr>
        <w:tab/>
      </w:r>
      <w:r>
        <w:rPr>
          <w:rFonts w:ascii="Arial"/>
          <w:spacing w:val="-10"/>
          <w:w w:val="103"/>
          <w:sz w:val="19"/>
        </w:rPr>
        <w:t>T</w:t>
      </w:r>
      <w:r>
        <w:rPr>
          <w:rFonts w:ascii="Arial"/>
          <w:spacing w:val="1"/>
          <w:w w:val="103"/>
          <w:sz w:val="19"/>
        </w:rPr>
        <w:t>r</w:t>
      </w:r>
      <w:r>
        <w:rPr>
          <w:rFonts w:ascii="Arial"/>
          <w:spacing w:val="5"/>
          <w:w w:val="103"/>
          <w:sz w:val="19"/>
        </w:rPr>
        <w:t>a</w:t>
      </w:r>
      <w:r>
        <w:rPr>
          <w:rFonts w:ascii="Arial"/>
          <w:w w:val="103"/>
          <w:sz w:val="19"/>
        </w:rPr>
        <w:t>n</w:t>
      </w:r>
      <w:r>
        <w:rPr>
          <w:rFonts w:ascii="Arial"/>
          <w:spacing w:val="2"/>
          <w:w w:val="103"/>
          <w:sz w:val="19"/>
        </w:rPr>
        <w:t>s</w:t>
      </w:r>
      <w:r>
        <w:rPr>
          <w:rFonts w:ascii="Arial"/>
          <w:spacing w:val="-1"/>
          <w:w w:val="103"/>
          <w:sz w:val="19"/>
        </w:rPr>
        <w:t>i</w:t>
      </w:r>
      <w:r>
        <w:rPr>
          <w:rFonts w:ascii="Arial"/>
          <w:w w:val="103"/>
          <w:sz w:val="19"/>
        </w:rPr>
        <w:t>t</w:t>
      </w:r>
      <w:r>
        <w:rPr>
          <w:rFonts w:ascii="Arial"/>
          <w:spacing w:val="2"/>
          <w:sz w:val="19"/>
        </w:rPr>
        <w:t> </w:t>
      </w:r>
      <w:r>
        <w:rPr>
          <w:rFonts w:ascii="Arial"/>
          <w:spacing w:val="1"/>
          <w:w w:val="103"/>
          <w:sz w:val="19"/>
        </w:rPr>
        <w:t>C</w:t>
      </w:r>
      <w:r>
        <w:rPr>
          <w:rFonts w:ascii="Arial"/>
          <w:w w:val="103"/>
          <w:sz w:val="19"/>
        </w:rPr>
        <w:t>e</w:t>
      </w:r>
      <w:r>
        <w:rPr>
          <w:rFonts w:ascii="Arial"/>
          <w:spacing w:val="5"/>
          <w:w w:val="103"/>
          <w:sz w:val="19"/>
        </w:rPr>
        <w:t>n</w:t>
      </w:r>
      <w:r>
        <w:rPr>
          <w:rFonts w:ascii="Arial"/>
          <w:spacing w:val="-2"/>
          <w:w w:val="103"/>
          <w:sz w:val="19"/>
        </w:rPr>
        <w:t>t</w:t>
      </w:r>
      <w:r>
        <w:rPr>
          <w:rFonts w:ascii="Arial"/>
          <w:spacing w:val="5"/>
          <w:w w:val="103"/>
          <w:sz w:val="19"/>
        </w:rPr>
        <w:t>e</w:t>
      </w:r>
      <w:r>
        <w:rPr>
          <w:rFonts w:ascii="Arial"/>
          <w:w w:val="103"/>
          <w:sz w:val="19"/>
        </w:rPr>
        <w:t>r</w:t>
      </w:r>
    </w:p>
    <w:p>
      <w:pPr>
        <w:spacing w:line="384" w:lineRule="auto" w:before="51"/>
        <w:ind w:left="1929" w:right="24" w:firstLine="0"/>
        <w:jc w:val="left"/>
        <w:rPr>
          <w:rFonts w:ascii="Arial"/>
          <w:sz w:val="19"/>
        </w:rPr>
      </w:pPr>
      <w:r>
        <w:rPr>
          <w:rFonts w:ascii="Arial"/>
          <w:w w:val="105"/>
          <w:sz w:val="19"/>
        </w:rPr>
        <w:t>On-Street Bike Route Class I Trail</w:t>
      </w:r>
    </w:p>
    <w:p>
      <w:pPr>
        <w:spacing w:before="7"/>
        <w:ind w:left="1929" w:right="0" w:firstLine="0"/>
        <w:jc w:val="left"/>
        <w:rPr>
          <w:rFonts w:ascii="Arial"/>
          <w:sz w:val="19"/>
        </w:rPr>
      </w:pPr>
      <w:r>
        <w:rPr>
          <w:rFonts w:ascii="Arial"/>
          <w:w w:val="105"/>
          <w:sz w:val="19"/>
        </w:rPr>
        <w:t>Soft Trail</w:t>
      </w:r>
    </w:p>
    <w:p>
      <w:pPr>
        <w:pStyle w:val="BodyText"/>
        <w:rPr>
          <w:rFonts w:ascii="Arial"/>
          <w:sz w:val="40"/>
        </w:rPr>
      </w:pPr>
      <w:r>
        <w:rPr/>
        <w:br w:type="column"/>
      </w:r>
      <w:r>
        <w:rPr>
          <w:rFonts w:ascii="Arial"/>
          <w:sz w:val="40"/>
        </w:rPr>
      </w:r>
    </w:p>
    <w:p>
      <w:pPr>
        <w:pStyle w:val="BodyText"/>
        <w:rPr>
          <w:rFonts w:ascii="Arial"/>
          <w:sz w:val="40"/>
        </w:rPr>
      </w:pPr>
    </w:p>
    <w:p>
      <w:pPr>
        <w:pStyle w:val="BodyText"/>
        <w:rPr>
          <w:rFonts w:ascii="Arial"/>
          <w:sz w:val="40"/>
        </w:rPr>
      </w:pPr>
    </w:p>
    <w:p>
      <w:pPr>
        <w:pStyle w:val="BodyText"/>
        <w:rPr>
          <w:rFonts w:ascii="Arial"/>
          <w:sz w:val="40"/>
        </w:rPr>
      </w:pPr>
    </w:p>
    <w:p>
      <w:pPr>
        <w:pStyle w:val="BodyText"/>
        <w:rPr>
          <w:rFonts w:ascii="Arial"/>
          <w:sz w:val="40"/>
        </w:rPr>
      </w:pPr>
    </w:p>
    <w:p>
      <w:pPr>
        <w:pStyle w:val="BodyText"/>
        <w:spacing w:before="2"/>
        <w:rPr>
          <w:rFonts w:ascii="Arial"/>
          <w:sz w:val="39"/>
        </w:rPr>
      </w:pPr>
    </w:p>
    <w:p>
      <w:pPr>
        <w:spacing w:before="0"/>
        <w:ind w:left="0" w:right="38" w:firstLine="0"/>
        <w:jc w:val="right"/>
        <w:rPr>
          <w:rFonts w:ascii="Arial" w:hAnsi="Arial"/>
          <w:b/>
          <w:sz w:val="11"/>
        </w:rPr>
      </w:pPr>
      <w:r>
        <w:rPr/>
        <w:pict>
          <v:shape style="position:absolute;margin-left:509.750092pt;margin-top:-11.915743pt;width:28.8pt;height:6.5pt;mso-position-horizontal-relative:page;mso-position-vertical-relative:paragraph;z-index:251991040;rotation:1" type="#_x0000_t136" fillcolor="#4d4d4d" stroked="f">
            <o:extrusion v:ext="view" autorotationcenter="t"/>
            <v:textpath style="font-family:&quot;Century Gothic&quot;;font-size:6pt;v-text-kern:t;mso-text-shadow:auto;font-weight:bold" string="Reata Rd"/>
            <w10:wrap type="none"/>
          </v:shape>
        </w:pict>
      </w:r>
      <w:r>
        <w:rPr>
          <w:rFonts w:ascii="Arial" w:hAnsi="Arial"/>
          <w:color w:val="FF0000"/>
          <w:spacing w:val="-283"/>
          <w:w w:val="126"/>
          <w:sz w:val="40"/>
        </w:rPr>
        <w:t>§</w:t>
      </w:r>
      <w:r>
        <w:rPr>
          <w:rFonts w:ascii="Arial" w:hAnsi="Arial"/>
          <w:color w:val="0000FF"/>
          <w:spacing w:val="-283"/>
          <w:w w:val="211"/>
          <w:sz w:val="40"/>
        </w:rPr>
        <w:t>¨</w:t>
      </w:r>
      <w:r>
        <w:rPr>
          <w:rFonts w:ascii="Arial" w:hAnsi="Arial"/>
          <w:spacing w:val="-208"/>
          <w:w w:val="271"/>
          <w:sz w:val="40"/>
        </w:rPr>
        <w:t>¦</w:t>
      </w:r>
      <w:r>
        <w:rPr>
          <w:rFonts w:ascii="Arial" w:hAnsi="Arial"/>
          <w:b/>
          <w:color w:val="FFFFFF"/>
          <w:spacing w:val="-2"/>
          <w:w w:val="104"/>
          <w:position w:val="10"/>
          <w:sz w:val="11"/>
        </w:rPr>
        <w:t>8</w:t>
      </w:r>
      <w:r>
        <w:rPr>
          <w:rFonts w:ascii="Arial" w:hAnsi="Arial"/>
          <w:b/>
          <w:color w:val="FFFFFF"/>
          <w:w w:val="104"/>
          <w:position w:val="10"/>
          <w:sz w:val="11"/>
        </w:rPr>
        <w:t>2</w:t>
      </w:r>
    </w:p>
    <w:p>
      <w:pPr>
        <w:spacing w:before="124"/>
        <w:ind w:left="0" w:right="1158" w:firstLine="0"/>
        <w:jc w:val="right"/>
        <w:rPr>
          <w:rFonts w:ascii="Arial"/>
          <w:sz w:val="36"/>
        </w:rPr>
      </w:pPr>
      <w:r>
        <w:rPr/>
        <w:br w:type="column"/>
      </w:r>
      <w:r>
        <w:rPr>
          <w:rFonts w:ascii="Arial"/>
          <w:color w:val="FFFF00"/>
          <w:spacing w:val="-253"/>
          <w:w w:val="251"/>
          <w:sz w:val="36"/>
        </w:rPr>
        <w:t>!</w:t>
      </w:r>
      <w:r>
        <w:rPr>
          <w:rFonts w:ascii="Arial"/>
          <w:w w:val="89"/>
          <w:sz w:val="36"/>
        </w:rPr>
        <w:t>O</w:t>
      </w:r>
    </w:p>
    <w:p>
      <w:pPr>
        <w:pStyle w:val="BodyText"/>
        <w:rPr>
          <w:rFonts w:ascii="Arial"/>
          <w:sz w:val="36"/>
        </w:rPr>
      </w:pPr>
    </w:p>
    <w:p>
      <w:pPr>
        <w:pStyle w:val="BodyText"/>
        <w:spacing w:before="8"/>
        <w:rPr>
          <w:rFonts w:ascii="Arial"/>
          <w:sz w:val="47"/>
        </w:rPr>
      </w:pPr>
    </w:p>
    <w:p>
      <w:pPr>
        <w:spacing w:before="1"/>
        <w:ind w:left="1447" w:right="0" w:firstLine="0"/>
        <w:jc w:val="left"/>
        <w:rPr>
          <w:rFonts w:ascii="Arial"/>
          <w:sz w:val="24"/>
        </w:rPr>
      </w:pPr>
      <w:r>
        <w:rPr/>
        <w:pict>
          <v:shape style="position:absolute;margin-left:595.380884pt;margin-top:-58.001764pt;width:36.050pt;height:6.5pt;mso-position-horizontal-relative:page;mso-position-vertical-relative:paragraph;z-index:252001280;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616.787476pt;margin-top:-78.379906pt;width:11.25pt;height:68.4pt;mso-position-horizontal-relative:page;mso-position-vertical-relative:paragraph;z-index:252014592" type="#_x0000_t202" filled="false" stroked="false">
            <v:textbox inset="0,0,0,0" style="layout-flow:vertical;mso-layout-flow-alt:bottom-to-top">
              <w:txbxContent>
                <w:p>
                  <w:pPr>
                    <w:tabs>
                      <w:tab w:pos="1347" w:val="left" w:leader="none"/>
                    </w:tabs>
                    <w:spacing w:before="45"/>
                    <w:ind w:left="20" w:right="0" w:firstLine="0"/>
                    <w:jc w:val="left"/>
                    <w:rPr>
                      <w:rFonts w:ascii="Century Gothic"/>
                      <w:b/>
                      <w:sz w:val="13"/>
                    </w:rPr>
                  </w:pPr>
                  <w:r>
                    <w:rPr>
                      <w:rFonts w:ascii="Century Gothic"/>
                      <w:b/>
                      <w:color w:val="4D4D4D"/>
                      <w:w w:val="99"/>
                      <w:sz w:val="13"/>
                      <w:u w:val="single" w:color="B2B2B2"/>
                    </w:rPr>
                    <w:t> </w:t>
                  </w:r>
                  <w:r>
                    <w:rPr>
                      <w:rFonts w:ascii="Century Gothic"/>
                      <w:b/>
                      <w:color w:val="4D4D4D"/>
                      <w:sz w:val="13"/>
                      <w:u w:val="single" w:color="B2B2B2"/>
                    </w:rPr>
                    <w:tab/>
                  </w:r>
                </w:p>
              </w:txbxContent>
            </v:textbox>
            <w10:wrap type="none"/>
          </v:shape>
        </w:pict>
      </w:r>
      <w:r>
        <w:rPr>
          <w:rFonts w:ascii="Arial"/>
          <w:shadow/>
          <w:color w:val="6B6B6C"/>
          <w:sz w:val="24"/>
        </w:rPr>
        <w:t>K</w:t>
      </w:r>
      <w:r>
        <w:rPr>
          <w:rFonts w:ascii="Arial"/>
          <w:shadow w:val="0"/>
          <w:color w:val="6B6B6C"/>
          <w:spacing w:val="-11"/>
          <w:sz w:val="24"/>
        </w:rPr>
        <w:t> </w:t>
      </w:r>
      <w:r>
        <w:rPr>
          <w:rFonts w:ascii="Arial"/>
          <w:shadow/>
          <w:color w:val="6B6B6C"/>
          <w:sz w:val="24"/>
        </w:rPr>
        <w:t>e</w:t>
      </w:r>
      <w:r>
        <w:rPr>
          <w:rFonts w:ascii="Arial"/>
          <w:shadow w:val="0"/>
          <w:color w:val="6B6B6C"/>
          <w:spacing w:val="-4"/>
          <w:sz w:val="24"/>
        </w:rPr>
        <w:t> </w:t>
      </w:r>
      <w:r>
        <w:rPr>
          <w:rFonts w:ascii="Arial"/>
          <w:shadow/>
          <w:color w:val="6B6B6C"/>
          <w:sz w:val="24"/>
        </w:rPr>
        <w:t>n</w:t>
      </w:r>
      <w:r>
        <w:rPr>
          <w:rFonts w:ascii="Arial"/>
          <w:shadow w:val="0"/>
          <w:color w:val="6B6B6C"/>
          <w:spacing w:val="-9"/>
          <w:sz w:val="24"/>
        </w:rPr>
        <w:t> </w:t>
      </w:r>
      <w:r>
        <w:rPr>
          <w:rFonts w:ascii="Arial"/>
          <w:shadow/>
          <w:color w:val="6B6B6C"/>
          <w:sz w:val="24"/>
        </w:rPr>
        <w:t>n</w:t>
      </w:r>
      <w:r>
        <w:rPr>
          <w:rFonts w:ascii="Arial"/>
          <w:shadow w:val="0"/>
          <w:color w:val="6B6B6C"/>
          <w:spacing w:val="-9"/>
          <w:sz w:val="24"/>
        </w:rPr>
        <w:t> </w:t>
      </w:r>
      <w:r>
        <w:rPr>
          <w:rFonts w:ascii="Arial"/>
          <w:shadow/>
          <w:color w:val="6B6B6C"/>
          <w:sz w:val="24"/>
        </w:rPr>
        <w:t>e</w:t>
      </w:r>
      <w:r>
        <w:rPr>
          <w:rFonts w:ascii="Arial"/>
          <w:shadow w:val="0"/>
          <w:color w:val="6B6B6C"/>
          <w:spacing w:val="-9"/>
          <w:sz w:val="24"/>
        </w:rPr>
        <w:t> </w:t>
      </w:r>
      <w:r>
        <w:rPr>
          <w:rFonts w:ascii="Arial"/>
          <w:shadow/>
          <w:color w:val="6B6B6C"/>
          <w:sz w:val="24"/>
        </w:rPr>
        <w:t>w</w:t>
      </w:r>
      <w:r>
        <w:rPr>
          <w:rFonts w:ascii="Arial"/>
          <w:shadow w:val="0"/>
          <w:color w:val="6B6B6C"/>
          <w:spacing w:val="-5"/>
          <w:sz w:val="24"/>
        </w:rPr>
        <w:t> </w:t>
      </w:r>
      <w:r>
        <w:rPr>
          <w:rFonts w:ascii="Arial"/>
          <w:shadow/>
          <w:color w:val="6B6B6C"/>
          <w:sz w:val="24"/>
        </w:rPr>
        <w:t>i</w:t>
      </w:r>
      <w:r>
        <w:rPr>
          <w:rFonts w:ascii="Arial"/>
          <w:shadow w:val="0"/>
          <w:color w:val="6B6B6C"/>
          <w:spacing w:val="-10"/>
          <w:sz w:val="24"/>
        </w:rPr>
        <w:t> </w:t>
      </w:r>
      <w:r>
        <w:rPr>
          <w:rFonts w:ascii="Arial"/>
          <w:shadow/>
          <w:color w:val="6B6B6C"/>
          <w:sz w:val="24"/>
        </w:rPr>
        <w:t>c</w:t>
      </w:r>
      <w:r>
        <w:rPr>
          <w:rFonts w:ascii="Arial"/>
          <w:shadow w:val="0"/>
          <w:color w:val="6B6B6C"/>
          <w:spacing w:val="-5"/>
          <w:sz w:val="24"/>
        </w:rPr>
        <w:t> </w:t>
      </w:r>
      <w:r>
        <w:rPr>
          <w:rFonts w:ascii="Arial"/>
          <w:shadow/>
          <w:color w:val="6B6B6C"/>
          <w:sz w:val="24"/>
        </w:rPr>
        <w:t>k</w:t>
      </w:r>
    </w:p>
    <w:p>
      <w:pPr>
        <w:spacing w:after="0"/>
        <w:jc w:val="left"/>
        <w:rPr>
          <w:rFonts w:ascii="Arial"/>
          <w:sz w:val="24"/>
        </w:rPr>
        <w:sectPr>
          <w:type w:val="continuous"/>
          <w:pgSz w:w="15840" w:h="24480"/>
          <w:pgMar w:top="1480" w:bottom="1320" w:left="0" w:right="0"/>
          <w:cols w:num="3" w:equalWidth="0">
            <w:col w:w="3870" w:space="3316"/>
            <w:col w:w="1689" w:space="2725"/>
            <w:col w:w="4240"/>
          </w:cols>
        </w:sectPr>
      </w:pPr>
    </w:p>
    <w:p>
      <w:pPr>
        <w:pStyle w:val="BodyText"/>
        <w:spacing w:before="6"/>
        <w:rPr>
          <w:rFonts w:ascii="Arial"/>
          <w:sz w:val="24"/>
        </w:rPr>
      </w:pPr>
      <w:r>
        <w:rPr/>
        <w:pict>
          <v:group style="position:absolute;margin-left:35.041752pt;margin-top:35.519627pt;width:721.75pt;height:1152.95pt;mso-position-horizontal-relative:page;mso-position-vertical-relative:page;z-index:-268048384" coordorigin="701,710" coordsize="14435,23059">
            <v:rect style="position:absolute;left:720;top:2879;width:14401;height:20880" filled="true" fillcolor="#e5e2cf" stroked="false">
              <v:fill type="solid"/>
            </v:rect>
            <v:shape style="position:absolute;left:715;top:3273;width:14416;height:20496" type="#_x0000_t75" stroked="false">
              <v:imagedata r:id="rId176" o:title=""/>
            </v:shape>
            <v:shape style="position:absolute;left:1545;top:5092;width:8055;height:1589" coordorigin="1546,5093" coordsize="8055,1589" path="m1546,5093l6648,6667m6648,6667l6653,6667,6658,6672,6663,6672,6668,6672,6672,6672,6677,6677,6682,6677,6687,6677,6692,6677,6696,6677,6701,6682,6706,6682,6711,6682,6716,6682,6720,6682,6725,6682,6730,6682,6735,6682,6740,6682m6740,6682l9303,6672,9303,6667,9380,6667,9384,6658,9384,6653,9432,6653,9428,5952,9437,5918,9600,5962e" filled="false" stroked="true" strokeweight="3.12016pt" strokecolor="#cccccc">
              <v:path arrowok="t"/>
              <v:stroke dashstyle="solid"/>
            </v:shape>
            <v:shape style="position:absolute;left:9569;top:5930;width:197;height:154" type="#_x0000_t75" stroked="false">
              <v:imagedata r:id="rId177" o:title=""/>
            </v:shape>
            <v:shape style="position:absolute;left:9734;top:6052;width:5137;height:13335" coordorigin="9735,6053" coordsize="5137,13335" path="m9735,6053l10138,6590m10138,6590l10153,6614m10153,6614l10210,6610,10537,6605,10652,6605,10657,6605,11060,6600,11084,6634,11132,6730,11223,6854,11333,7027,11372,7133,11429,7325,11458,7421,11477,7483,11501,7579,11511,7632,11535,7738,11559,7834,11597,7930,11621,8016,11641,8112,11669,8218,11703,8371,11722,8448,11775,8947,11924,10128,11943,10305,11953,10397,11948,10637,11919,10881,11857,11088,11765,11313,11665,11496,11612,11597,11559,11717,11477,11885,11405,12067,11338,12235,11261,12432,11161,12609,11079,12739,11012,12873,10925,13056,10873,13200,10796,13401,10753,13598,10738,13877,10724,14131,10757,14333,10796,14539,10853,14712,10949,14889m10949,14889l10954,14894,10954,14899,10959,14904,10959,14909,10964,14913,10969,14918,10969,14923,10973,14928,10978,14933,10978,14937,10983,14942,10988,14947,10988,14952,10993,14957,10997,14961,11002,14966,11002,14971,11007,14976,11012,14981,11017,14985,11017,14990,11021,14995,11026,15000,11031,15005,11036,15009,11041,15014,11045,15019,11050,15024,11055,15029,11060,15033,11065,15038,11069,15043,11074,15048,11079,15053,11084,15057,11089,15062,11093,15067,11098,15072,11103,15077,11108,15077,11113,15081,11117,15086,11122,15091,11127,15091,11132,15096,11137,15101,11141,15105,11146,15105,11151,15110,11156,15115,11161,15115,11165,15120,11170,15125,11175,15125,11180,15129,11185,15134,11189,15134,11194,15139,11199,15139,11204,15144,11209,15144,11213,15149,11218,15153,11223,15153,11228,15158,11233,15158,11237,15163,11242,15163,11247,15163,11252,15168,11257,15168,11261,15173,11266,15173,11271,15177,11276,15177,11281,15177,11285,15182,11290,15182,11295,15187,11300,15187,11305,15187,11309,15192,11314,15192,11319,15192,11324,15197,11329,15197,11333,15197,11338,15201,11343,15201,11348,15201,11353,15201,11357,15206,11362,15206,11367,15206,11372,15206,11377,15206m11377,15206l11381,15211,11386,15211,11391,15211,11396,15211,11401,15216,11405,15216,11410,15216,11415,15216,11420,15221,11425,15221,11429,15221,11434,15225,11439,15225,11444,15225,11449,15225,11453,15230,11458,15230,11463,15230,11468,15230,11473,15235,11477,15235,11482,15235,11487,15235,11492,15240,11497,15240,11501,15240,11506,15245,11511,15245,11516,15245,11521,15245,11525,15249,11530,15249,11535,15249,11540,15254,11545,15254,11549,15254,11554,15259,11559,15259,11564,15259,11569,15259,11573,15264,11578,15264,11583,15264,11588,15269,11593,15269,11597,15269,11602,15273,11607,15273,11612,15273,11617,15273,11621,15278,11626,15278,11631,15278,11636,15283,11641,15283,11645,15283,11650,15288,11655,15288,11660,15288,11665,15293,11669,15293,11674,15293,11679,15297,11684,15297,11689,15297,11693,15302,11698,15302,11703,15302,11708,15307,11713,15307,11717,15307,11722,15312,11727,15312,11732,15312,11737,15317,11741,15317,11746,15317,11751,15321,11756,15321,11761,15326,11765,15326,11770,15326,11775,15331,11780,15331,11785,15331,11789,15336,11794,15336,11799,15336,11804,15341,11809,15341,11813,15341,11818,15345,11823,15345,11828,15350,11833,15350,11837,15350,11842,15355,11847,15355,11852,15360,11857,15360,11861,15360,11866,15365,11871,15365,11876,15365,11881,15369,11885,15369,11890,15374,11895,15374,11900,15374,11905,15379,11909,15379,11914,15384,11919,15384,11924,15384,11929,15389,11933,15389,11938,15393,11943,15393,11948,15393,11953,15398,11957,15398,11962,15403,11967,15403,11972,15408,11977,15408,11981,15408,11986,15413,11991,15413,11996,15417,12001,15417,12005,15417,12010,15422,12015,15422,12020,15427,12025,15427,12029,15432,12034,15432,12039,15432,12044,15437,12049,15437,12053,15441,12058,15441,12063,15446,12068,15446,12073,15451,12077,15451,12082,15456,12087,15456,12092,15456,12097,15461,12101,15461,12106,15465,12111,15465,12116,15470,12121,15470,12125,15475,12130,15475,12135,15480,12140,15480,12145,15485,12149,15485,12154,15485,12159,15489,12164,15489,12169,15494,12173,15494,12178,15499,12183,15499,12188,15504,12193,15504,12197,15509,12202,15509,12207,15513,12212,15513,12217,15518,12221,15518,12226,15523,12231,15523,12236,15528,12241,15528,12245,15533,12250,15533,12255,15537,12260,15537,12265,15542,12269,15542,12274,15547,12279,15547,12284,15552,12289,15552,12293,15557,12298,15557,12303,15561,12308,15566,12313,15566,12317,15571,12322,15571,12327,15576,12332,15576,12337,15581,12341,15581,12346,15585,12351,15585,12356,15590,12361,15590,12365,15595,12370,15600,12375,15600,12380,15605,12385,15605,12389,15609,12394,15609,12399,15614,12404,15614,12409,15619,12413,15624,12418,15624,12423,15629,12428,15629,12433,15633,12437,15633,12442,15638,12447,15643,12452,15643,12457,15648,12461,15648,12466,15653,12471,15657,12476,15657,12481,15662,12485,15662,12490,15667,12495,15667,12500,15672,12505,15677,12509,15677,12514,15681,12519,15681,12524,15686,12529,15691,12533,15691,12538,15696,12543,15701m12543,15701l12601,15739m12601,15739l12817,15902,12975,16046,13114,16200,13201,16305,13359,16483,13532,16713,13681,16949,13849,17102,13998,17246,14113,17395,14271,17592,14454,17755,14617,17966,14727,18086,14818,18173,14871,18821,14866,18821,14871,19037,14862,19109,14842,19104,14780,19099,14396,19089,14396,19099,14247,19094,14166,19089,14041,19219,14002,19219,13998,19277,13998,19373,13642,19377,13642,19387e" filled="false" stroked="true" strokeweight="3.12016pt" strokecolor="#cccccc">
              <v:path arrowok="t"/>
              <v:stroke dashstyle="solid"/>
            </v:shape>
            <v:shape style="position:absolute;left:13332;top:19255;width:341;height:164" type="#_x0000_t75" stroked="false">
              <v:imagedata r:id="rId178" o:title=""/>
            </v:shape>
            <v:shape style="position:absolute;left:11799;top:18743;width:1565;height:3159" coordorigin="11799,18744" coordsize="1565,3159" path="m13364,19286l13359,19291,12754,18897m12754,18897l12649,18830m12649,18830l12572,18777m12572,18777l12519,18744m12519,18744l12519,18859,12519,18955,12500,18955,12140,18960,12140,19637,12519,19627,12509,21163,12625,21163,12629,21595,12245,21739,11861,21878,11799,21902e" filled="false" stroked="true" strokeweight="3.12016pt" strokecolor="#cccccc">
              <v:path arrowok="t"/>
              <v:stroke dashstyle="solid"/>
            </v:shape>
            <v:shape style="position:absolute;left:715;top:2872;width:14418;height:20851" type="#_x0000_t75" stroked="false">
              <v:imagedata r:id="rId179" o:title=""/>
            </v:shape>
            <v:shape style="position:absolute;left:1473;top:5097;width:3452;height:1052" coordorigin="1474,5098" coordsize="3452,1052" path="m1474,5131l1478,5122,1483,5122,1483,5117,1488,5112,1493,5112,1493,5107,1498,5107,1502,5102,1507,5102,1512,5102,1517,5098,1522,5098,1526,5098,1531,5098,1536,5102,1541,5102,4925,6149e" filled="false" stroked="true" strokeweight=".48002pt" strokecolor="#b2b2b2">
              <v:path arrowok="t"/>
              <v:stroke dashstyle="solid"/>
            </v:shape>
            <v:shape style="position:absolute;left:715;top:4547;width:14416;height:19223" type="#_x0000_t75" stroked="false">
              <v:imagedata r:id="rId180" o:title=""/>
            </v:shape>
            <v:line style="position:absolute" from="10059,5942" to="10059,6307" stroked="true" strokeweight="2.16011pt" strokecolor="#b2b2b2">
              <v:stroke dashstyle="solid"/>
            </v:line>
            <v:shape style="position:absolute;left:9379;top:3225;width:807;height:2170" coordorigin="9380,3226" coordsize="807,2170" path="m10186,5395l10186,5299m10186,5299l10181,5150,10181,5069,10181,5054m9404,4210l9389,4210m9408,4646l9389,4646m9380,3226l9389,4210m9404,4210l9394,3226e" filled="false" stroked="true" strokeweight=".48002pt" strokecolor="#b2b2b2">
              <v:path arrowok="t"/>
              <v:stroke dashstyle="solid"/>
            </v:shape>
            <v:shape style="position:absolute;left:9370;top:2875;width:196;height:418" type="#_x0000_t75" stroked="false">
              <v:imagedata r:id="rId181" o:title=""/>
            </v:shape>
            <v:shape style="position:absolute;left:720;top:16127;width:4508;height:5213" coordorigin="720,16128" coordsize="4508,5213" path="m4709,20189l4661,20073,4551,19790,4493,19622,3965,18153,3826,17865,3696,17673,3514,17477,2242,16569m2242,16569l2237,16565,2232,16565,2227,16560,2223,16555,2218,16555,2213,16550,2208,16545,2203,16545,2199,16541,2194,16536,2189,16536,2184,16531,2179,16526,2175,16526,2170,16521,2165,16517,2160,16517,2155,16512,2151,16507,2146,16507,2141,16502,2136,16497,2131,16497,2127,16493,2122,16488,2117,16488,2112,16483,2107,16483,2103,16478,2098,16473,2093,16473,2088,16469,2083,16469,2079,16464,2074,16459,2069,16459,2064,16454,2059,16454,2055,16449,2050,16445,2045,16445,2040,16440,2035,16440,2031,16435,2026,16435,2021,16430,2016,16425,2011,16425,2007,16421,2002,16421,1997,16416,1992,16416,1987,16411,1982,16411,1978,16406,1973,16406,1968,16401,1963,16401,1958,16397,1954,16397,1949,16392,1944,16387,1939,16387,1934,16382,1930,16382,1925,16377,1920,16377,1915,16373,1910,16373,1906,16368,1901,16368,1896,16368,1891,16363,1886,16363,1882,16358,1877,16358,1872,16353,1867,16353,1862,16349,1858,16349,1853,16344,1848,16344,1843,16339,1838,16339,1834,16334,1829,16334,1824,16334,1819,16329,1814,16329,1810,16325,1805,16325,1800,16320,1795,16320,1790,16320,1786,16315,1781,16315,1776,16310,1771,16310,1766,16305,1762,16305,1757,16305,1752,16301,1747,16301,1742,16296,1738,16296,1733,16296,1728,16291,1723,16291,1718,16286,1714,16286,1709,16286,1704,16281,1699,16281,1694,16281,1690,16277,1685,16277,1680,16272,1675,16272,1670,16272,1666,16267,1661,16267,1656,16267,1651,16262,1646,16262,1642,16262,1637,16257,1632,16257,1627,16257,1622,16253,1618,16253,1613,16253,1608,16248,1603,16248,1598,16248,1594,16243,1589,16243,1584,16243,1579,16238,1574,16238,1570,16238,1565,16233,1560,16233,1555,16233,1550,16229,1546,16229,1541,16229,1536,16224,1531,16224,1526,16224,1522,16224,1517,16219,1512,16219,1507,16219,1502,16214,1498,16214,1493,16214,1488,16214,1483,16209,1478,16209,1474,16209,1469,16209,1464,16205,1459,16205,1454,16205,1450,16200,1445,16200,1440,16200,1435,16200,1430,16195,1426,16195,1421,16195,1416,16195,1411,16195,1406,16190,1402,16190,1397,16190,1392,16190,1387,16185,1382,16185,1378,16185,1373,16185,1368,16181,1363,16181,1358,16181,1354,16181,1349,16181,1344,16176,1339,16176,1334,16176,1330,16176,1325,16176,1320,16171,1315,16171,1310,16171,1306,16171,1301,16171,1296,16166,1291,16166,1286,16166,1282,16166,1277,16166,1272,16166,1267,16161,1262,16161,1258,16161,1253,16161,1248,16161,1243,16157,1238,16157,1234,16157,1229,16157,1224,16157,1219,16157,1214,16157,1210,16152,1205,16152,1200,16152,1195,16152,1190,16152,1186,16152,1181,16152,1176,16147,1171,16147,1166,16147,1162,16147,1157,16147,1152,16147,1147,16147,1142,16147,1138,16142,1133,16142,1128,16142,1123,16142,1118,16142,1114,16142,1109,16142,1104,16142,1099,16142,1094,16137,1090,16137,1085,16137,1080,16137,1075,16137,1070,16137,1066,16137,1061,16137,1056,16137,1051,16137,1046,16137,1042,16133,1037,16133,1032,16133,1027,16133,1022,16133,1018,16133,1013,16133,1008,16133,1003,16133,998,16133,994,16133,989,16133,984,16133,979,16133,974,16133,970,16133,965,16128,960,16128,955,16128,950,16128,946,16128,941,16128,936,16128,931,16128,926,16128,922,16128,917,16128,912,16128,907,16128,902,16128,898,16128,893,16128,888,16128,883,16128,878,16128,874,16128,869,16128,864,16128,859,16128,854,16128,850,16128,845,16128,840,16128,835,16128,830,16128,826,16128,821,16128,816,16128,811,16128,806,16128,802,16128,797,16128,792,16128,787,16128,782,16128,778,16128,773,16128,768,16128,763,16128,758,16128,754,16128,749,16133,744,16133,739,16133,734,16133,730,16133,725,16133,720,16133m4896,20875l4939,20909m4939,20909l4978,20957m4978,20957l5079,21125,5227,21341m4896,20875l4853,20837m4853,20837l4848,20832,4843,20827,4839,20822,4834,20817,4834,20813,4829,20808,4824,20803,4824,20798,4824,20793,4819,20789,4819,20784,4819,20779,4815,20774,4815,20769,4815,20765,4815,20760,4815,20755,4815,20750,4815,20745e" filled="false" stroked="true" strokeweight=".48002pt" strokecolor="#b2b2b2">
              <v:path arrowok="t"/>
              <v:stroke dashstyle="solid"/>
            </v:shape>
            <v:line style="position:absolute" from="4819,20635" to="4819,20750" stroked="true" strokeweight=".96004pt" strokecolor="#b2b2b2">
              <v:stroke dashstyle="solid"/>
            </v:line>
            <v:shape style="position:absolute;left:4435;top:19636;width:461;height:1282" coordorigin="4435,19637" coordsize="461,1282" path="m4824,20640l4824,20635,4824,20630,4824,20625,4824,20621,4824,20616,4824,20611,4824,20606,4824,20601,4824,20597,4824,20592,4824,20587,4819,20582,4819,20577,4819,20573,4819,20568,4819,20563,4815,20558,4815,20553,4815,20549,4815,20544m4815,20544l4728,20304m4896,20875l4863,20918m4435,19637l4599,20088,4728,20400e" filled="false" stroked="true" strokeweight=".48002pt" strokecolor="#b2b2b2">
              <v:path arrowok="t"/>
              <v:stroke dashstyle="solid"/>
            </v:shape>
            <v:shape style="position:absolute;left:4723;top:20395;width:144;height:528" type="#_x0000_t75" stroked="false">
              <v:imagedata r:id="rId182" o:title=""/>
            </v:shape>
            <v:shape style="position:absolute;left:4704;top:7406;width:524;height:13935" coordorigin="4704,7406" coordsize="524,13935" path="m5227,21341l5155,21225,5050,21019,4954,20813m4954,20813l4781,20433,4728,20304m4906,7426l4723,7426m4723,7426l4719,7426,4714,7421,4709,7416,4704,7411,4704,7406e" filled="false" stroked="true" strokeweight=".48002pt" strokecolor="#b2b2b2">
              <v:path arrowok="t"/>
              <v:stroke dashstyle="solid"/>
            </v:shape>
            <v:shape style="position:absolute;left:8453;top:19108;width:202;height:490" type="#_x0000_t75" stroked="false">
              <v:imagedata r:id="rId183" o:title=""/>
            </v:shape>
            <v:shape style="position:absolute;left:9566;top:18494;width:634;height:173" type="#_x0000_t75" stroked="false">
              <v:imagedata r:id="rId184" o:title=""/>
            </v:shape>
            <v:shape style="position:absolute;left:8794;top:19108;width:188;height:308" type="#_x0000_t75" stroked="false">
              <v:imagedata r:id="rId185" o:title=""/>
            </v:shape>
            <v:shape style="position:absolute;left:8813;top:8553;width:1292;height:11060" coordorigin="8813,8554" coordsize="1292,11060" path="m9154,19598l9164,19598m9164,19598l9183,19589m9183,19589l9202,19574m9202,19574l9207,19569m9207,19569l9231,19545m9231,19545l9231,19541,9236,19536,9240,19531,9245,19531,9250,19526,9255,19526,9260,19526m9260,19526l9408,19526m9207,19569l9216,19584m9216,19584l9221,19589,9226,19593,9231,19598,9236,19603,9240,19603,9245,19603,9250,19608,9255,19608,9260,19608,9264,19608m9264,19608l9389,19608m9389,19608l9399,19613m9399,19613l9404,19613m9965,8558l9840,8558m9965,8558l10105,8554m8943,18941l8909,18936m8909,18936l8895,18936m8895,18936l8890,18936,8885,18931,8880,18926m8880,18926l8880,18873m8914,18869l8909,18869,8904,18869,8900,18873,8895,18873,8890,18873,8885,18873,8880,18873m8813,18859l8818,18859,8823,18864,8828,18864,8832,18869,8837,18869,8842,18869,8847,18873,8852,18873,8856,18873,8861,18873,8866,18873,8871,18873,8876,18873,8880,18873,8880,18873e" filled="false" stroked="true" strokeweight=".48002pt" strokecolor="#b2b2b2">
              <v:path arrowok="t"/>
              <v:stroke dashstyle="solid"/>
            </v:shape>
            <v:shape style="position:absolute;left:8717;top:17054;width:457;height:490" type="#_x0000_t75" stroked="false">
              <v:imagedata r:id="rId186" o:title=""/>
            </v:shape>
            <v:shape style="position:absolute;left:9806;top:13636;width:3701;height:6634" coordorigin="9807,13637" coordsize="3701,6634" path="m9946,13805l9999,13929,10004,13939,10009,13949,10013,13958,10018,13973,10018,13982,10023,13992,10023,14006,10028,14016,10028,14025,10033,14040,10033,14049,10033,14059,10033,14073,10033,14078m10028,13771l9946,13805m9807,13651l9864,13637,9946,13805m10004,20270l10018,20256,10023,20251,10028,20246,10033,20241,10037,20241,10042,20237,10047,20237,10052,20232,10119,20198m13503,17203l13508,17198m13508,17203l13508,17203m9807,13704l9807,13785m9812,13920l9812,14083e" filled="false" stroked="true" strokeweight=".48002pt" strokecolor="#b2b2b2">
              <v:path arrowok="t"/>
              <v:stroke dashstyle="solid"/>
            </v:shape>
            <v:shape style="position:absolute;left:12216;top:20731;width:168;height:394" type="#_x0000_t75" stroked="false">
              <v:imagedata r:id="rId187" o:title=""/>
            </v:shape>
            <v:line style="position:absolute" from="13498,17203" to="13508,17203" stroked="true" strokeweight=".48002pt" strokecolor="#b2b2b2">
              <v:stroke dashstyle="solid"/>
            </v:line>
            <v:shape style="position:absolute;left:12715;top:21494;width:428;height:212" type="#_x0000_t75" stroked="false">
              <v:imagedata r:id="rId188" o:title=""/>
            </v:shape>
            <v:shape style="position:absolute;left:7958;top:9907;width:745;height:8228" coordorigin="7959,9907" coordsize="745,8228" path="m8084,18129l8074,18125,7997,18129,7978,18134,7959,18134m8223,9994l8285,9907m8684,10185l8621,10272,8616,10272,8223,9994m8223,9994l8132,10123m8285,9907l8684,10185m8684,10185l8703,10200e" filled="false" stroked="true" strokeweight=".48002pt" strokecolor="#b2b2b2">
              <v:path arrowok="t"/>
              <v:stroke dashstyle="solid"/>
            </v:shape>
            <v:line style="position:absolute" from="9380,10102" to="9442,10102" stroked="true" strokeweight=".72002pt" strokecolor="#b2b2b2">
              <v:stroke dashstyle="solid"/>
            </v:line>
            <v:shape style="position:absolute;left:9350;top:9427;width:10;height:92" coordorigin="9351,9427" coordsize="10,92" path="m9360,9427l9356,9427,9351,9432,9351,9437m9351,9437l9351,9480m9351,9480l9356,9494m9356,9494l9360,9518e" filled="false" stroked="true" strokeweight=".48002pt" strokecolor="#b2b2b2">
              <v:path arrowok="t"/>
              <v:stroke dashstyle="solid"/>
            </v:shape>
            <v:line style="position:absolute" from="9360,9518" to="9360,9840" stroked="true" strokeweight=".48002pt" strokecolor="#b2b2b2">
              <v:stroke dashstyle="solid"/>
            </v:line>
            <v:shape style="position:absolute;left:9360;top:9839;width:39;height:644" coordorigin="9360,9840" coordsize="39,644" path="m9360,9840l9365,9869m9365,9869l9375,9898m9375,9898l9380,9926m9380,9926l9384,10104m9375,10483l9375,10416m9375,10416l9380,10387m9380,10387l9399,10358e" filled="false" stroked="true" strokeweight=".48002pt" strokecolor="#b2b2b2">
              <v:path arrowok="t"/>
              <v:stroke dashstyle="solid"/>
            </v:shape>
            <v:line style="position:absolute" from="9394,10351" to="9404,10351" stroked="true" strokeweight=".72pt" strokecolor="#b2b2b2">
              <v:stroke dashstyle="solid"/>
            </v:line>
            <v:shape style="position:absolute;left:9384;top:10118;width:20;height:226" coordorigin="9384,10118" coordsize="20,226" path="m9399,10344l9404,10262,9404,10181m9404,10181l9399,10157m9399,10157l9389,10138m9389,10138l9384,10118e" filled="false" stroked="true" strokeweight=".48002pt" strokecolor="#b2b2b2">
              <v:path arrowok="t"/>
              <v:stroke dashstyle="solid"/>
            </v:shape>
            <v:line style="position:absolute" from="9380,10111" to="9389,10111" stroked="true" strokeweight=".72pt" strokecolor="#b2b2b2">
              <v:stroke dashstyle="solid"/>
            </v:line>
            <v:line style="position:absolute" from="9452,9427" to="9360,9427" stroked="true" strokeweight=".48002pt" strokecolor="#b2b2b2">
              <v:stroke dashstyle="solid"/>
            </v:line>
            <v:line style="position:absolute" from="9353,9288" to="9353,9422" stroked="true" strokeweight=".72003pt" strokecolor="#b2b2b2">
              <v:stroke dashstyle="solid"/>
            </v:line>
            <v:shape style="position:absolute;left:9312;top:9417;width:48;height:1445" coordorigin="9312,9418" coordsize="48,1445" path="m9356,9418l9360,9427m9317,10483l9322,10617,9312,10685m9312,10685l9312,10728m9312,10728l9317,10757,9312,10862e" filled="false" stroked="true" strokeweight=".48002pt" strokecolor="#b2b2b2">
              <v:path arrowok="t"/>
              <v:stroke dashstyle="solid"/>
            </v:shape>
            <v:line style="position:absolute" from="9315,10857" to="9315,11001" stroked="true" strokeweight=".72003pt" strokecolor="#b2b2b2">
              <v:stroke dashstyle="solid"/>
            </v:line>
            <v:line style="position:absolute" from="9216,10865" to="9317,10865" stroked="true" strokeweight=".72002pt" strokecolor="#b2b2b2">
              <v:stroke dashstyle="solid"/>
            </v:line>
            <v:shape style="position:absolute;left:9312;top:10483;width:3850;height:10704" coordorigin="9312,10483" coordsize="3850,10704" path="m9418,10862l9312,10862m9375,10483l9317,10483m9428,10483l9375,10483m12543,21187l12533,21163m13162,20995l13162,21043m13162,21043l13162,21048,13162,21053,13162,21057,13162,21062,13162,21067,13157,21072,13157,21077,13157,21081,13157,21086,13153,21091,13153,21096,13148,21101,13148,21105,13143,21110,13138,21115,13133,21120,13133,21125,13129,21129,13124,21129,13119,21134,13114,21139,13109,21144,13105,21144,13100,21149,13095,21149,13090,21153,13085,21153,13081,21153,13076,21153,13071,21158,13066,21158,13061,21158,13057,21158,13052,21158,13047,21158m13047,21158l12653,21163,12625,21163,12620,21163,12615,21163e" filled="false" stroked="true" strokeweight=".48002pt" strokecolor="#b2b2b2">
              <v:path arrowok="t"/>
              <v:stroke dashstyle="solid"/>
            </v:shape>
            <v:shape style="position:absolute;left:12504;top:21076;width:221;height:629" type="#_x0000_t75" stroked="false">
              <v:imagedata r:id="rId189" o:title=""/>
            </v:shape>
            <v:shape style="position:absolute;left:9010;top:17135;width:1191;height:3140" coordorigin="9010,17136" coordsize="1191,3140" path="m9888,17501l9768,17433,9716,17405,9663,17381,9610,17361,9557,17337,9485,17313m9485,17313l9010,17136m10119,20198l10129,20217m10129,20217l10157,20251m10157,20251l10162,20256,10167,20256,10172,20261,10177,20265,10181,20265,10186,20270,10191,20270,10196,20270,10201,20275m10114,20088l10114,20169,10114,20174,10114,20179,10114,20184,10114,20189,10119,20193,10119,20198,10119,20198e" filled="false" stroked="true" strokeweight=".48002pt" strokecolor="#b2b2b2">
              <v:path arrowok="t"/>
              <v:stroke dashstyle="solid"/>
            </v:shape>
            <v:shape style="position:absolute;left:9965;top:20294;width:130;height:125" type="#_x0000_t75" stroked="false">
              <v:imagedata r:id="rId190" o:title=""/>
            </v:shape>
            <v:shape style="position:absolute;left:8501;top:20803;width:260;height:260" type="#_x0000_t75" stroked="false">
              <v:imagedata r:id="rId191" o:title=""/>
            </v:shape>
            <v:shape style="position:absolute;left:8842;top:19209;width:572;height:365" type="#_x0000_t75" stroked="false">
              <v:imagedata r:id="rId192" o:title=""/>
            </v:shape>
            <v:shape style="position:absolute;left:9494;top:4204;width:4013;height:12994" coordorigin="9495,4205" coordsize="4013,12994" path="m10268,8554l10301,8549,10306,8549,10311,8549,10316,8549,10321,8549,10321,8544,10325,8544,10460,8410m10268,8554l10258,8256m13489,17198l13498,17198m13489,17198l13498,17198m13489,17198l13498,17198m9533,4205l9620,4205m9658,4786l9658,4642m13493,17198l13508,17198m13498,17198l13508,17198m13508,17198l13493,17198m13493,17198l13508,17198m13508,17198l13493,17198m13508,17198l13493,17198m13493,17198l13508,17198m9500,4642l9504,4622,9504,4594m9504,4594l9504,4589,9504,4584,9504,4579,9504,4574,9504,4570,9504,4565,9504,4560,9504,4555,9500,4550,9500,4546m9500,4546l9495,4517m9495,4517l9495,4469m9495,4469l9500,4440m9500,4642l9504,4829e" filled="false" stroked="true" strokeweight=".48002pt" strokecolor="#b2b2b2">
              <v:path arrowok="t"/>
              <v:stroke dashstyle="solid"/>
            </v:shape>
            <v:shape style="position:absolute;left:9658;top:5054;width:433;height:356" type="#_x0000_t75" stroked="false">
              <v:imagedata r:id="rId193" o:title=""/>
            </v:shape>
            <v:shape style="position:absolute;left:9418;top:6681;width:1441;height:13637" coordorigin="9418,6682" coordsize="1441,13637" path="m10834,20318l10858,20318m9576,7440l9471,7440m9471,7440l9466,7382,9432,7061,9428,7003,9423,6950,9423,6893,9418,6682m9471,7440l9447,7440e" filled="false" stroked="true" strokeweight=".48002pt" strokecolor="#b2b2b2">
              <v:path arrowok="t"/>
              <v:stroke dashstyle="solid"/>
            </v:shape>
            <v:line style="position:absolute" from="9473,7435" to="9473,7973" stroked="true" strokeweight=".72004pt" strokecolor="#b2b2b2">
              <v:stroke dashstyle="solid"/>
            </v:line>
            <v:shape style="position:absolute;left:9370;top:21446;width:188;height:389" type="#_x0000_t75" stroked="false">
              <v:imagedata r:id="rId194" o:title=""/>
            </v:shape>
            <v:shape style="position:absolute;left:8069;top:11572;width:236;height:212" type="#_x0000_t75" stroked="false">
              <v:imagedata r:id="rId195" o:title=""/>
            </v:shape>
            <v:shape style="position:absolute;left:9494;top:19439;width:168;height:10" coordorigin="9495,19440" coordsize="168,10" path="m9562,19445l9615,19449,9620,19449,9624,19445,9629,19445,9634,19445,9639,19445,9663,19440m9562,19445l9495,19445e" filled="false" stroked="true" strokeweight=".48002pt" strokecolor="#b2b2b2">
              <v:path arrowok="t"/>
              <v:stroke dashstyle="solid"/>
            </v:shape>
            <v:shape style="position:absolute;left:8328;top:19684;width:140;height:293" type="#_x0000_t75" stroked="false">
              <v:imagedata r:id="rId196" o:title=""/>
            </v:shape>
            <v:shape style="position:absolute;left:9451;top:8807;width:4057;height:8396" coordorigin="9452,8808" coordsize="4057,8396" path="m9720,9672l9716,9432m9759,9432l9730,9437,9716,9432m9644,8808l9653,9370m9696,9432l9653,9432m9653,9432l9476,9427m9476,9427l9452,9427m9466,9850l9476,9427m9476,9427l9485,8962,9480,8813m13508,17203l13493,17203m13503,17203l13493,17203e" filled="false" stroked="true" strokeweight=".48002pt" strokecolor="#b2b2b2">
              <v:path arrowok="t"/>
              <v:stroke dashstyle="solid"/>
            </v:shape>
            <v:shape style="position:absolute;left:12408;top:21182;width:140;height:116" type="#_x0000_t75" stroked="false">
              <v:imagedata r:id="rId197" o:title=""/>
            </v:shape>
            <v:shape style="position:absolute;left:8309;top:19108;width:255;height:471" type="#_x0000_t75" stroked="false">
              <v:imagedata r:id="rId198" o:title=""/>
            </v:shape>
            <v:shape style="position:absolute;left:8030;top:4943;width:5487;height:17832" coordorigin="8031,4944" coordsize="5487,17832" path="m10085,5309l10090,5626,10095,5693,10095,5746,10090,5794,10076,5947m13508,17208l13517,17203m10076,5947l10138,6005,10201,6072,10239,6134,10258,6168,10297,6226,10407,6389,10421,6408,10431,6427,10441,6442,10445,6451,10445,6456,10450,6461,10450,6470,10455,6475,10455,6480,10465,6509,10469,6533,10484,6581,10489,6610,10489,6624m13508,17208l13493,17208m13493,17208l13508,17208m13493,17208l13508,17208m13493,17208l13508,17208m13493,17208l13508,17208m13493,17208l13508,17208m13508,17208l13493,17208m13493,17208l13508,17208m13508,17208l13493,17208m13493,17208l13508,17208m10234,5299l10229,5290m10229,5290l10220,5270m10220,5270l10220,5242m10220,5242l10215,5213m10215,5213l10215,5184m10215,5184l10220,5160,10220,5131m10220,5131l10220,5126,10220,5122,10225,5117,10229,5112m10229,5112l10249,5102,10263,5098m10263,5098l10268,5093,10273,5088,10273,5083,10273,5078m10273,5078l10263,5050m13493,17208l13508,17208m13493,17208l13508,17208m13508,17208l13493,17208m13508,17208l13493,17208m13508,17208l13493,17208m13493,17208l13508,17208m13508,17208l13493,17208m10335,4944l10340,4958,10340,4968,10345,4978,10345,4987,10349,5021,10349,5030,10345,5030,10345,5035,10345,5040,10335,5045,10321,5050,10306,5050,10268,5050,10263,5050m13513,17203l13498,17198m13513,17198l13493,17198m13493,17193l13503,17198m13503,17198l13498,17198m13503,17203l13498,17198m13508,17203l13489,17203m13508,17198l13489,17198m13489,17198l13503,17198m13498,17203l13503,17193m10234,5299l10297,5299m10297,5299l10316,5299m10316,5299l10325,5294m10325,5294l10330,5299m10330,5299l10330,5352,10330,5390,10335,5491,10335,5678m13498,17198l13498,17198m13498,17203l13493,17193m13503,17198l13493,17198m13508,17198l13493,17198m13508,17198l13493,17198m13493,17198l13508,17198m13493,17198l13508,17198m8304,22392l8304,22497,8304,22589m8304,22589l8304,22776m8304,22589l8204,22593,8074,22593,8031,22598m9226,22617l9221,22622,9216,22622,9216,22627,9212,22627,9207,22627,9202,22632,9197,22632,9192,22637,9188,22637,9183,22637,9178,22637,9173,22641,9168,22641,9164,22641,9159,22641,8784,22641e" filled="false" stroked="true" strokeweight=".48002pt" strokecolor="#b2b2b2">
              <v:path arrowok="t"/>
              <v:stroke dashstyle="solid"/>
            </v:shape>
            <v:line style="position:absolute" from="8784,22569" to="8784,22661" stroked="true" strokeweight=".48002pt" strokecolor="#b2b2b2">
              <v:stroke dashstyle="solid"/>
            </v:line>
            <v:shape style="position:absolute;left:4349;top:20918;width:5022;height:1762" coordorigin="4349,20918" coordsize="5022,1762" path="m9226,22617l9212,22598,9207,22593,9207,22589,9202,22589,9197,22584,9192,22584,9188,22579,9183,22579,9183,22574,9178,22574,9173,22574,9168,22569,9164,22569,9159,22569,9154,22569,9149,22569,9144,22569,9048,22569,8784,22569m9370,22387l8780,22387m8780,22387l8688,22387m8784,22569l8780,22493,8780,22387m8784,22661l8784,22661m8784,22661l8775,22670m8775,22670l8612,22675m8304,22680l8362,22675,8376,22680,8410,22675m4815,20971l4771,21014m4771,21014l4771,21019,4767,21024,4762,21029,4757,21033,4752,21038,4747,21043,4743,21048,4738,21048,4733,21053,4728,21057,4723,21062,4719,21062,4714,21067,4709,21072,4704,21072,4699,21077,4695,21081,4690,21081,4685,21086,4680,21086,4675,21091,4671,21091,4666,21091,4661,21096,4656,21096,4651,21101,4647,21101,4642,21101,4637,21105,4632,21105,4627,21105,4623,21105,4618,21110,4613,21110,4608,21110,4603,21110,4599,21110,4594,21110,4589,21115,4584,21115,4579,21115,4575,21115,4570,21115,4565,21115,4560,21115,4555,21115,4551,21115,4546,21115,4541,21115,4536,21115,4531,21115,4527,21115,4522,21115,4517,21110,4512,21110,4507,21110,4503,21110,4498,21110,4493,21110,4488,21105,4483,21105,4479,21105,4474,21105,4469,21101,4464,21101,4459,21101,4455,21096,4450,21096,4445,21091,4440,21091,4435,21091,4431,21086,4426,21086,4421,21081,4416,21081,4411,21077,4407,21072m4407,21072l4349,21038m4815,20971l4863,20918m5098,21393l5098,21389,5093,21384,5093,21379,5093,21374,5093,21369,5093,21365,5088,21360,5088,21355,5088,21350,5088,21345,5083,21341,5083,21336,5079,21331,5079,21326,5079,21321,5074,21317,5074,21312,5069,21307,5069,21302,5064,21297,5059,21293,5059,21288,5055,21283,5050,21278,5050,21273m5050,21273l4997,21211,4963,21168,4930,21125,4915,21077,4896,21053,4858,21009,4815,20971m5290,21773l5266,21744m5266,21744l5251,21725m5251,21725l5232,21701m5232,21701l5218,21681m5218,21681l5160,21614m5290,21773l5506,22022m5506,22022l5530,22051m5568,22147l5568,22142,5568,22137,5568,22133,5568,22128,5563,22123,5563,22118,5563,22113,5559,22109,5559,22104,5554,22099,5554,22094,5554,22089,5549,22085,5549,22080,5544,22075,5544,22070,5539,22065,5535,22061,5535,22056,5530,22051m5160,21614l5141,21590m5141,21590l5136,21585,5131,21581,5127,21576,5122,21571,5122,21566,5117,21561,5117,21557,5112,21552,5112,21547,5107,21542,5107,21537,5107,21533,5103,21528,5103,21523,5103,21518,5103,21513m5103,21513l5103,21509,5103,21504,5103,21499,5098,21494,5098,21489,5098,21485,5098,21480,5098,21475,5098,21470,5098,21465,5098,21461,5098,21456,5098,21451,5098,21446,5098,21441m5098,21441l5098,21393e" filled="false" stroked="true" strokeweight=".48002pt" strokecolor="#b2b2b2">
              <v:path arrowok="t"/>
              <v:stroke dashstyle="solid"/>
            </v:shape>
            <v:shape style="position:absolute;left:12264;top:20673;width:197;height:452" type="#_x0000_t75" stroked="false">
              <v:imagedata r:id="rId199" o:title=""/>
            </v:shape>
            <v:line style="position:absolute" from="13493,17191" to="13503,17191" stroked="true" strokeweight=".24pt" strokecolor="#b2b2b2">
              <v:stroke dashstyle="solid"/>
            </v:line>
            <v:shape style="position:absolute;left:9835;top:20294;width:221;height:207" type="#_x0000_t75" stroked="false">
              <v:imagedata r:id="rId200" o:title=""/>
            </v:shape>
            <v:shape style="position:absolute;left:13483;top:17198;width:1642;height:1618" coordorigin="13484,17198" coordsize="1642,1618" path="m14857,18662l14833,18653,14809,18638,14780,18624,14756,18614,14727,18605,14703,18595,14674,18585,14593,18561,14535,18547,14482,18533,14425,18518,14372,18509,14314,18504,14257,18499,14199,18494,14146,18489,14007,18489m15126,18815l14857,18662m13513,17198l13484,17198m13484,17198l13513,17198m13484,17198l13513,17198m13513,17198l13484,17198m13484,17198l13513,17198m13484,17198l13513,17198e" filled="false" stroked="true" strokeweight=".48002pt" strokecolor="#b2b2b2">
              <v:path arrowok="t"/>
              <v:stroke dashstyle="solid"/>
            </v:shape>
            <v:shape style="position:absolute;left:9082;top:14870;width:4282;height:3077" type="#_x0000_t75" stroked="false">
              <v:imagedata r:id="rId201" o:title=""/>
            </v:shape>
            <v:shape style="position:absolute;left:7949;top:18518;width:337;height:399" type="#_x0000_t75" stroked="false">
              <v:imagedata r:id="rId202" o:title=""/>
            </v:shape>
            <v:shape style="position:absolute;left:9446;top:9369;width:250;height:10071" coordorigin="9447,9370" coordsize="250,10071" path="m9696,9370l9696,9432m9452,19305l9447,19406,9452,19421,9452,19440e" filled="false" stroked="true" strokeweight=".48002pt" strokecolor="#b2b2b2">
              <v:path arrowok="t"/>
              <v:stroke dashstyle="solid"/>
            </v:shape>
            <v:line style="position:absolute" from="9447,19442" to="9500,19442" stroked="true" strokeweight=".72002pt" strokecolor="#b2b2b2">
              <v:stroke dashstyle="solid"/>
            </v:line>
            <v:shape style="position:absolute;left:8083;top:10166;width:2837;height:9476" coordorigin="8084,10166" coordsize="2837,9476" path="m9452,19440l9447,19641m8084,18288l8084,18173m10829,10166l10906,10166,10911,10166,10916,10166,10921,10166,10921,10171,10921,10171m9562,19483l9562,19445m9495,19445l9495,19483e" filled="false" stroked="true" strokeweight=".48002pt" strokecolor="#b2b2b2">
              <v:path arrowok="t"/>
              <v:stroke dashstyle="solid"/>
            </v:shape>
            <v:shape style="position:absolute;left:10234;top:7262;width:457;height:327" type="#_x0000_t75" stroked="false">
              <v:imagedata r:id="rId203" o:title=""/>
            </v:shape>
            <v:shape style="position:absolute;left:4949;top:21388;width:783;height:764" type="#_x0000_t75" stroked="false">
              <v:imagedata r:id="rId204" o:title=""/>
            </v:shape>
            <v:shape style="position:absolute;left:7310;top:9158;width:447;height:380" type="#_x0000_t75" stroked="false">
              <v:imagedata r:id="rId205" o:title=""/>
            </v:shape>
            <v:shape style="position:absolute;left:7085;top:7564;width:543;height:1685" coordorigin="7085,7565" coordsize="543,1685" path="m7628,9250l7623,8587m7128,9005l7095,8842,7090,8827,7090,8813,7085,8798,7085,8789,7085,8774,7085,8760,7085,8746,7085,8731,7085,8717,7085,8702,7090,8688,7090,8674,7095,8659,7095,8645,7100,8630,7104,8616,7133,8525m7133,8525l7157,8462,7162,8448,7162,8434,7167,8424,7167,8410,7172,8395,7172,8386,7176,8371,7176,8357,7176,8347,7176,8333,7176,8318,7176,8309,7176,8294,7172,8280,7172,8270,7172,8256,7167,8242,7162,8227,7162,8213,7157,8198,7152,8189,7152,8174,7148,8160,7148,8146,7143,8131,7143,8117,7143,8098,7143,8078,7143,8059,7143,8040,7148,8021,7148,8002,7162,7939,7167,7925,7167,7915,7167,7901,7172,7886,7172,7872,7172,7858,7172,7843,7172,7829,7172,7819,7167,7805,7167,7790,7167,7776,7128,7565e" filled="false" stroked="true" strokeweight=".48002pt" strokecolor="#b2b2b2">
              <v:path arrowok="t"/>
              <v:stroke dashstyle="solid"/>
            </v:shape>
            <v:shape style="position:absolute;left:7128;top:8222;width:500;height:375" type="#_x0000_t75" stroked="false">
              <v:imagedata r:id="rId206" o:title=""/>
            </v:shape>
            <v:line style="position:absolute" from="8285,9907" to="8429,9701" stroked="true" strokeweight=".48002pt" strokecolor="#b2b2b2">
              <v:stroke dashstyle="solid"/>
            </v:line>
            <v:shape style="position:absolute;left:11774;top:20735;width:279;height:581" type="#_x0000_t75" stroked="false">
              <v:imagedata r:id="rId207" o:title=""/>
            </v:shape>
            <v:line style="position:absolute" from="8813,19634" to="8952,19634" stroked="true" strokeweight=".72002pt" strokecolor="#b2b2b2">
              <v:stroke dashstyle="solid"/>
            </v:line>
            <v:shape style="position:absolute;left:8803;top:9369;width:1705;height:14002" coordorigin="8804,9370" coordsize="1705,14002" path="m8948,19637l8967,19627m8967,19627l9039,19565m8804,19589l8813,19603,8813,19608,8813,19613,8818,19613,8818,19617,8818,19622,8818,19632m9716,9370l9696,9370m9696,9370l9653,9370m9653,9370l9653,9432m9696,9432l9716,9432m9519,10291l9509,10301,9509,10478m9543,10478l9509,10478m10340,23333l10407,23366m10407,23366l10412,23371,10417,23371,10421,23371,10426,23371,10431,23371,10436,23366m10436,23366l10508,23318m10253,20275l10253,20227,10292,20227e" filled="false" stroked="true" strokeweight=".48002pt" strokecolor="#b2b2b2">
              <v:path arrowok="t"/>
              <v:stroke dashstyle="solid"/>
            </v:shape>
            <v:line style="position:absolute" from="10249,20277" to="10378,20277" stroked="true" strokeweight=".72002pt" strokecolor="#b2b2b2">
              <v:stroke dashstyle="solid"/>
            </v:line>
            <v:shape style="position:absolute;left:6965;top:5822;width:3044;height:13608" coordorigin="6965,5822" coordsize="3044,13608" path="m9509,5928l9615,5957,9624,5957,9634,5962,9639,5966,9648,5966,9658,5971,9663,5976,9672,5981,9677,5986,9687,5990,9692,5995,9701,6000,9706,6010,9711,6014,9720,6019,9725,6024,9778,6096,9788,6110,9802,6125,9812,6144,9826,6158,9845,6182,9927,6298,10009,6403m9509,5928l9413,5904m9413,5904l9413,5822m7071,10080l7023,10080m6965,10118l6965,10080m7023,10080l6965,10080m8314,19176l8343,19286m8343,19286l8352,19325m8352,19325l8367,19430e" filled="false" stroked="true" strokeweight=".48002pt" strokecolor="#b2b2b2">
              <v:path arrowok="t"/>
              <v:stroke dashstyle="solid"/>
            </v:shape>
            <v:line style="position:absolute" from="8362,19433" to="8372,19433" stroked="true" strokeweight=".24pt" strokecolor="#b2b2b2">
              <v:stroke dashstyle="solid"/>
            </v:line>
            <v:shape style="position:absolute;left:8131;top:19175;width:236;height:336" coordorigin="8132,19176" coordsize="236,336" path="m8367,19435l8362,19454m8362,19454l8333,19459m8333,19459l8319,19464m8314,19176l8261,19190m8261,19190l8208,19205m8261,19190l8290,19296m8290,19296l8300,19334m8300,19334l8300,19358m8300,19358l8300,19363,8300,19368,8300,19373,8295,19377,8290,19382m8290,19382l8285,19387m8208,19205l8165,19219m8165,19219l8146,19229m8146,19229l8132,19238m8208,19205l8237,19305m8237,19305l8237,19310,8237,19315,8237,19320,8232,19325,8232,19329m8232,19329l8228,19334m8228,19334l8156,19267m8156,19267l8132,19238m8228,19334l8266,19363m8266,19363l8285,19387m8285,19387l8304,19430m8304,19430l8304,19430m8304,19430l8319,19464m8285,19387l8271,19397m8319,19464l8348,19512e" filled="false" stroked="true" strokeweight=".48002pt" strokecolor="#b2b2b2">
              <v:path arrowok="t"/>
              <v:stroke dashstyle="solid"/>
            </v:shape>
            <v:shape style="position:absolute;left:13512;top:19502;width:423;height:135" type="#_x0000_t75" stroked="false">
              <v:imagedata r:id="rId208" o:title=""/>
            </v:shape>
            <v:shape style="position:absolute;left:5765;top:9148;width:6015;height:12260" coordorigin="5765,9149" coordsize="6015,12260" path="m11780,21283l11780,21398m11780,21283l11780,21245m11780,21245l11746,21245m11746,21245l11741,21245,11737,21249,11737,21254m11737,21254l11737,21408m8679,10867l8674,11246m5794,9158l5765,9149e" filled="false" stroked="true" strokeweight=".48002pt" strokecolor="#b2b2b2">
              <v:path arrowok="t"/>
              <v:stroke dashstyle="solid"/>
            </v:shape>
            <v:line style="position:absolute" from="5722,9146" to="5770,9146" stroked="true" strokeweight=".72002pt" strokecolor="#b2b2b2">
              <v:stroke dashstyle="solid"/>
            </v:line>
            <v:shape style="position:absolute;left:5793;top:9067;width:125;height:144" coordorigin="5794,9067" coordsize="125,144" path="m5851,9211l5851,9211m5851,9211l5856,9202m5856,9202l5871,9173m5871,9173l5875,9163m5875,9163l5885,9130m5885,9130l5895,9110m5895,9110l5909,9096m5909,9096l5914,9091,5919,9086,5919,9082,5919,9077,5919,9072,5919,9067,5914,9067m5851,9211l5837,9202m5837,9202l5823,9182m5823,9182l5813,9187m5813,9187l5808,9192,5803,9197,5799,9197,5794,9197e" filled="false" stroked="true" strokeweight=".48002pt" strokecolor="#b2b2b2">
              <v:path arrowok="t"/>
              <v:stroke dashstyle="solid"/>
            </v:shape>
            <v:line style="position:absolute" from="5674,9192" to="5799,9192" stroked="true" strokeweight=".96002pt" strokecolor="#b2b2b2">
              <v:stroke dashstyle="solid"/>
            </v:line>
            <v:shape style="position:absolute;left:5558;top:9158;width:265;height:10997" coordorigin="5559,9158" coordsize="265,10997" path="m5679,9187l5659,9187m5659,9187l5631,9192m5631,9192l5626,9197m5583,20025l5559,20073,5698,20136m5698,20136l5712,20150m5712,20150l5717,20155m5823,9182l5808,9168m5808,9168l5794,9158e" filled="false" stroked="true" strokeweight=".48002pt" strokecolor="#b2b2b2">
              <v:path arrowok="t"/>
              <v:stroke dashstyle="solid"/>
            </v:shape>
            <v:line style="position:absolute" from="5818,9055" to="5827,9055" stroked="true" strokeweight=".71999pt" strokecolor="#b2b2b2">
              <v:stroke dashstyle="solid"/>
            </v:line>
            <v:shape style="position:absolute;left:5793;top:9062;width:29;height:96" coordorigin="5794,9062" coordsize="29,96" path="m5823,9062l5818,9077m5818,9077l5803,9139m5803,9139l5799,9149m5799,9149l5794,9158e" filled="false" stroked="true" strokeweight=".48002pt" strokecolor="#b2b2b2">
              <v:path arrowok="t"/>
              <v:stroke dashstyle="solid"/>
            </v:shape>
            <v:line style="position:absolute" from="5679,9142" to="5731,9142" stroked="true" strokeweight=".72001pt" strokecolor="#b2b2b2">
              <v:stroke dashstyle="solid"/>
            </v:line>
            <v:shape style="position:absolute;left:5630;top:9139;width:53;height:10" coordorigin="5631,9139" coordsize="53,10" path="m5683,9139l5650,9144m5650,9144l5631,9149e" filled="false" stroked="true" strokeweight=".48002pt" strokecolor="#b2b2b2">
              <v:path arrowok="t"/>
              <v:stroke dashstyle="solid"/>
            </v:shape>
            <v:line style="position:absolute" from="5722,9137" to="5731,9137" stroked="true" strokeweight=".71999pt" strokecolor="#b2b2b2">
              <v:stroke dashstyle="solid"/>
            </v:line>
            <v:line style="position:absolute" from="5722,9125" to="5731,9125" stroked="true" strokeweight=".47999pt" strokecolor="#b2b2b2">
              <v:stroke dashstyle="solid"/>
            </v:line>
            <v:line style="position:absolute" from="5727,9120" to="5736,9096" stroked="true" strokeweight=".48002pt" strokecolor="#b2b2b2">
              <v:stroke dashstyle="solid"/>
            </v:line>
            <v:line style="position:absolute" from="5731,9091" to="5741,9091" stroked="true" strokeweight=".48pt" strokecolor="#b2b2b2">
              <v:stroke dashstyle="solid"/>
            </v:line>
            <v:line style="position:absolute" from="5731,9084" to="5741,9084" stroked="true" strokeweight=".23999pt" strokecolor="#b2b2b2">
              <v:stroke dashstyle="solid"/>
            </v:line>
            <v:shape style="position:absolute;left:5736;top:9047;width:202;height:34" coordorigin="5736,9048" coordsize="202,34" path="m5736,9082l5736,9077,5741,9072,5746,9067,5751,9062m5751,9062l5803,9048m5803,9048l5823,9048m5914,9067l5938,9053m5914,9067l5914,9062,5909,9058,5904,9053,5899,9048,5895,9048,5890,9048m5890,9048l5823,9048e" filled="false" stroked="true" strokeweight=".48002pt" strokecolor="#b2b2b2">
              <v:path arrowok="t"/>
              <v:stroke dashstyle="solid"/>
            </v:shape>
            <v:shape style="position:absolute;left:912;top:4732;width:7561;height:13575" type="#_x0000_t75" stroked="false">
              <v:imagedata r:id="rId209" o:title=""/>
            </v:shape>
            <v:shape style="position:absolute;left:5419;top:20039;width:178;height:149" coordorigin="5419,20040" coordsize="178,149" path="m5559,20073l5506,20049m5506,20049l5472,20040m5472,20040l5443,20040m5419,20179l5458,20179,5506,20184,5530,20184,5554,20189m5554,20189l5573,20189m5573,20189l5587,20184,5597,20184e" filled="false" stroked="true" strokeweight=".48002pt" strokecolor="#b2b2b2">
              <v:path arrowok="t"/>
              <v:stroke dashstyle="solid"/>
            </v:shape>
            <v:line style="position:absolute" from="5592,20181" to="5640,20181" stroked="true" strokeweight=".72002pt" strokecolor="#b2b2b2">
              <v:stroke dashstyle="solid"/>
            </v:line>
            <v:shape style="position:absolute;left:5635;top:20155;width:82;height:24" coordorigin="5635,20155" coordsize="82,24" path="m5635,20179l5683,20169m5683,20169l5712,20160m5712,20160l5717,20155e" filled="false" stroked="true" strokeweight=".48002pt" strokecolor="#b2b2b2">
              <v:path arrowok="t"/>
              <v:stroke dashstyle="solid"/>
            </v:shape>
            <v:line style="position:absolute" from="5415,20174" to="5424,20174" stroked="true" strokeweight=".48pt" strokecolor="#b2b2b2">
              <v:stroke dashstyle="solid"/>
            </v:line>
            <v:shape style="position:absolute;left:5419;top:20073;width:24;height:96" coordorigin="5419,20073" coordsize="24,96" path="m5419,20169l5424,20141m5424,20141l5429,20126m5429,20126l5439,20102m5439,20102l5443,20073e" filled="false" stroked="true" strokeweight=".48002pt" strokecolor="#b2b2b2">
              <v:path arrowok="t"/>
              <v:stroke dashstyle="solid"/>
            </v:shape>
            <v:line style="position:absolute" from="5443,19982" to="5443,20073" stroked="true" strokeweight=".48002pt" strokecolor="#b2b2b2">
              <v:stroke dashstyle="solid"/>
            </v:line>
            <v:shape style="position:absolute;left:5443;top:19967;width:313;height:188" coordorigin="5443,19968" coordsize="313,188" path="m5443,19982l5453,19968m5717,20155l5727,20150m5727,20150l5741,20136m5741,20136l5751,20117m5751,20117l5755,20102e" filled="false" stroked="true" strokeweight=".48002pt" strokecolor="#b2b2b2">
              <v:path arrowok="t"/>
              <v:stroke dashstyle="solid"/>
            </v:shape>
            <v:shape style="position:absolute;left:12456;top:22391;width:135;height:101" type="#_x0000_t75" stroked="false">
              <v:imagedata r:id="rId210" o:title=""/>
            </v:shape>
            <v:shape style="position:absolute;left:8347;top:19511;width:173;height:231" coordorigin="8348,19512" coordsize="173,231" path="m8348,19512l8372,19541m8372,19541l8396,19565m8396,19565l8415,19584m8415,19584l8463,19622m8463,19622l8468,19622,8472,19627,8477,19632,8482,19637,8487,19641,8492,19646,8496,19651,8496,19656,8501,19661,8506,19665,8506,19670,8506,19675,8511,19680,8511,19685,8516,19689,8516,19694,8516,19699,8516,19704,8520,19709,8520,19713,8520,19718,8520,19723,8520,19728,8520,19733,8520,19737,8520,19742e" filled="false" stroked="true" strokeweight=".48002pt" strokecolor="#b2b2b2">
              <v:path arrowok="t"/>
              <v:stroke dashstyle="solid"/>
            </v:shape>
            <v:shape style="position:absolute;left:1545;top:5092;width:8055;height:1589" coordorigin="1546,5093" coordsize="8055,1589" path="m1546,5093l6648,6667m6648,6667l6653,6667,6658,6672,6663,6672,6668,6672,6672,6672,6677,6677,6682,6677,6687,6677,6692,6677,6696,6677,6701,6682,6706,6682,6711,6682,6716,6682,6720,6682,6725,6682,6730,6682,6735,6682,6740,6682m6740,6682l9303,6672,9303,6667,9380,6667,9384,6658,9384,6653,9432,6653,9428,5952,9437,5918,9600,5962e" filled="false" stroked="true" strokeweight="1.9201pt" strokecolor="#000000">
              <v:path arrowok="t"/>
              <v:stroke dashstyle="solid"/>
            </v:shape>
            <v:shape style="position:absolute;left:9581;top:5942;width:173;height:130" type="#_x0000_t75" stroked="false">
              <v:imagedata r:id="rId211" o:title=""/>
            </v:shape>
            <v:shape style="position:absolute;left:9734;top:6052;width:5137;height:13335" coordorigin="9735,6053" coordsize="5137,13335" path="m9735,6053l10138,6590m10138,6590l10153,6614m10153,6614l10210,6610,10537,6605,10652,6605,10657,6605,11060,6600,11084,6634,11132,6730,11223,6854,11333,7027,11372,7133,11429,7325,11458,7421,11477,7483,11501,7579,11511,7632,11535,7738,11559,7834,11597,7930,11621,8016,11641,8112,11669,8218,11703,8371,11722,8448,11775,8947,11924,10128,11943,10305,11953,10397,11948,10637,11919,10881,11857,11088,11765,11313,11665,11496,11612,11597,11559,11717,11477,11885,11405,12067,11338,12235,11261,12432,11161,12609,11079,12739,11012,12873,10925,13056,10873,13200,10796,13401,10753,13598,10738,13877,10724,14131,10757,14333,10796,14539,10853,14712,10949,14889m10949,14889l10954,14894,10954,14899,10959,14904,10959,14909,10964,14913,10969,14918,10969,14923,10973,14928,10978,14933,10978,14937,10983,14942,10988,14947,10988,14952,10993,14957,10997,14961,11002,14966,11002,14971,11007,14976,11012,14981,11017,14985,11017,14990,11021,14995,11026,15000,11031,15005,11036,15009,11041,15014,11045,15019,11050,15024,11055,15029,11060,15033,11065,15038,11069,15043,11074,15048,11079,15053,11084,15057,11089,15062,11093,15067,11098,15072,11103,15077,11108,15077,11113,15081,11117,15086,11122,15091,11127,15091,11132,15096,11137,15101,11141,15105,11146,15105,11151,15110,11156,15115,11161,15115,11165,15120,11170,15125,11175,15125,11180,15129,11185,15134,11189,15134,11194,15139,11199,15139,11204,15144,11209,15144,11213,15149,11218,15153,11223,15153,11228,15158,11233,15158,11237,15163,11242,15163,11247,15163,11252,15168,11257,15168,11261,15173,11266,15173,11271,15177,11276,15177,11281,15177,11285,15182,11290,15182,11295,15187,11300,15187,11305,15187,11309,15192,11314,15192,11319,15192,11324,15197,11329,15197,11333,15197,11338,15201,11343,15201,11348,15201,11353,15201,11357,15206,11362,15206,11367,15206,11372,15206,11377,15206m11377,15206l11381,15211,11386,15211,11391,15211,11396,15211,11401,15216,11405,15216,11410,15216,11415,15216,11420,15221,11425,15221,11429,15221,11434,15225,11439,15225,11444,15225,11449,15225,11453,15230,11458,15230,11463,15230,11468,15230,11473,15235,11477,15235,11482,15235,11487,15235,11492,15240,11497,15240,11501,15240,11506,15245,11511,15245,11516,15245,11521,15245,11525,15249,11530,15249,11535,15249,11540,15254,11545,15254,11549,15254,11554,15259,11559,15259,11564,15259,11569,15259,11573,15264,11578,15264,11583,15264,11588,15269,11593,15269,11597,15269,11602,15273,11607,15273,11612,15273,11617,15273,11621,15278,11626,15278,11631,15278,11636,15283,11641,15283,11645,15283,11650,15288,11655,15288,11660,15288,11665,15293,11669,15293,11674,15293,11679,15297,11684,15297,11689,15297,11693,15302,11698,15302,11703,15302,11708,15307,11713,15307,11717,15307,11722,15312,11727,15312,11732,15312,11737,15317,11741,15317,11746,15317,11751,15321,11756,15321,11761,15326,11765,15326,11770,15326,11775,15331,11780,15331,11785,15331,11789,15336,11794,15336,11799,15336,11804,15341,11809,15341,11813,15341,11818,15345,11823,15345,11828,15350,11833,15350,11837,15350,11842,15355,11847,15355,11852,15360,11857,15360,11861,15360,11866,15365,11871,15365,11876,15365,11881,15369,11885,15369,11890,15374,11895,15374,11900,15374,11905,15379,11909,15379,11914,15384,11919,15384,11924,15384,11929,15389,11933,15389,11938,15393,11943,15393,11948,15393,11953,15398,11957,15398,11962,15403,11967,15403,11972,15408,11977,15408,11981,15408,11986,15413,11991,15413,11996,15417,12001,15417,12005,15417,12010,15422,12015,15422,12020,15427,12025,15427,12029,15432,12034,15432,12039,15432,12044,15437,12049,15437,12053,15441,12058,15441,12063,15446,12068,15446,12073,15451,12077,15451,12082,15456,12087,15456,12092,15456,12097,15461,12101,15461,12106,15465,12111,15465,12116,15470,12121,15470,12125,15475,12130,15475,12135,15480,12140,15480,12145,15485,12149,15485,12154,15485,12159,15489,12164,15489,12169,15494,12173,15494,12178,15499,12183,15499,12188,15504,12193,15504,12197,15509,12202,15509,12207,15513,12212,15513,12217,15518,12221,15518,12226,15523,12231,15523,12236,15528,12241,15528,12245,15533,12250,15533,12255,15537,12260,15537,12265,15542,12269,15542,12274,15547,12279,15547,12284,15552,12289,15552,12293,15557,12298,15557,12303,15561,12308,15566,12313,15566,12317,15571,12322,15571,12327,15576,12332,15576,12337,15581,12341,15581,12346,15585,12351,15585,12356,15590,12361,15590,12365,15595,12370,15600,12375,15600,12380,15605,12385,15605,12389,15609,12394,15609,12399,15614,12404,15614,12409,15619,12413,15624,12418,15624,12423,15629,12428,15629,12433,15633,12437,15633,12442,15638,12447,15643,12452,15643,12457,15648,12461,15648,12466,15653,12471,15657,12476,15657,12481,15662,12485,15662,12490,15667,12495,15667,12500,15672,12505,15677,12509,15677,12514,15681,12519,15681,12524,15686,12529,15691,12533,15691,12538,15696,12543,15701m12543,15701l12601,15739m12601,15739l12817,15902,12975,16046,13114,16200,13201,16305,13359,16483,13532,16713,13681,16949,13849,17102,13998,17246,14113,17395,14271,17592,14454,17755,14617,17966,14727,18086,14818,18173,14871,18821,14866,18821,14871,19037,14862,19109,14842,19104,14780,19099,14396,19089,14396,19099,14247,19094,14166,19089,14041,19219,14002,19219,13998,19277,13998,19373,13642,19377,13642,19387e" filled="false" stroked="true" strokeweight="1.9201pt" strokecolor="#000000">
              <v:path arrowok="t"/>
              <v:stroke dashstyle="solid"/>
            </v:shape>
            <v:shape style="position:absolute;left:13344;top:19267;width:317;height:140" type="#_x0000_t75" stroked="false">
              <v:imagedata r:id="rId212" o:title=""/>
            </v:shape>
            <v:shape style="position:absolute;left:11799;top:18743;width:1565;height:3159" coordorigin="11799,18744" coordsize="1565,3159" path="m13364,19286l13359,19291,12754,18897m12754,18897l12649,18830m12649,18830l12572,18777m12572,18777l12519,18744m12519,18744l12519,18859,12519,18955,12500,18955,12140,18960,12140,19637,12519,19627,12509,21163,12625,21163,12629,21595,12245,21739,11861,21878,11799,21902e" filled="false" stroked="true" strokeweight="1.9201pt" strokecolor="#000000">
              <v:path arrowok="t"/>
              <v:stroke dashstyle="solid"/>
            </v:shape>
            <v:shape style="position:absolute;left:9778;top:9974;width:125;height:130" type="#_x0000_t75" stroked="false">
              <v:imagedata r:id="rId213" o:title=""/>
            </v:shape>
            <v:shape style="position:absolute;left:8914;top:14068;width:553;height:15" coordorigin="8914,14069" coordsize="553,15" path="m9284,14069l9164,14069m9284,14069l9408,14069,9413,14069,9418,14069,9423,14069,9432,14069,9437,14069,9442,14069,9447,14073,9452,14073,9461,14073,9466,14078m9068,14073l8943,14073,8938,14073,8933,14073,8928,14073,8928,14078,8924,14078,8919,14078,8919,14083,8914,14083e" filled="false" stroked="true" strokeweight=".96005pt" strokecolor="#005be5">
              <v:path arrowok="t"/>
              <v:stroke dashstyle="solid"/>
            </v:shape>
            <v:line style="position:absolute" from="9058,14071" to="9116,14071" stroked="true" strokeweight="1.20005pt" strokecolor="#005be5">
              <v:stroke dashstyle="solid"/>
            </v:line>
            <v:line style="position:absolute" from="9164,14069" to="9106,14069" stroked="true" strokeweight=".96005pt" strokecolor="#005be5">
              <v:stroke dashstyle="solid"/>
            </v:line>
            <v:shape style="position:absolute;left:700;top:2870;width:14435;height:20765" type="#_x0000_t75" stroked="false">
              <v:imagedata r:id="rId214" o:title=""/>
            </v:shape>
            <v:line style="position:absolute" from="9980,8424" to="9980,8256" stroked="true" strokeweight=".96005pt" strokecolor="#005be5">
              <v:stroke dashstyle="solid"/>
            </v:line>
            <v:line style="position:absolute" from="9977,8045" to="9977,8266" stroked="true" strokeweight="1.200060pt" strokecolor="#005be5">
              <v:stroke dashstyle="solid"/>
            </v:line>
            <v:line style="position:absolute" from="9965,8045" to="9984,8045" stroked="true" strokeweight=".95999pt" strokecolor="#005be5">
              <v:stroke dashstyle="solid"/>
            </v:line>
            <v:line style="position:absolute" from="9965,8030" to="9984,8030" stroked="true" strokeweight=".48pt" strokecolor="#005be5">
              <v:stroke dashstyle="solid"/>
            </v:line>
            <v:shape style="position:absolute;left:9970;top:7963;width:5;height:63" coordorigin="9970,7963" coordsize="5,63" path="m9975,8026l9970,8011m9970,8011l9970,7963e" filled="false" stroked="true" strokeweight=".96005pt" strokecolor="#005be5">
              <v:path arrowok="t"/>
              <v:stroke dashstyle="solid"/>
            </v:shape>
            <v:shape style="position:absolute;left:720;top:16127;width:3989;height:4061" coordorigin="720,16128" coordsize="3989,4061" path="m4709,20189l4661,20073,4551,19790,4493,19622,3965,18153,3826,17865,3696,17673,3514,17477,2242,16569m2242,16569l2237,16565,2232,16565,2227,16560,2223,16555,2218,16555,2213,16550,2208,16545,2203,16545,2199,16541,2194,16536,2189,16536,2184,16531,2179,16526,2175,16526,2170,16521,2165,16517,2160,16517,2155,16512,2151,16507,2146,16507,2141,16502,2136,16497,2131,16497,2127,16493,2122,16488,2117,16488,2112,16483,2107,16483,2103,16478,2098,16473,2093,16473,2088,16469,2083,16469,2079,16464,2074,16459,2069,16459,2064,16454,2059,16454,2055,16449,2050,16445,2045,16445,2040,16440,2035,16440,2031,16435,2026,16435,2021,16430,2016,16425,2011,16425,2007,16421,2002,16421,1997,16416,1992,16416,1987,16411,1982,16411,1978,16406,1973,16406,1968,16401,1963,16401,1958,16397,1954,16397,1949,16392,1944,16387,1939,16387,1934,16382,1930,16382,1925,16377,1920,16377,1915,16373,1910,16373,1906,16368,1901,16368,1896,16368,1891,16363,1886,16363,1882,16358,1877,16358,1872,16353,1867,16353,1862,16349,1858,16349,1853,16344,1848,16344,1843,16339,1838,16339,1834,16334,1829,16334,1824,16334,1819,16329,1814,16329,1810,16325,1805,16325,1800,16320,1795,16320,1790,16320,1786,16315,1781,16315,1776,16310,1771,16310,1766,16305,1762,16305,1757,16305,1752,16301,1747,16301,1742,16296,1738,16296,1733,16296,1728,16291,1723,16291,1718,16286,1714,16286,1709,16286,1704,16281,1699,16281,1694,16281,1690,16277,1685,16277,1680,16272,1675,16272,1670,16272,1666,16267,1661,16267,1656,16267,1651,16262,1646,16262,1642,16262,1637,16257,1632,16257,1627,16257,1622,16253,1618,16253,1613,16253,1608,16248,1603,16248,1598,16248,1594,16243,1589,16243,1584,16243,1579,16238,1574,16238,1570,16238,1565,16233,1560,16233,1555,16233,1550,16229,1546,16229,1541,16229,1536,16224,1531,16224,1526,16224,1522,16224,1517,16219,1512,16219,1507,16219,1502,16214,1498,16214,1493,16214,1488,16214,1483,16209,1478,16209,1474,16209,1469,16209,1464,16205,1459,16205,1454,16205,1450,16200,1445,16200,1440,16200,1435,16200,1430,16195,1426,16195,1421,16195,1416,16195,1411,16195,1406,16190,1402,16190,1397,16190,1392,16190,1387,16185,1382,16185,1378,16185,1373,16185,1368,16181,1363,16181,1358,16181,1354,16181,1349,16181,1344,16176,1339,16176,1334,16176,1330,16176,1325,16176,1320,16171,1315,16171,1310,16171,1306,16171,1301,16171,1296,16166,1291,16166,1286,16166,1282,16166,1277,16166,1272,16166,1267,16161,1262,16161,1258,16161,1253,16161,1248,16161,1243,16157,1238,16157,1234,16157,1229,16157,1224,16157,1219,16157,1214,16157,1210,16152,1205,16152,1200,16152,1195,16152,1190,16152,1186,16152,1181,16152,1176,16147,1171,16147,1166,16147,1162,16147,1157,16147,1152,16147,1147,16147,1142,16147,1138,16142,1133,16142,1128,16142,1123,16142,1118,16142,1114,16142,1109,16142,1104,16142,1099,16142,1094,16137,1090,16137,1085,16137,1080,16137,1075,16137,1070,16137,1066,16137,1061,16137,1056,16137,1051,16137,1046,16137,1042,16133,1037,16133,1032,16133,1027,16133,1022,16133,1018,16133,1013,16133,1008,16133,1003,16133,998,16133,994,16133,989,16133,984,16133,979,16133,974,16133,970,16133,965,16128,960,16128,955,16128,950,16128,946,16128,941,16128,936,16128,931,16128,926,16128,922,16128,917,16128,912,16128,907,16128,902,16128,898,16128,893,16128,888,16128,883,16128,878,16128,874,16128,869,16128,864,16128,859,16128,854,16128,850,16128,845,16128,840,16128,835,16128,830,16128,826,16128,821,16128,816,16128,811,16128,806,16128,802,16128,797,16128,792,16128,787,16128,782,16128,778,16128,773,16128,768,16128,763,16128,758,16128,754,16128,749,16133,744,16133,739,16133,734,16133,730,16133,725,16133,720,16133e" filled="false" stroked="true" strokeweight="1.9201pt" strokecolor="#005be5">
              <v:path arrowok="t"/>
              <v:stroke dashstyle="solid"/>
            </v:shape>
            <v:shape style="position:absolute;left:12557;top:19771;width:20;height:1469" coordorigin="12557,19771" coordsize="20,1469" path="m12567,19771l12557,21173m12557,21173l12557,21177,12557,21182,12557,21187,12557,21192,12557,21197,12562,21201,12562,21206,12562,21211,12562,21216,12567,21221,12567,21225,12567,21230,12572,21235,12572,21240,12577,21240e" filled="false" stroked="true" strokeweight="1.9201pt" strokecolor="#8400a7">
              <v:path arrowok="t"/>
              <v:stroke dashstyle="solid"/>
            </v:shape>
            <v:shape style="position:absolute;left:10166;top:22094;width:207;height:394" type="#_x0000_t75" stroked="false">
              <v:imagedata r:id="rId215" o:title=""/>
            </v:shape>
            <v:line style="position:absolute" from="9778,22104" to="10205,22104" stroked="true" strokeweight="2.88009pt" strokecolor="#a70000">
              <v:stroke dashstyle="solid"/>
            </v:line>
            <v:shape style="position:absolute;left:8362;top:21546;width:1436;height:548" coordorigin="8362,21547" coordsize="1436,548" path="m9797,22094l9792,22094,9788,22094,9783,22089,9778,22089,9773,22089,9768,22085,9764,22080,9759,22080,9754,22075,9754,22070m9754,22070l9749,22065,9744,22061,9740,22061,9735,22056,9730,22056,9725,22051,9720,22051,9716,22051,9711,22051,9706,22051m9706,22051l9701,22051,9696,22051,9692,22051,9687,22051,9682,22051,9677,22051,9672,22051,9668,22051,9663,22051,9658,22051,9653,22051,9648,22051,9644,22051,9639,22051,9634,22051,9629,22051,9624,22051,9620,22051,9615,22051,9610,22051,9605,22051,9600,22051,9596,22051,9591,22051,9586,22051,9581,22051,9576,22051,9572,22046,9567,22051m9567,22051l9562,22051,9557,22051,9552,22051,9548,22046,9543,22046,9538,22046,9533,22046,9528,22041,9524,22041,9519,22041,9514,22037,9509,22037,9504,22032,9500,22032,9495,22027,9490,22027,9485,22022,9480,22017,9476,22017,9471,22013,9466,22008,9461,22003,9456,21998,9452,21993,9447,21989,9442,21984,9442,21979,9437,21974,9432,21969,9432,21965m9432,21965l9428,21960,9428,21955,9423,21950,9418,21945,9418,21941,9413,21936,9408,21931,9404,21926,9404,21921,9399,21917,9394,21912,9389,21907,9384,21902,9380,21897,9375,21893,9370,21888,9365,21883,9360,21883,9356,21878,9351,21873,9346,21869,9341,21869,9336,21864,9332,21859,9327,21859,9322,21854,9317,21849,9312,21849,9308,21845,9303,21845,9298,21840,9293,21840m9293,21840l9020,21720m9020,21720l9015,21720,9010,21715,9005,21715,9000,21710,8996,21710,8991,21710,8986,21705,8981,21705,8976,21705,8972,21701,8967,21701,8962,21696,8957,21696,8952,21696,8948,21691,8943,21691,8938,21691,8933,21686,8928,21686,8924,21686,8919,21681,8914,21681,8909,21681,8904,21677,8900,21677,8895,21677,8890,21677,8885,21672,8880,21672,8876,21672,8871,21672,8866,21667,8861,21667,8856,21667,8852,21667,8847,21662,8842,21662,8837,21662,8832,21662,8828,21657,8823,21657,8818,21657,8813,21657,8808,21657,8804,21653m8804,21653l8799,21653,8794,21653,8789,21653,8784,21653,8780,21653,8775,21653,8770,21648,8765,21648,8760,21648,8756,21648,8751,21648,8746,21643,8741,21643,8736,21643,8732,21643,8727,21643,8722,21638,8717,21638,8712,21638,8708,21638,8703,21638,8698,21633,8693,21633,8688,21633,8684,21633,8679,21629,8674,21629,8669,21629,8664,21629,8660,21629,8655,21624,8650,21624,8645,21624,8640,21624,8636,21619,8631,21619,8626,21619,8621,21619,8616,21614,8612,21614,8607,21614,8602,21614,8597,21614,8592,21609,8588,21609,8583,21609,8578,21609,8573,21605,8568,21605,8564,21605,8559,21605,8554,21600,8549,21600,8544,21600,8540,21600,8535,21595,8530,21595,8525,21595,8520,21590,8516,21590,8511,21590,8506,21590,8501,21585,8496,21585,8492,21585,8487,21585,8482,21581,8477,21581,8472,21581,8468,21581,8463,21576,8458,21576,8453,21576,8448,21571,8444,21571,8439,21571,8434,21571,8429,21566,8424,21566,8420,21566,8415,21561,8410,21561,8405,21561,8400,21557,8396,21557,8391,21557,8386,21557,8381,21552,8376,21552,8372,21552,8367,21547,8362,21547e" filled="false" stroked="true" strokeweight="1.9201pt" strokecolor="#a70000">
              <v:path arrowok="t"/>
              <v:stroke dashstyle="solid"/>
            </v:shape>
            <v:shape style="position:absolute;left:7973;top:21426;width:409;height:140" type="#_x0000_t75" stroked="false">
              <v:imagedata r:id="rId216" o:title=""/>
            </v:shape>
            <v:shape style="position:absolute;left:9466;top:20135;width:212;height:173" type="#_x0000_t75" stroked="false">
              <v:imagedata r:id="rId217" o:title=""/>
            </v:shape>
            <v:line style="position:absolute" from="10868,9706" to="10767,9706" stroked="true" strokeweight="1.9201pt" strokecolor="#70a700">
              <v:stroke dashstyle="solid"/>
            </v:line>
            <v:shape style="position:absolute;left:3019;top:5039;width:12063;height:16738" type="#_x0000_t75" stroked="false">
              <v:imagedata r:id="rId218" o:title=""/>
            </v:shape>
            <v:shape style="position:absolute;left:9902;top:7439;width:865;height:2266" coordorigin="9903,7440" coordsize="865,2266" path="m10767,9706l10666,9706m10004,7440l9960,7440,9903,7440e" filled="false" stroked="true" strokeweight="1.9201pt" strokecolor="#70a700">
              <v:path arrowok="t"/>
              <v:stroke dashstyle="solid"/>
            </v:shape>
            <v:line style="position:absolute" from="9783,7442" to="9922,7442" stroked="true" strokeweight="2.1601pt" strokecolor="#70a700">
              <v:stroke dashstyle="solid"/>
            </v:line>
            <v:shape style="position:absolute;left:9619;top:7444;width:101;height:2" coordorigin="9620,7445" coordsize="101,0" path="m9720,7445l9716,7445,9620,7445e" filled="false" stroked="true" strokeweight="1.9201pt" strokecolor="#70a700">
              <v:path arrowok="t"/>
              <v:stroke dashstyle="solid"/>
            </v:shape>
            <v:line style="position:absolute" from="9504,7447" to="9639,7447" stroked="true" strokeweight="2.1601pt" strokecolor="#70a700">
              <v:stroke dashstyle="solid"/>
            </v:line>
            <v:line style="position:absolute" from="9442,7450" to="9341,7450" stroked="true" strokeweight="1.9201pt" strokecolor="#70a700">
              <v:stroke dashstyle="solid"/>
            </v:line>
            <v:line style="position:absolute" from="9221,7447" to="9360,7447" stroked="true" strokeweight="2.1601pt" strokecolor="#70a700">
              <v:stroke dashstyle="solid"/>
            </v:line>
            <v:shape style="position:absolute;left:4910;top:6854;width:3130;height:687" coordorigin="4911,6854" coordsize="3130,687" path="m8040,7450l7944,7450,7940,7450m7940,7450l7872,7454,7844,7459m7767,7483l7752,7488,7719,7502,7676,7522m7676,7522l7656,7526,7604,7541,7575,7541m4911,6936l4911,6854e" filled="false" stroked="true" strokeweight="1.9201pt" strokecolor="#70a700">
              <v:path arrowok="t"/>
              <v:stroke dashstyle="solid"/>
            </v:shape>
            <v:line style="position:absolute" from="9610,21182" to="9648,21182" stroked="true" strokeweight=".95999pt" strokecolor="#70a700">
              <v:stroke dashstyle="solid"/>
            </v:line>
            <v:line style="position:absolute" from="9629,21269" to="9629,21369" stroked="true" strokeweight="1.9201pt" strokecolor="#70a700">
              <v:stroke dashstyle="solid"/>
            </v:line>
            <v:line style="position:absolute" from="9629,21350" to="9629,21489" stroked="true" strokeweight="1.9201pt" strokecolor="#70a700">
              <v:stroke dashstyle="solid"/>
            </v:line>
            <v:shape style="position:absolute;left:9605;top:21551;width:327;height:332" type="#_x0000_t75" stroked="false">
              <v:imagedata r:id="rId219" o:title=""/>
            </v:shape>
            <v:shape style="position:absolute;left:9989;top:21820;width:745;height:68" coordorigin="9989,21821" coordsize="745,68" path="m9989,21888l10033,21883m10033,21883l10085,21864m10085,21864l10143,21849m10143,21849l10181,21845m10263,21849l10282,21849,10325,21854m10325,21854l10359,21859m10359,21859l10364,21859,10369,21859,10373,21859,10378,21859,10383,21854,10388,21854,10393,21854,10397,21854,10402,21854,10407,21849,10412,21849,10417,21849,10421,21845,10426,21845,10431,21840,10436,21840m10436,21840l10455,21830m10537,21821l10628,21821,10637,21821m10637,21821l10709,21821m10709,21821l10733,21821e" filled="false" stroked="true" strokeweight="1.9201pt" strokecolor="#70a700">
              <v:path arrowok="t"/>
              <v:stroke dashstyle="solid"/>
            </v:shape>
            <v:line style="position:absolute" from="10813,21830" to="10813,21869" stroked="true" strokeweight=".24001pt" strokecolor="#70a700">
              <v:stroke dashstyle="solid"/>
            </v:line>
            <v:shape style="position:absolute;left:10814;top:21849;width:188;height:34" coordorigin="10815,21849" coordsize="188,34" path="m10815,21849l10820,21854,10825,21854,10829,21859,10834,21864,10839,21864,10844,21869,10849,21869,10853,21869,10858,21873,10863,21873,10868,21873m10868,21873l10901,21883m10901,21883l10921,21883m10921,21883l11002,21883e" filled="false" stroked="true" strokeweight="1.9201pt" strokecolor="#70a700">
              <v:path arrowok="t"/>
              <v:stroke dashstyle="solid"/>
            </v:shape>
            <v:line style="position:absolute" from="11089,21859" to="11089,21897" stroked="true" strokeweight=".48003pt" strokecolor="#70a700">
              <v:stroke dashstyle="solid"/>
            </v:line>
            <v:line style="position:absolute" from="9404,6703" to="9442,6703" stroked="true" strokeweight="1.67999pt" strokecolor="#70a700">
              <v:stroke dashstyle="solid"/>
            </v:line>
            <v:shape style="position:absolute;left:9403;top:6796;width:39;height:101" coordorigin="9404,6797" coordsize="39,101" path="m9442,6797l9404,6797,9404,6869,9404,6898,9442,6898,9442,6869,9442,6797e" filled="true" fillcolor="#70a700" stroked="false">
              <v:path arrowok="t"/>
              <v:fill type="solid"/>
            </v:shape>
            <v:line style="position:absolute" from="9425,6878" to="9425,7018" stroked="true" strokeweight="2.16012pt" strokecolor="#70a700">
              <v:stroke dashstyle="solid"/>
            </v:line>
            <v:line style="position:absolute" from="9432,7080" to="9447,7176" stroked="true" strokeweight="1.9201pt" strokecolor="#70a700">
              <v:stroke dashstyle="solid"/>
            </v:line>
            <v:line style="position:absolute" from="9452,7157" to="9452,7296" stroked="true" strokeweight="2.40013pt" strokecolor="#70a700">
              <v:stroke dashstyle="solid"/>
            </v:line>
            <v:line style="position:absolute" from="9447,7373" to="9485,7373" stroked="true" strokeweight="1.43999pt" strokecolor="#70a700">
              <v:stroke dashstyle="solid"/>
            </v:line>
            <v:line style="position:absolute" from="9471,7368" to="9471,7474" stroked="true" strokeweight="2.40013pt" strokecolor="#70a700">
              <v:stroke dashstyle="solid"/>
            </v:line>
            <v:line style="position:absolute" from="9478,7435" to="9478,7574" stroked="true" strokeweight="2.16011pt" strokecolor="#70a700">
              <v:stroke dashstyle="solid"/>
            </v:line>
            <v:shape style="position:absolute;left:9480;top:7636;width:3053;height:14376" coordorigin="9480,7637" coordsize="3053,14376" path="m9480,7637l9480,7738m9480,7738l9480,7834m9480,7915l9480,7978,9480,8016m9480,8016l9480,8069,9480,8117m12514,20899l12514,21000m12514,21000l12514,21096m12514,21177l12514,21182,12514,21187,12514,21192,12514,21197,12514,21201,12519,21206,12519,21211,12519,21216,12519,21221,12519,21225,12524,21230,12524,21235,12524,21240,12529,21245,12529,21249,12529,21254,12533,21259m10988,20726l10988,20745,10983,20827m10983,20827l10983,20928m11093,21816l11093,21917m11093,21917l11093,21989,11093,22013e" filled="false" stroked="true" strokeweight="1.9201pt" strokecolor="#70a700">
              <v:path arrowok="t"/>
              <v:stroke dashstyle="solid"/>
            </v:shape>
            <v:line style="position:absolute" from="11096,22075" to="11096,22214" stroked="true" strokeweight="2.16011pt" strokecolor="#70a700">
              <v:stroke dashstyle="solid"/>
            </v:line>
            <v:shape style="position:absolute;left:11078;top:22195;width:39;height:101" coordorigin="11079,22195" coordsize="39,101" path="m11117,22195l11079,22195,11079,22267,11079,22296,11117,22296,11117,22267,11117,22195e" filled="true" fillcolor="#70a700" stroked="false">
              <v:path arrowok="t"/>
              <v:fill type="solid"/>
            </v:shape>
            <v:shape style="position:absolute;left:10843;top:22353;width:260;height:581" type="#_x0000_t75" stroked="false">
              <v:imagedata r:id="rId220" o:title=""/>
            </v:shape>
            <v:line style="position:absolute" from="7157,6691" to="7157,6691" stroked="true" strokeweight="1.9201pt" strokecolor="#70a700">
              <v:stroke dashstyle="solid"/>
            </v:line>
            <v:shape style="position:absolute;left:10188;top:22322;width:591;height:135" type="#_x0000_t75" stroked="false">
              <v:imagedata r:id="rId221" o:title=""/>
            </v:shape>
            <v:shape style="position:absolute;left:720;top:2879;width:14401;height:20880" coordorigin="720,2880" coordsize="14401,20880" path="m720,13320l720,2880,15121,2880,15121,23760,720,23760,720,13320e" filled="false" stroked="true" strokeweight=".96005pt" strokecolor="#000000">
              <v:path arrowok="t"/>
              <v:stroke dashstyle="solid"/>
            </v:shape>
            <v:shape style="position:absolute;left:1108;top:19958;width:2924;height:2429" coordorigin="1109,19958" coordsize="2924,2429" path="m3883,22382l1258,22382,1262,22387,3879,22387,3883,22382xm3903,22377l1238,22377,1243,22382,3898,22382,3903,22377xm3917,22373l1224,22373,1229,22377,3912,22377,3917,22373xm3927,22368l1214,22368,1219,22373,3922,22373,3927,22368xm3936,22363l1205,22363,1210,22368,3931,22368,3936,22363xm3946,22358l1195,22358,1200,22363,3941,22363,3946,22358xm3965,22344l1176,22344,1190,22358,3951,22358,3965,22344xm3970,20001l1171,20001,1152,20021,1152,20025,1138,20040,1138,20045,1133,20049,1133,20054,1128,20059,1128,20064,1123,20069,1123,20073,1118,20078,1118,20088,1114,20093,1114,20107,1109,20112,1109,22233,1114,22238,1114,22253,1118,22257,1118,22267,1123,22272,1123,22277,1128,22281,1128,22286,1133,22291,1133,22296,1138,22301,1138,22305,1152,22320,1152,22325,1171,22344,3970,22344,3989,22325,3989,22320,4003,22305,4003,22301,4008,22296,4008,22291,4013,22286,4013,22281,4018,22277,4018,22272,4023,22267,4023,22257,4027,22253,4027,22238,4032,22233,4032,20112,4027,20107,4027,20093,4023,20088,4023,20078,4018,20073,4018,20069,4013,20064,4013,20059,4008,20054,4008,20049,4003,20045,4003,20040,3989,20025,3989,20021,3970,20001xm3951,19987l1190,19987,1176,20001,3965,20001,3951,19987xm3941,19982l1200,19982,1195,19987,3946,19987,3941,19982xm3931,19977l1210,19977,1205,19982,3936,19982,3931,19977xm3922,19973l1219,19973,1214,19977,3927,19977,3922,19973xm3912,19968l1229,19968,1224,19973,3917,19973,3912,19968xm3898,19963l1243,19963,1238,19968,3903,19968,3898,19963xm3879,19958l1262,19958,1258,19963,3883,19963,3879,19958xe" filled="true" fillcolor="#ffffff" stroked="false">
              <v:path arrowok="t"/>
              <v:fill type="solid"/>
            </v:shape>
            <v:rect style="position:absolute;left:1310;top:20159;width:524;height:260" filled="false" stroked="true" strokeweight="1.9201pt" strokecolor="#000000">
              <v:stroke dashstyle="solid"/>
            </v:rect>
            <v:shape style="position:absolute;left:1310;top:20510;width:524;height:264" coordorigin="1310,20510" coordsize="524,264" path="m1310,20774l1310,20654m1310,20534l1310,20510,1411,20510m1531,20510l1651,20510m1771,20510l1834,20510,1834,20568m1834,20688l1834,20774,1800,20774m1440,20774l1320,20774e" filled="false" stroked="true" strokeweight="1.9201pt" strokecolor="#000000">
              <v:path arrowok="t"/>
              <v:stroke dashstyle="solid"/>
            </v:shape>
            <v:shape style="position:absolute;left:1310;top:21350;width:524;height:2" coordorigin="1310,21350" coordsize="524,0" path="m1310,21350l1411,21350m1488,21350l1589,21350m1589,21350l1690,21350m1771,21350l1834,21350e" filled="false" stroked="true" strokeweight="1.9201pt" strokecolor="#70a700">
              <v:path arrowok="t"/>
              <v:stroke dashstyle="solid"/>
            </v:shape>
            <v:line style="position:absolute" from="1310,21701" to="1834,21701" stroked="true" strokeweight="1.9201pt" strokecolor="#8400a7">
              <v:stroke dashstyle="solid"/>
            </v:line>
            <v:line style="position:absolute" from="1310,22056" to="1834,22056" stroked="true" strokeweight="1.9201pt" strokecolor="#a70000">
              <v:stroke dashstyle="solid"/>
            </v:line>
            <v:line style="position:absolute" from="3850,22387" to="1291,22387" stroked="true" strokeweight=".96005pt" strokecolor="#000000">
              <v:stroke dashstyle="solid"/>
            </v:line>
            <v:shape style="position:absolute;left:1099;top:22194;width:202;height:202" type="#_x0000_t75" stroked="false">
              <v:imagedata r:id="rId222" o:title=""/>
            </v:shape>
            <v:line style="position:absolute" from="1109,22205" to="1109,20141" stroked="true" strokeweight=".96005pt" strokecolor="#000000">
              <v:stroke dashstyle="solid"/>
            </v:line>
            <v:shape style="position:absolute;left:1099;top:19948;width:202;height:202" type="#_x0000_t75" stroked="false">
              <v:imagedata r:id="rId223" o:title=""/>
            </v:shape>
            <v:line style="position:absolute" from="1291,19958" to="3850,19958" stroked="true" strokeweight=".96005pt" strokecolor="#000000">
              <v:stroke dashstyle="solid"/>
            </v:line>
            <v:shape style="position:absolute;left:3840;top:19948;width:202;height:202" type="#_x0000_t75" stroked="false">
              <v:imagedata r:id="rId224" o:title=""/>
            </v:shape>
            <v:line style="position:absolute" from="4032,20141" to="4032,22205" stroked="true" strokeweight=".96005pt" strokecolor="#000000">
              <v:stroke dashstyle="solid"/>
            </v:line>
            <v:shape style="position:absolute;left:3840;top:22194;width:202;height:202" type="#_x0000_t75" stroked="false">
              <v:imagedata r:id="rId225" o:title=""/>
            </v:shape>
            <v:rect style="position:absolute;left:720;top:720;width:14401;height:2160" filled="false" stroked="true" strokeweight=".96005pt" strokecolor="#000000">
              <v:stroke dashstyle="solid"/>
            </v:rect>
            <v:shape style="position:absolute;left:14539;top:945;width:341;height:1709" coordorigin="14540,946" coordsize="341,1709" path="m14712,2000l14707,2000,14707,2597,14710,2597,14710,2600,14778,2654,14778,2135,14712,2074,14712,2000xm14881,1657l14596,1657,14574,1662,14556,1674,14544,1692,14540,1713,14540,2000,14825,2000,14846,1996,14864,1983,14876,1965,14880,1949,14707,1949,14687,1947,14668,1942,14649,1933,14632,1921,14620,1910,14632,1898,14610,1898,14594,1860,14590,1819,14590,1818,14600,1779,14625,1745,14643,1730,14664,1719,14685,1712,14707,1710,14881,1710,14881,1657xm14881,1740l14791,1740,14800,1751,14823,1791,14830,1834,14820,1877,14794,1914,14776,1930,14756,1940,14734,1947,14712,1949,14880,1949,14881,1944,14881,1740xm14710,1911l14709,1911,14709,1913,14707,1913,14700,1916,14692,1919,14686,1923,14681,1924,14674,1924,14669,1926,14681,1931,14694,1934,14725,1934,14730,1933,14712,1914,14710,1911xm14751,1882l14741,1890,14733,1896,14723,1903,14748,1928,14758,1923,14769,1918,14778,1910,14751,1882xm14676,1877l14645,1908,14653,1913,14666,1913,14686,1906,14699,1900,14676,1877xm14712,1728l14707,1728,14669,1737,14638,1760,14616,1792,14609,1829,14609,1834,14610,1845,14612,1859,14617,1872,14623,1885,14610,1898,14632,1898,14661,1868,14640,1868,14633,1857,14630,1844,14630,1829,14632,1815,14636,1800,14644,1786,14655,1773,14666,1763,14679,1756,14693,1752,14707,1750,14781,1750,14787,1743,14764,1743,14753,1737,14740,1733,14726,1729,14712,1728xm14784,1842l14778,1852,14769,1862,14761,1870,14789,1898,14797,1888,14804,1877,14807,1867,14784,1842xm14710,1842l14686,1867,14707,1886,14712,1891,14722,1886,14730,1878,14740,1870,14712,1844,14710,1842xm14720,1769l14707,1769,14696,1771,14686,1774,14677,1780,14668,1788,14659,1797,14654,1808,14651,1819,14650,1829,14650,1839,14651,1847,14653,1854,14640,1868,14661,1868,14712,1817,14757,1773,14733,1773,14720,1769xm14746,1806l14722,1830,14751,1860,14759,1850,14773,1830,14746,1806xm14805,1789l14805,1794,14804,1799,14802,1806,14799,1812,14792,1829,14812,1849,14813,1834,14813,1829,14813,1818,14810,1803,14805,1789xm14789,1765l14758,1794,14781,1817,14782,1811,14786,1806,14792,1786,14792,1773,14789,1765xm14781,1750l14725,1750,14737,1753,14748,1758,14733,1773,14757,1773,14781,1750xm14881,1710l14712,1710,14729,1712,14746,1716,14762,1723,14776,1732,14764,1743,14787,1743,14791,1740,14881,1740,14881,1710xm14712,946l14642,1522,14707,1585,14707,1657,14712,1657,14712,946xe" filled="true" fillcolor="#335f93" stroked="false">
              <v:path arrowok="t"/>
              <v:fill type="solid"/>
            </v:shape>
            <v:shape style="position:absolute;left:14590;top:1710;width:186;height:188" type="#_x0000_t75" stroked="false">
              <v:imagedata r:id="rId123" o:title=""/>
            </v:shape>
            <v:shape style="position:absolute;left:816;top:1046;width:1509;height:1796" type="#_x0000_t75" stroked="false">
              <v:imagedata r:id="rId124" o:title=""/>
            </v:shape>
            <w10:wrap type="none"/>
          </v:group>
        </w:pict>
      </w:r>
    </w:p>
    <w:p>
      <w:pPr>
        <w:spacing w:before="100"/>
        <w:ind w:left="0" w:right="809" w:firstLine="0"/>
        <w:jc w:val="right"/>
        <w:rPr>
          <w:rFonts w:ascii="Century Gothic"/>
          <w:sz w:val="24"/>
        </w:rPr>
      </w:pPr>
      <w:r>
        <w:rPr>
          <w:rFonts w:ascii="Century Gothic"/>
          <w:sz w:val="24"/>
        </w:rPr>
        <w:t>February 27, 2017</w:t>
      </w:r>
    </w:p>
    <w:p>
      <w:pPr>
        <w:spacing w:after="0"/>
        <w:jc w:val="right"/>
        <w:rPr>
          <w:rFonts w:ascii="Century Gothic"/>
          <w:sz w:val="24"/>
        </w:rPr>
        <w:sectPr>
          <w:type w:val="continuous"/>
          <w:pgSz w:w="15840" w:h="24480"/>
          <w:pgMar w:top="1480" w:bottom="1320" w:left="0" w:right="0"/>
        </w:sectPr>
      </w:pPr>
    </w:p>
    <w:p>
      <w:pPr>
        <w:pStyle w:val="BodyText"/>
        <w:spacing w:before="8"/>
        <w:rPr>
          <w:rFonts w:ascii="Century Gothic"/>
          <w:sz w:val="13"/>
        </w:rPr>
      </w:pPr>
    </w:p>
    <w:p>
      <w:pPr>
        <w:spacing w:before="100"/>
        <w:ind w:left="3842" w:right="3837" w:firstLine="0"/>
        <w:jc w:val="center"/>
        <w:rPr>
          <w:rFonts w:ascii="Century Gothic"/>
          <w:b/>
          <w:sz w:val="72"/>
        </w:rPr>
      </w:pPr>
      <w:r>
        <w:rPr>
          <w:rFonts w:ascii="Century Gothic"/>
          <w:b/>
          <w:color w:val="004CA7"/>
          <w:sz w:val="72"/>
        </w:rPr>
        <w:t>City of Richland</w:t>
      </w:r>
    </w:p>
    <w:p>
      <w:pPr>
        <w:pStyle w:val="ListParagraph"/>
        <w:numPr>
          <w:ilvl w:val="1"/>
          <w:numId w:val="6"/>
        </w:numPr>
        <w:tabs>
          <w:tab w:pos="5730" w:val="left" w:leader="none"/>
        </w:tabs>
        <w:spacing w:line="240" w:lineRule="auto" w:before="81" w:after="0"/>
        <w:ind w:left="5729" w:right="0" w:hanging="5728"/>
        <w:jc w:val="left"/>
        <w:rPr>
          <w:rFonts w:ascii="Century Gothic"/>
          <w:b/>
          <w:sz w:val="40"/>
        </w:rPr>
      </w:pPr>
      <w:r>
        <w:rPr>
          <w:rFonts w:ascii="Century Gothic"/>
          <w:b/>
          <w:sz w:val="40"/>
        </w:rPr>
        <w:t>- Airport and Port</w:t>
      </w:r>
      <w:r>
        <w:rPr>
          <w:rFonts w:ascii="Century Gothic"/>
          <w:b/>
          <w:spacing w:val="-4"/>
          <w:sz w:val="40"/>
        </w:rPr>
        <w:t> </w:t>
      </w:r>
      <w:r>
        <w:rPr>
          <w:rFonts w:ascii="Century Gothic"/>
          <w:b/>
          <w:sz w:val="40"/>
        </w:rPr>
        <w:t>Facilities</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2"/>
        <w:rPr>
          <w:rFonts w:ascii="Century Gothic"/>
          <w:b/>
          <w:sz w:val="20"/>
        </w:rPr>
      </w:pPr>
    </w:p>
    <w:p>
      <w:pPr>
        <w:spacing w:after="0"/>
        <w:rPr>
          <w:rFonts w:ascii="Century Gothic"/>
          <w:sz w:val="20"/>
        </w:rPr>
        <w:sectPr>
          <w:footerReference w:type="default" r:id="rId226"/>
          <w:pgSz w:w="15840" w:h="24480"/>
          <w:pgMar w:footer="0" w:header="0" w:top="760" w:bottom="280" w:left="0" w:right="0"/>
        </w:sectPr>
      </w:pPr>
    </w:p>
    <w:p>
      <w:pPr>
        <w:pStyle w:val="BodyText"/>
        <w:spacing w:before="8"/>
        <w:rPr>
          <w:rFonts w:ascii="Century Gothic"/>
          <w:b/>
          <w:sz w:val="33"/>
        </w:rPr>
      </w:pPr>
    </w:p>
    <w:p>
      <w:pPr>
        <w:spacing w:before="0"/>
        <w:ind w:left="0" w:right="0" w:firstLine="0"/>
        <w:jc w:val="right"/>
        <w:rPr>
          <w:rFonts w:ascii="Arial"/>
          <w:b/>
          <w:sz w:val="13"/>
        </w:rPr>
      </w:pPr>
      <w:r>
        <w:rPr>
          <w:rFonts w:ascii="Arial Black"/>
          <w:color w:val="FFFFFF"/>
          <w:spacing w:val="-283"/>
          <w:w w:val="99"/>
          <w:position w:val="-3"/>
          <w:sz w:val="34"/>
        </w:rPr>
        <w:t>U</w:t>
      </w:r>
      <w:r>
        <w:rPr>
          <w:rFonts w:ascii="Arial Black"/>
          <w:spacing w:val="-256"/>
          <w:w w:val="106"/>
          <w:position w:val="-3"/>
          <w:sz w:val="34"/>
        </w:rPr>
        <w:t>V</w:t>
      </w:r>
      <w:r>
        <w:rPr>
          <w:rFonts w:ascii="Arial"/>
          <w:b/>
          <w:spacing w:val="-1"/>
          <w:w w:val="99"/>
          <w:sz w:val="13"/>
        </w:rPr>
        <w:t>2</w:t>
      </w:r>
      <w:r>
        <w:rPr>
          <w:rFonts w:ascii="Arial"/>
          <w:b/>
          <w:spacing w:val="4"/>
          <w:w w:val="99"/>
          <w:sz w:val="13"/>
        </w:rPr>
        <w:t>4</w:t>
      </w:r>
      <w:r>
        <w:rPr>
          <w:rFonts w:ascii="Arial"/>
          <w:b/>
          <w:w w:val="99"/>
          <w:sz w:val="13"/>
        </w:rPr>
        <w:t>0</w:t>
      </w:r>
    </w:p>
    <w:p>
      <w:pPr>
        <w:spacing w:before="103"/>
        <w:ind w:left="3732" w:right="0" w:firstLine="0"/>
        <w:jc w:val="left"/>
        <w:rPr>
          <w:rFonts w:ascii="Century Gothic"/>
          <w:b/>
          <w:sz w:val="13"/>
        </w:rPr>
      </w:pPr>
      <w:r>
        <w:rPr/>
        <w:br w:type="column"/>
      </w:r>
      <w:r>
        <w:rPr>
          <w:rFonts w:ascii="Century Gothic"/>
          <w:b/>
          <w:color w:val="4D4D4D"/>
          <w:sz w:val="13"/>
        </w:rPr>
        <w:t>Horn Rapids Rd</w:t>
      </w:r>
    </w:p>
    <w:p>
      <w:pPr>
        <w:pStyle w:val="BodyText"/>
        <w:rPr>
          <w:rFonts w:ascii="Century Gothic"/>
          <w:b/>
          <w:sz w:val="16"/>
        </w:rPr>
      </w:pPr>
    </w:p>
    <w:p>
      <w:pPr>
        <w:pStyle w:val="BodyText"/>
        <w:rPr>
          <w:rFonts w:ascii="Century Gothic"/>
          <w:b/>
          <w:sz w:val="16"/>
        </w:rPr>
      </w:pPr>
    </w:p>
    <w:p>
      <w:pPr>
        <w:pStyle w:val="BodyText"/>
        <w:spacing w:before="3"/>
        <w:rPr>
          <w:rFonts w:ascii="Century Gothic"/>
          <w:b/>
          <w:sz w:val="14"/>
        </w:rPr>
      </w:pPr>
    </w:p>
    <w:p>
      <w:pPr>
        <w:spacing w:before="0"/>
        <w:ind w:left="4033" w:right="6794" w:firstLine="0"/>
        <w:jc w:val="center"/>
        <w:rPr>
          <w:rFonts w:ascii="Century Gothic"/>
          <w:b/>
          <w:sz w:val="13"/>
        </w:rPr>
      </w:pPr>
      <w:r>
        <w:rPr/>
        <w:pict>
          <v:shape style="position:absolute;margin-left:233.028336pt;margin-top:-6.849251pt;width:10.5pt;height:51.25pt;mso-position-horizontal-relative:page;mso-position-vertical-relative:paragraph;z-index:252040192"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position w:val="1"/>
                      <w:sz w:val="13"/>
                    </w:rPr>
                    <w:t>Twin Br</w:t>
                  </w:r>
                  <w:r>
                    <w:rPr>
                      <w:rFonts w:ascii="Century Gothic"/>
                      <w:b/>
                      <w:color w:val="4D4D4D"/>
                      <w:sz w:val="13"/>
                    </w:rPr>
                    <w:t>idges Rd</w:t>
                  </w:r>
                </w:p>
              </w:txbxContent>
            </v:textbox>
            <w10:wrap type="none"/>
          </v:shape>
        </w:pict>
      </w:r>
      <w:r>
        <w:rPr/>
        <w:pict>
          <v:shape style="position:absolute;margin-left:345.298859pt;margin-top:-10.766394pt;width:11.55pt;height:50.4pt;mso-position-horizontal-relative:page;mso-position-vertical-relative:paragraph;z-index:252043264"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Kin</w:t>
                  </w:r>
                  <w:r>
                    <w:rPr>
                      <w:rFonts w:ascii="Century Gothic"/>
                      <w:b/>
                      <w:color w:val="4D4D4D"/>
                      <w:position w:val="1"/>
                      <w:sz w:val="13"/>
                    </w:rPr>
                    <w:t>gsga</w:t>
                  </w:r>
                  <w:r>
                    <w:rPr>
                      <w:rFonts w:ascii="Century Gothic"/>
                      <w:b/>
                      <w:color w:val="4D4D4D"/>
                      <w:position w:val="2"/>
                      <w:sz w:val="13"/>
                    </w:rPr>
                    <w:t>te W</w:t>
                  </w:r>
                  <w:r>
                    <w:rPr>
                      <w:rFonts w:ascii="Century Gothic"/>
                      <w:b/>
                      <w:color w:val="4D4D4D"/>
                      <w:position w:val="3"/>
                      <w:sz w:val="13"/>
                    </w:rPr>
                    <w:t>ay</w:t>
                  </w:r>
                </w:p>
              </w:txbxContent>
            </v:textbox>
            <w10:wrap type="none"/>
          </v:shape>
        </w:pict>
      </w:r>
      <w:r>
        <w:rPr>
          <w:rFonts w:ascii="Century Gothic"/>
          <w:b/>
          <w:color w:val="4D4D4D"/>
          <w:sz w:val="13"/>
        </w:rPr>
        <w:t>Battelle B</w:t>
      </w:r>
      <w:r>
        <w:rPr>
          <w:rFonts w:ascii="Century Gothic"/>
          <w:b/>
          <w:color w:val="4D4D4D"/>
          <w:position w:val="1"/>
          <w:sz w:val="13"/>
        </w:rPr>
        <w:t>lvd</w:t>
      </w:r>
    </w:p>
    <w:p>
      <w:pPr>
        <w:spacing w:after="0"/>
        <w:jc w:val="center"/>
        <w:rPr>
          <w:rFonts w:ascii="Century Gothic"/>
          <w:sz w:val="13"/>
        </w:rPr>
        <w:sectPr>
          <w:type w:val="continuous"/>
          <w:pgSz w:w="15840" w:h="24480"/>
          <w:pgMar w:top="1480" w:bottom="1320" w:left="0" w:right="0"/>
          <w:cols w:num="2" w:equalWidth="0">
            <w:col w:w="4162" w:space="40"/>
            <w:col w:w="11638"/>
          </w:cols>
        </w:sect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2"/>
        <w:rPr>
          <w:rFonts w:ascii="Century Gothic"/>
          <w:b/>
          <w:sz w:val="19"/>
        </w:rPr>
      </w:pPr>
    </w:p>
    <w:p>
      <w:pPr>
        <w:spacing w:before="0"/>
        <w:ind w:left="7737" w:right="3862" w:firstLine="0"/>
        <w:jc w:val="center"/>
        <w:rPr>
          <w:rFonts w:ascii="Century Gothic"/>
          <w:b/>
          <w:sz w:val="13"/>
        </w:rPr>
      </w:pPr>
      <w:r>
        <w:rPr/>
        <w:pict>
          <v:shape style="position:absolute;margin-left:448.619519pt;margin-top:39.639671pt;width:33.4pt;height:6.5pt;mso-position-horizontal-relative:page;mso-position-vertical-relative:paragraph;z-index:252053504;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66.782367pt;margin-top:67.429242pt;width:80.6pt;height:6.5pt;mso-position-horizontal-relative:page;mso-position-vertical-relative:paragraph;z-index:252055552;rotation:272" type="#_x0000_t136" fillcolor="#4d4d4d" stroked="f">
            <o:extrusion v:ext="view" autorotationcenter="t"/>
            <v:textpath style="font-family:&quot;Century Gothic&quot;;font-size:6pt;v-text-kern:t;mso-text-shadow:auto;font-weight:bold" string="George Washington Way"/>
            <w10:wrap type="none"/>
          </v:shape>
        </w:pict>
      </w:r>
      <w:r>
        <w:rPr/>
        <w:pict>
          <v:shape style="position:absolute;margin-left:412.51424pt;margin-top:75.484772pt;width:40.85pt;height:6.5pt;mso-position-horizontal-relative:page;mso-position-vertical-relative:paragraph;z-index:252056576;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393.687207pt;margin-top:63.050876pt;width:40.15pt;height:6.5pt;mso-position-horizontal-relative:page;mso-position-vertical-relative:paragraph;z-index:252058624;rotation:306" type="#_x0000_t136" fillcolor="#4d4d4d" stroked="f">
            <o:extrusion v:ext="view" autorotationcenter="t"/>
            <v:textpath style="font-family:&quot;Century Gothic&quot;;font-size:6pt;v-text-kern:t;mso-text-shadow:auto;font-weight:bold" string="Logston Blvd"/>
            <w10:wrap type="none"/>
          </v:shape>
        </w:pict>
      </w:r>
      <w:r>
        <w:rPr>
          <w:rFonts w:ascii="Century Gothic"/>
          <w:b/>
          <w:color w:val="4D4D4D"/>
          <w:sz w:val="13"/>
        </w:rPr>
        <w:t>Univer</w:t>
      </w:r>
      <w:r>
        <w:rPr>
          <w:rFonts w:ascii="Century Gothic"/>
          <w:b/>
          <w:color w:val="4D4D4D"/>
          <w:position w:val="1"/>
          <w:sz w:val="13"/>
        </w:rPr>
        <w:t>sity 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rPr>
      </w:pPr>
    </w:p>
    <w:p>
      <w:pPr>
        <w:spacing w:after="0"/>
        <w:rPr>
          <w:rFonts w:ascii="Century Gothic"/>
        </w:rPr>
        <w:sectPr>
          <w:type w:val="continuous"/>
          <w:pgSz w:w="15840" w:h="24480"/>
          <w:pgMar w:top="1480" w:bottom="1320" w:left="0" w:right="0"/>
        </w:sectPr>
      </w:pPr>
    </w:p>
    <w:p>
      <w:pPr>
        <w:pStyle w:val="BodyText"/>
        <w:spacing w:before="4"/>
        <w:rPr>
          <w:rFonts w:ascii="Century Gothic"/>
          <w:b/>
          <w:sz w:val="21"/>
        </w:rPr>
      </w:pPr>
    </w:p>
    <w:p>
      <w:pPr>
        <w:spacing w:before="0"/>
        <w:ind w:left="2246" w:right="0" w:firstLine="0"/>
        <w:jc w:val="left"/>
        <w:rPr>
          <w:rFonts w:ascii="Arial"/>
          <w:sz w:val="24"/>
        </w:rPr>
      </w:pPr>
      <w:r>
        <w:rPr/>
        <w:pict>
          <v:shape style="position:absolute;margin-left:328.76004pt;margin-top:-45.027058pt;width:10.050pt;height:30.55pt;mso-position-horizontal-relative:page;mso-position-vertical-relative:paragraph;z-index:252042240"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Jones Rd</w:t>
                  </w:r>
                </w:p>
              </w:txbxContent>
            </v:textbox>
            <w10:wrap type="none"/>
          </v:shape>
        </w:pict>
      </w:r>
      <w:r>
        <w:rPr/>
        <w:pict>
          <v:shape style="position:absolute;margin-left:409.658289pt;margin-top:-94.457689pt;width:31.8pt;height:6.5pt;mso-position-horizontal-relative:page;mso-position-vertical-relative:paragraph;z-index:252057600;rotation:282" type="#_x0000_t136" fillcolor="#4d4d4d" stroked="f">
            <o:extrusion v:ext="view" autorotationcenter="t"/>
            <v:textpath style="font-family:&quot;Century Gothic&quot;;font-size:6pt;v-text-kern:t;mso-text-shadow:auto;font-weight:bold" string="Hagen Rd"/>
            <w10:wrap type="none"/>
          </v:shape>
        </w:pict>
      </w:r>
      <w:r>
        <w:rPr/>
        <w:pict>
          <v:shape style="position:absolute;margin-left:422.340332pt;margin-top:-65.224747pt;width:40.75pt;height:6.5pt;mso-position-horizontal-relative:page;mso-position-vertical-relative:paragraph;z-index:252059648;rotation:312" type="#_x0000_t136" fillcolor="#4d4d4d" stroked="f">
            <o:extrusion v:ext="view" autorotationcenter="t"/>
            <v:textpath style="font-family:&quot;Century Gothic&quot;;font-size:6pt;v-text-kern:t;mso-text-shadow:auto;font-weight:bold" string="By-pass Hwy"/>
            <w10:wrap type="none"/>
          </v:shape>
        </w:pict>
      </w:r>
      <w:r>
        <w:rPr>
          <w:rFonts w:ascii="Arial"/>
          <w:shadow/>
          <w:color w:val="6B6B6C"/>
          <w:sz w:val="24"/>
        </w:rPr>
        <w:t>W</w:t>
      </w:r>
      <w:r>
        <w:rPr>
          <w:rFonts w:ascii="Arial"/>
          <w:shadow w:val="0"/>
          <w:color w:val="6B6B6C"/>
          <w:sz w:val="24"/>
        </w:rPr>
        <w:t> </w:t>
      </w:r>
      <w:r>
        <w:rPr>
          <w:rFonts w:ascii="Arial"/>
          <w:shadow/>
          <w:color w:val="6B6B6C"/>
          <w:sz w:val="24"/>
        </w:rPr>
        <w:t>e</w:t>
      </w:r>
      <w:r>
        <w:rPr>
          <w:rFonts w:ascii="Arial"/>
          <w:shadow w:val="0"/>
          <w:color w:val="6B6B6C"/>
          <w:sz w:val="24"/>
        </w:rPr>
        <w:t> </w:t>
      </w:r>
      <w:r>
        <w:rPr>
          <w:rFonts w:ascii="Arial"/>
          <w:shadow/>
          <w:color w:val="6B6B6C"/>
          <w:sz w:val="24"/>
        </w:rPr>
        <w:t>s</w:t>
      </w:r>
      <w:r>
        <w:rPr>
          <w:rFonts w:ascii="Arial"/>
          <w:shadow w:val="0"/>
          <w:color w:val="6B6B6C"/>
          <w:sz w:val="24"/>
        </w:rPr>
        <w:t> </w:t>
      </w:r>
      <w:r>
        <w:rPr>
          <w:rFonts w:ascii="Arial"/>
          <w:shadow/>
          <w:color w:val="6B6B6C"/>
          <w:sz w:val="24"/>
        </w:rPr>
        <w:t>t</w:t>
      </w:r>
      <w:r>
        <w:rPr>
          <w:rFonts w:ascii="Arial"/>
          <w:shadow w:val="0"/>
          <w:color w:val="6B6B6C"/>
          <w:sz w:val="24"/>
        </w:rPr>
        <w:t> </w:t>
      </w:r>
      <w:r>
        <w:rPr>
          <w:rFonts w:ascii="Arial"/>
          <w:shadow/>
          <w:color w:val="6B6B6C"/>
          <w:sz w:val="24"/>
        </w:rPr>
        <w:t>R</w:t>
      </w:r>
      <w:r>
        <w:rPr>
          <w:rFonts w:ascii="Arial"/>
          <w:shadow w:val="0"/>
          <w:color w:val="6B6B6C"/>
          <w:sz w:val="24"/>
        </w:rPr>
        <w:t> </w:t>
      </w:r>
      <w:r>
        <w:rPr>
          <w:rFonts w:ascii="Arial"/>
          <w:shadow/>
          <w:color w:val="6B6B6C"/>
          <w:sz w:val="24"/>
        </w:rPr>
        <w:t>i</w:t>
      </w:r>
      <w:r>
        <w:rPr>
          <w:rFonts w:ascii="Arial"/>
          <w:shadow w:val="0"/>
          <w:color w:val="6B6B6C"/>
          <w:sz w:val="24"/>
        </w:rPr>
        <w:t> </w:t>
      </w:r>
      <w:r>
        <w:rPr>
          <w:rFonts w:ascii="Arial"/>
          <w:shadow/>
          <w:color w:val="6B6B6C"/>
          <w:sz w:val="24"/>
        </w:rPr>
        <w:t>c</w:t>
      </w:r>
      <w:r>
        <w:rPr>
          <w:rFonts w:ascii="Arial"/>
          <w:shadow w:val="0"/>
          <w:color w:val="6B6B6C"/>
          <w:sz w:val="24"/>
        </w:rPr>
        <w:t> </w:t>
      </w:r>
      <w:r>
        <w:rPr>
          <w:rFonts w:ascii="Arial"/>
          <w:shadow/>
          <w:color w:val="6B6B6C"/>
          <w:sz w:val="24"/>
        </w:rPr>
        <w:t>h</w:t>
      </w:r>
      <w:r>
        <w:rPr>
          <w:rFonts w:ascii="Arial"/>
          <w:shadow w:val="0"/>
          <w:color w:val="6B6B6C"/>
          <w:sz w:val="24"/>
        </w:rPr>
        <w:t> </w:t>
      </w:r>
      <w:r>
        <w:rPr>
          <w:rFonts w:ascii="Arial"/>
          <w:shadow/>
          <w:color w:val="6B6B6C"/>
          <w:sz w:val="24"/>
        </w:rPr>
        <w:t>l</w:t>
      </w:r>
      <w:r>
        <w:rPr>
          <w:rFonts w:ascii="Arial"/>
          <w:shadow w:val="0"/>
          <w:color w:val="6B6B6C"/>
          <w:sz w:val="24"/>
        </w:rPr>
        <w:t> </w:t>
      </w:r>
      <w:r>
        <w:rPr>
          <w:rFonts w:ascii="Arial"/>
          <w:shadow/>
          <w:color w:val="6B6B6C"/>
          <w:sz w:val="24"/>
        </w:rPr>
        <w:t>a</w:t>
      </w:r>
      <w:r>
        <w:rPr>
          <w:rFonts w:ascii="Arial"/>
          <w:shadow w:val="0"/>
          <w:color w:val="6B6B6C"/>
          <w:sz w:val="24"/>
        </w:rPr>
        <w:t> </w:t>
      </w:r>
      <w:r>
        <w:rPr>
          <w:rFonts w:ascii="Arial"/>
          <w:shadow/>
          <w:color w:val="6B6B6C"/>
          <w:sz w:val="24"/>
        </w:rPr>
        <w:t>n</w:t>
      </w:r>
      <w:r>
        <w:rPr>
          <w:rFonts w:ascii="Arial"/>
          <w:shadow w:val="0"/>
          <w:color w:val="6B6B6C"/>
          <w:sz w:val="24"/>
        </w:rPr>
        <w:t> </w:t>
      </w:r>
      <w:r>
        <w:rPr>
          <w:rFonts w:ascii="Arial"/>
          <w:shadow/>
          <w:color w:val="6B6B6C"/>
          <w:sz w:val="24"/>
        </w:rPr>
        <w:t>d</w:t>
      </w:r>
    </w:p>
    <w:p>
      <w:pPr>
        <w:spacing w:before="103"/>
        <w:ind w:left="2246" w:right="0" w:firstLine="0"/>
        <w:jc w:val="left"/>
        <w:rPr>
          <w:rFonts w:ascii="Century Gothic"/>
          <w:b/>
          <w:sz w:val="13"/>
        </w:rPr>
      </w:pPr>
      <w:r>
        <w:rPr/>
        <w:br w:type="column"/>
      </w:r>
      <w:r>
        <w:rPr>
          <w:rFonts w:ascii="Century Gothic"/>
          <w:b/>
          <w:color w:val="4D4D4D"/>
          <w:sz w:val="13"/>
        </w:rPr>
        <w:t>Van Giesen St</w:t>
      </w:r>
    </w:p>
    <w:p>
      <w:pPr>
        <w:spacing w:after="0"/>
        <w:jc w:val="left"/>
        <w:rPr>
          <w:rFonts w:ascii="Century Gothic"/>
          <w:sz w:val="13"/>
        </w:rPr>
        <w:sectPr>
          <w:type w:val="continuous"/>
          <w:pgSz w:w="15840" w:h="24480"/>
          <w:pgMar w:top="1480" w:bottom="1320" w:left="0" w:right="0"/>
          <w:cols w:num="2" w:equalWidth="0">
            <w:col w:w="4542" w:space="961"/>
            <w:col w:w="10337"/>
          </w:cols>
        </w:sectPr>
      </w:pPr>
    </w:p>
    <w:p>
      <w:pPr>
        <w:pStyle w:val="BodyText"/>
        <w:spacing w:before="2"/>
        <w:rPr>
          <w:rFonts w:ascii="Century Gothic"/>
          <w:b/>
          <w:sz w:val="16"/>
        </w:rPr>
      </w:pPr>
    </w:p>
    <w:p>
      <w:pPr>
        <w:spacing w:before="100"/>
        <w:ind w:left="3842" w:right="1162" w:firstLine="0"/>
        <w:jc w:val="center"/>
        <w:rPr>
          <w:rFonts w:ascii="Century Gothic"/>
          <w:b/>
          <w:sz w:val="13"/>
        </w:rPr>
      </w:pPr>
      <w:r>
        <w:rPr/>
        <w:pict>
          <v:shape style="position:absolute;margin-left:478.494366pt;margin-top:-29.918149pt;width:37.65pt;height:6.5pt;mso-position-horizontal-relative:page;mso-position-vertical-relative:paragraph;z-index:252038144;rotation:69" type="#_x0000_t136" fillcolor="#4d4d4d" stroked="f">
            <o:extrusion v:ext="view" autorotationcenter="t"/>
            <v:textpath style="font-family:&quot;Century Gothic&quot;;font-size:6pt;v-text-kern:t;mso-text-shadow:auto;font-weight:bold" string="Jadwin Ave"/>
            <w10:wrap type="none"/>
          </v:shape>
        </w:pict>
      </w:r>
      <w:r>
        <w:rPr/>
        <w:pict>
          <v:shape style="position:absolute;margin-left:414.734894pt;margin-top:-1.462573pt;width:10.45pt;height:36.75pt;mso-position-horizontal-relative:page;mso-position-vertical-relative:paragraph;z-index:252045312"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sz w:val="13"/>
                    </w:rPr>
                    <w:t>Wrigh</w:t>
                  </w:r>
                  <w:r>
                    <w:rPr>
                      <w:rFonts w:ascii="Century Gothic"/>
                      <w:b/>
                      <w:color w:val="4D4D4D"/>
                      <w:position w:val="1"/>
                      <w:sz w:val="13"/>
                    </w:rPr>
                    <w:t>t Ave</w:t>
                  </w:r>
                </w:p>
              </w:txbxContent>
            </v:textbox>
            <w10:wrap type="none"/>
          </v:shape>
        </w:pict>
      </w:r>
      <w:r>
        <w:rPr/>
        <w:pict>
          <v:shape style="position:absolute;margin-left:461.334839pt;margin-top:-45.708248pt;width:10.4pt;height:35.4pt;mso-position-horizontal-relative:page;mso-position-vertical-relative:paragraph;z-index:252047360" type="#_x0000_t202" filled="false" stroked="false">
            <v:textbox inset="0,0,0,0" style="layout-flow:vertical;mso-layout-flow-alt:bottom-to-top">
              <w:txbxContent>
                <w:p>
                  <w:pPr>
                    <w:spacing w:before="17"/>
                    <w:ind w:left="20" w:right="0" w:firstLine="0"/>
                    <w:jc w:val="left"/>
                    <w:rPr>
                      <w:rFonts w:ascii="Century Gothic"/>
                      <w:b/>
                      <w:sz w:val="13"/>
                    </w:rPr>
                  </w:pPr>
                  <w:r>
                    <w:rPr>
                      <w:rFonts w:ascii="Century Gothic"/>
                      <w:b/>
                      <w:color w:val="4D4D4D"/>
                      <w:sz w:val="13"/>
                    </w:rPr>
                    <w:t>Steven</w:t>
                  </w:r>
                  <w:r>
                    <w:rPr>
                      <w:rFonts w:ascii="Century Gothic"/>
                      <w:b/>
                      <w:color w:val="4D4D4D"/>
                      <w:position w:val="1"/>
                      <w:sz w:val="13"/>
                    </w:rPr>
                    <w:t>s Dr</w:t>
                  </w:r>
                </w:p>
              </w:txbxContent>
            </v:textbox>
            <w10:wrap type="none"/>
          </v:shape>
        </w:pict>
      </w:r>
      <w:r>
        <w:rPr>
          <w:rFonts w:ascii="Century Gothic"/>
          <w:b/>
          <w:color w:val="4D4D4D"/>
          <w:sz w:val="13"/>
        </w:rPr>
        <w:t>William</w:t>
      </w:r>
      <w:r>
        <w:rPr>
          <w:rFonts w:ascii="Century Gothic"/>
          <w:b/>
          <w:color w:val="4D4D4D"/>
          <w:position w:val="1"/>
          <w:sz w:val="13"/>
        </w:rPr>
        <w:t>s Blvd</w:t>
      </w:r>
    </w:p>
    <w:p>
      <w:pPr>
        <w:pStyle w:val="BodyText"/>
        <w:rPr>
          <w:rFonts w:ascii="Century Gothic"/>
          <w:b/>
          <w:sz w:val="20"/>
        </w:rPr>
      </w:pPr>
    </w:p>
    <w:p>
      <w:pPr>
        <w:pStyle w:val="BodyText"/>
        <w:spacing w:before="8"/>
        <w:rPr>
          <w:rFonts w:ascii="Century Gothic"/>
          <w:b/>
          <w:sz w:val="15"/>
        </w:rPr>
      </w:pPr>
    </w:p>
    <w:p>
      <w:pPr>
        <w:spacing w:after="0"/>
        <w:rPr>
          <w:rFonts w:ascii="Century Gothic"/>
          <w:sz w:val="15"/>
        </w:rPr>
        <w:sectPr>
          <w:type w:val="continuous"/>
          <w:pgSz w:w="15840" w:h="24480"/>
          <w:pgMar w:top="1480" w:bottom="1320" w:left="0" w:right="0"/>
        </w:sectPr>
      </w:pPr>
    </w:p>
    <w:p>
      <w:pPr>
        <w:spacing w:before="99"/>
        <w:ind w:left="0" w:right="0" w:firstLine="0"/>
        <w:jc w:val="right"/>
        <w:rPr>
          <w:rFonts w:ascii="Century Gothic"/>
          <w:b/>
          <w:sz w:val="13"/>
        </w:rPr>
      </w:pPr>
      <w:r>
        <w:rPr/>
        <w:pict>
          <v:shape style="position:absolute;margin-left:383.04541pt;margin-top:-12.264534pt;width:10.45pt;height:42.85pt;mso-position-horizontal-relative:page;mso-position-vertical-relative:paragraph;z-index:252044288"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sz w:val="13"/>
                    </w:rPr>
                    <w:t>By-pas</w:t>
                  </w:r>
                  <w:r>
                    <w:rPr>
                      <w:rFonts w:ascii="Century Gothic"/>
                      <w:b/>
                      <w:color w:val="4D4D4D"/>
                      <w:position w:val="1"/>
                      <w:sz w:val="13"/>
                    </w:rPr>
                    <w:t>s Hwy</w:t>
                  </w:r>
                </w:p>
              </w:txbxContent>
            </v:textbox>
            <w10:wrap type="none"/>
          </v:shape>
        </w:pict>
      </w:r>
      <w:r>
        <w:rPr>
          <w:rFonts w:ascii="Century Gothic"/>
          <w:b/>
          <w:color w:val="4D4D4D"/>
          <w:sz w:val="13"/>
        </w:rPr>
        <w:t>Swift </w:t>
      </w:r>
      <w:r>
        <w:rPr>
          <w:rFonts w:ascii="Century Gothic"/>
          <w:b/>
          <w:color w:val="4D4D4D"/>
          <w:position w:val="1"/>
          <w:sz w:val="13"/>
        </w:rPr>
        <w:t>Blvd</w:t>
      </w:r>
    </w:p>
    <w:p>
      <w:pPr>
        <w:pStyle w:val="BodyText"/>
        <w:rPr>
          <w:rFonts w:ascii="Century Gothic"/>
          <w:b/>
          <w:sz w:val="16"/>
        </w:rPr>
      </w:pPr>
      <w:r>
        <w:rPr/>
        <w:br w:type="column"/>
      </w:r>
      <w:r>
        <w:rPr>
          <w:rFonts w:ascii="Century Gothic"/>
          <w:b/>
          <w:sz w:val="16"/>
        </w:rPr>
      </w:r>
    </w:p>
    <w:p>
      <w:pPr>
        <w:pStyle w:val="BodyText"/>
        <w:rPr>
          <w:rFonts w:ascii="Century Gothic"/>
          <w:b/>
          <w:sz w:val="16"/>
        </w:rPr>
      </w:pPr>
    </w:p>
    <w:p>
      <w:pPr>
        <w:pStyle w:val="BodyText"/>
        <w:spacing w:before="8"/>
        <w:rPr>
          <w:rFonts w:ascii="Century Gothic"/>
          <w:b/>
          <w:sz w:val="14"/>
        </w:rPr>
      </w:pPr>
    </w:p>
    <w:p>
      <w:pPr>
        <w:spacing w:before="0"/>
        <w:ind w:left="574" w:right="0" w:firstLine="0"/>
        <w:jc w:val="left"/>
        <w:rPr>
          <w:rFonts w:ascii="Century Gothic"/>
          <w:b/>
          <w:sz w:val="13"/>
        </w:rPr>
      </w:pPr>
      <w:r>
        <w:rPr/>
        <w:pict>
          <v:shape style="position:absolute;margin-left:442.63443pt;margin-top:-36.192196pt;width:10.35pt;height:32.0500pt;mso-position-horizontal-relative:page;mso-position-vertical-relative:paragraph;z-index:252046336" type="#_x0000_t202" filled="false" stroked="false">
            <v:textbox inset="0,0,0,0" style="layout-flow:vertical;mso-layout-flow-alt:bottom-to-top">
              <w:txbxContent>
                <w:p>
                  <w:pPr>
                    <w:spacing w:before="17"/>
                    <w:ind w:left="20" w:right="0" w:firstLine="0"/>
                    <w:jc w:val="left"/>
                    <w:rPr>
                      <w:rFonts w:ascii="Century Gothic"/>
                      <w:b/>
                      <w:sz w:val="13"/>
                    </w:rPr>
                  </w:pPr>
                  <w:r>
                    <w:rPr>
                      <w:rFonts w:ascii="Century Gothic"/>
                      <w:b/>
                      <w:color w:val="4D4D4D"/>
                      <w:sz w:val="13"/>
                    </w:rPr>
                    <w:t>Thayer </w:t>
                  </w:r>
                  <w:r>
                    <w:rPr>
                      <w:rFonts w:ascii="Century Gothic"/>
                      <w:b/>
                      <w:color w:val="4D4D4D"/>
                      <w:position w:val="1"/>
                      <w:sz w:val="13"/>
                    </w:rPr>
                    <w:t>Dr</w:t>
                  </w:r>
                </w:p>
              </w:txbxContent>
            </v:textbox>
            <w10:wrap type="none"/>
          </v:shape>
        </w:pict>
      </w:r>
      <w:r>
        <w:rPr>
          <w:rFonts w:ascii="Century Gothic"/>
          <w:b/>
          <w:color w:val="4D4D4D"/>
          <w:sz w:val="13"/>
        </w:rPr>
        <w:t>Lee Blvd</w:t>
      </w:r>
    </w:p>
    <w:p>
      <w:pPr>
        <w:pStyle w:val="BodyText"/>
        <w:rPr>
          <w:rFonts w:ascii="Century Gothic"/>
          <w:b/>
          <w:sz w:val="16"/>
        </w:rPr>
      </w:pPr>
      <w:r>
        <w:rPr/>
        <w:br w:type="column"/>
      </w:r>
      <w:r>
        <w:rPr>
          <w:rFonts w:ascii="Century Gothic"/>
          <w:b/>
          <w:sz w:val="16"/>
        </w:rPr>
      </w:r>
    </w:p>
    <w:p>
      <w:pPr>
        <w:pStyle w:val="BodyText"/>
        <w:spacing w:before="4"/>
        <w:rPr>
          <w:rFonts w:ascii="Century Gothic"/>
          <w:b/>
          <w:sz w:val="14"/>
        </w:rPr>
      </w:pPr>
    </w:p>
    <w:p>
      <w:pPr>
        <w:spacing w:before="0"/>
        <w:ind w:left="39" w:right="0" w:firstLine="0"/>
        <w:jc w:val="left"/>
        <w:rPr>
          <w:rFonts w:ascii="Century Gothic"/>
          <w:b/>
          <w:sz w:val="13"/>
        </w:rPr>
      </w:pPr>
      <w:r>
        <w:rPr>
          <w:rFonts w:ascii="Century Gothic"/>
          <w:b/>
          <w:color w:val="4D4D4D"/>
          <w:sz w:val="13"/>
        </w:rPr>
        <w:t>Knigh</w:t>
      </w:r>
      <w:r>
        <w:rPr>
          <w:rFonts w:ascii="Century Gothic"/>
          <w:b/>
          <w:color w:val="4D4D4D"/>
          <w:position w:val="1"/>
          <w:sz w:val="13"/>
        </w:rPr>
        <w:t>t St</w:t>
      </w:r>
    </w:p>
    <w:p>
      <w:pPr>
        <w:spacing w:after="0"/>
        <w:jc w:val="left"/>
        <w:rPr>
          <w:rFonts w:ascii="Century Gothic"/>
          <w:sz w:val="13"/>
        </w:rPr>
        <w:sectPr>
          <w:type w:val="continuous"/>
          <w:pgSz w:w="15840" w:h="24480"/>
          <w:pgMar w:top="1480" w:bottom="1320" w:left="0" w:right="0"/>
          <w:cols w:num="3" w:equalWidth="0">
            <w:col w:w="8496" w:space="40"/>
            <w:col w:w="1113" w:space="39"/>
            <w:col w:w="6152"/>
          </w:cols>
        </w:sectPr>
      </w:pPr>
    </w:p>
    <w:p>
      <w:pPr>
        <w:pStyle w:val="BodyText"/>
        <w:spacing w:before="5"/>
        <w:rPr>
          <w:rFonts w:ascii="Century Gothic"/>
          <w:b/>
          <w:sz w:val="27"/>
        </w:rPr>
      </w:pPr>
    </w:p>
    <w:p>
      <w:pPr>
        <w:spacing w:before="127"/>
        <w:ind w:left="0" w:right="2846" w:firstLine="0"/>
        <w:jc w:val="right"/>
        <w:rPr>
          <w:rFonts w:ascii="Arial" w:hAnsi="Arial"/>
          <w:b/>
          <w:sz w:val="11"/>
        </w:rPr>
      </w:pPr>
      <w:r>
        <w:rPr/>
        <w:pict>
          <v:shape style="position:absolute;margin-left:462.202393pt;margin-top:-8.669621pt;width:10.55pt;height:44.55pt;mso-position-horizontal-relative:page;mso-position-vertical-relative:paragraph;z-index:252048384"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Wellsi</w:t>
                  </w:r>
                  <w:r>
                    <w:rPr>
                      <w:rFonts w:ascii="Century Gothic"/>
                      <w:b/>
                      <w:color w:val="4D4D4D"/>
                      <w:position w:val="1"/>
                      <w:sz w:val="13"/>
                    </w:rPr>
                    <w:t>an Way</w:t>
                  </w:r>
                </w:p>
              </w:txbxContent>
            </v:textbox>
            <w10:wrap type="none"/>
          </v:shape>
        </w:pict>
      </w:r>
      <w:r>
        <w:rPr/>
        <w:pict>
          <v:shape style="position:absolute;margin-left:479.756866pt;margin-top:3.336204pt;width:10.5pt;height:39.7pt;mso-position-horizontal-relative:page;mso-position-vertical-relative:paragraph;z-index:252049408" type="#_x0000_t202" filled="false" stroked="false">
            <v:textbox inset="0,0,0,0" style="layout-flow:vertical;mso-layout-flow-alt:bottom-to-top">
              <w:txbxContent>
                <w:p>
                  <w:pPr>
                    <w:spacing w:before="20"/>
                    <w:ind w:left="20" w:right="0" w:firstLine="0"/>
                    <w:jc w:val="left"/>
                    <w:rPr>
                      <w:rFonts w:ascii="Century Gothic"/>
                      <w:b/>
                      <w:sz w:val="13"/>
                    </w:rPr>
                  </w:pPr>
                  <w:r>
                    <w:rPr>
                      <w:rFonts w:ascii="Century Gothic"/>
                      <w:b/>
                      <w:color w:val="4D4D4D"/>
                      <w:sz w:val="13"/>
                    </w:rPr>
                    <w:t>Goeth</w:t>
                  </w:r>
                  <w:r>
                    <w:rPr>
                      <w:rFonts w:ascii="Century Gothic"/>
                      <w:b/>
                      <w:color w:val="4D4D4D"/>
                      <w:position w:val="1"/>
                      <w:sz w:val="13"/>
                    </w:rPr>
                    <w:t>als Dr</w:t>
                  </w:r>
                </w:p>
              </w:txbxContent>
            </v:textbox>
            <w10:wrap type="none"/>
          </v:shape>
        </w:pict>
      </w:r>
      <w:r>
        <w:rPr/>
        <w:pict>
          <v:shape style="position:absolute;margin-left:388.979962pt;margin-top:12.940306pt;width:36.4pt;height:6.5pt;mso-position-horizontal-relative:page;mso-position-vertical-relative:paragraph;z-index:252060672;rotation:312" type="#_x0000_t136" fillcolor="#4d4d4d" stroked="f">
            <o:extrusion v:ext="view" autorotationcenter="t"/>
            <v:textpath style="font-family:&quot;Century Gothic&quot;;font-size:6pt;v-text-kern:t;mso-text-shadow:auto;font-weight:bold" string="Duportail St"/>
            <w10:wrap type="none"/>
          </v:shape>
        </w:pict>
      </w:r>
      <w:r>
        <w:rPr/>
        <w:pict>
          <v:shape style="position:absolute;margin-left:492.935638pt;margin-top:25.788456pt;width:40.4pt;height:6.5pt;mso-position-horizontal-relative:page;mso-position-vertical-relative:paragraph;z-index:252062720;rotation:354" type="#_x0000_t136" fillcolor="#4d4d4d" stroked="f">
            <o:extrusion v:ext="view" autorotationcenter="t"/>
            <v:textpath style="font-family:&quot;Century Gothic&quot;;font-size:6pt;v-text-kern:t;mso-text-shadow:auto;font-weight:bold" string="Comstock St"/>
            <w10:wrap type="none"/>
          </v:shape>
        </w:pict>
      </w:r>
      <w:r>
        <w:rPr>
          <w:rFonts w:ascii="Arial" w:hAnsi="Arial"/>
          <w:color w:val="FF0000"/>
          <w:spacing w:val="-283"/>
          <w:w w:val="126"/>
          <w:position w:val="-8"/>
          <w:sz w:val="40"/>
        </w:rPr>
        <w:t>§</w:t>
      </w:r>
      <w:r>
        <w:rPr>
          <w:rFonts w:ascii="Arial" w:hAnsi="Arial"/>
          <w:spacing w:val="-283"/>
          <w:w w:val="271"/>
          <w:position w:val="-8"/>
          <w:sz w:val="40"/>
        </w:rPr>
        <w:t>¦</w:t>
      </w:r>
      <w:r>
        <w:rPr>
          <w:rFonts w:ascii="Arial" w:hAnsi="Arial"/>
          <w:color w:val="0000FF"/>
          <w:spacing w:val="-237"/>
          <w:w w:val="211"/>
          <w:position w:val="-8"/>
          <w:sz w:val="40"/>
        </w:rPr>
        <w:t>¨</w:t>
      </w:r>
      <w:r>
        <w:rPr>
          <w:rFonts w:ascii="Arial" w:hAnsi="Arial"/>
          <w:b/>
          <w:color w:val="FFFFFF"/>
          <w:spacing w:val="-2"/>
          <w:w w:val="104"/>
          <w:sz w:val="11"/>
        </w:rPr>
        <w:t>1</w:t>
      </w:r>
      <w:r>
        <w:rPr>
          <w:rFonts w:ascii="Arial" w:hAnsi="Arial"/>
          <w:b/>
          <w:color w:val="FFFFFF"/>
          <w:spacing w:val="3"/>
          <w:w w:val="104"/>
          <w:sz w:val="11"/>
        </w:rPr>
        <w:t>8</w:t>
      </w:r>
      <w:r>
        <w:rPr>
          <w:rFonts w:ascii="Arial" w:hAnsi="Arial"/>
          <w:b/>
          <w:color w:val="FFFFFF"/>
          <w:w w:val="104"/>
          <w:sz w:val="11"/>
        </w:rPr>
        <w:t>2</w:t>
      </w:r>
    </w:p>
    <w:p>
      <w:pPr>
        <w:pStyle w:val="BodyText"/>
        <w:spacing w:before="8"/>
        <w:rPr>
          <w:rFonts w:ascii="Arial"/>
          <w:b/>
          <w:sz w:val="27"/>
        </w:rPr>
      </w:pPr>
    </w:p>
    <w:p>
      <w:pPr>
        <w:spacing w:before="98"/>
        <w:ind w:left="8130" w:right="3862" w:firstLine="0"/>
        <w:jc w:val="center"/>
        <w:rPr>
          <w:rFonts w:ascii="Century Gothic"/>
          <w:b/>
          <w:sz w:val="13"/>
        </w:rPr>
      </w:pPr>
      <w:r>
        <w:rPr/>
        <w:pict>
          <v:shape style="position:absolute;margin-left:319.664154pt;margin-top:21.164585pt;width:38.9pt;height:6.5pt;mso-position-horizontal-relative:page;mso-position-vertical-relative:paragraph;z-index:252030976;rotation:13" type="#_x0000_t136" fillcolor="#4d4d4d" stroked="f">
            <o:extrusion v:ext="view" autorotationcenter="t"/>
            <v:textpath style="font-family:&quot;Century Gothic&quot;;font-size:6pt;v-text-kern:t;mso-text-shadow:auto;font-weight:bold" string="Kennedy Rd"/>
            <w10:wrap type="none"/>
          </v:shape>
        </w:pict>
      </w:r>
      <w:r>
        <w:rPr/>
        <w:pict>
          <v:shape style="position:absolute;margin-left:388.065552pt;margin-top:42.890331pt;width:48.75pt;height:6.5pt;mso-position-horizontal-relative:page;mso-position-vertical-relative:paragraph;z-index:252037120;rotation:64" type="#_x0000_t136" fillcolor="#4d4d4d" stroked="f">
            <o:extrusion v:ext="view" autorotationcenter="t"/>
            <v:textpath style="font-family:&quot;Century Gothic&quot;;font-size:6pt;v-text-kern:t;mso-text-shadow:auto;font-weight:bold" string="Queensgate Dr"/>
            <w10:wrap type="none"/>
          </v:shape>
        </w:pict>
      </w:r>
      <w:r>
        <w:rPr/>
        <w:pict>
          <v:shape style="position:absolute;margin-left:340.233093pt;margin-top:35.487503pt;width:36.4pt;height:6.5pt;mso-position-horizontal-relative:page;mso-position-vertical-relative:paragraph;z-index:252061696;rotation:334" type="#_x0000_t136" fillcolor="#4d4d4d" stroked="f">
            <o:extrusion v:ext="view" autorotationcenter="t"/>
            <v:textpath style="font-family:&quot;Century Gothic&quot;;font-size:6pt;v-text-kern:t;mso-text-shadow:auto;font-weight:bold" string="Duportail St"/>
            <w10:wrap type="none"/>
          </v:shape>
        </w:pict>
      </w:r>
      <w:r>
        <w:rPr>
          <w:rFonts w:ascii="Century Gothic"/>
          <w:b/>
          <w:color w:val="4D4D4D"/>
          <w:sz w:val="13"/>
        </w:rPr>
        <w:t>Aaron </w:t>
      </w:r>
      <w:r>
        <w:rPr>
          <w:rFonts w:ascii="Century Gothic"/>
          <w:b/>
          <w:color w:val="4D4D4D"/>
          <w:position w:val="1"/>
          <w:sz w:val="13"/>
        </w:rPr>
        <w:t>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4"/>
        <w:rPr>
          <w:rFonts w:ascii="Century Gothic"/>
          <w:b/>
          <w:sz w:val="24"/>
        </w:rPr>
      </w:pPr>
    </w:p>
    <w:p>
      <w:pPr>
        <w:spacing w:after="0"/>
        <w:rPr>
          <w:rFonts w:ascii="Century Gothic"/>
          <w:sz w:val="24"/>
        </w:rPr>
        <w:sectPr>
          <w:type w:val="continuous"/>
          <w:pgSz w:w="15840" w:h="24480"/>
          <w:pgMar w:top="1480" w:bottom="1320" w:left="0" w:right="0"/>
        </w:sectPr>
      </w:pPr>
    </w:p>
    <w:p>
      <w:pPr>
        <w:spacing w:line="460" w:lineRule="exact" w:before="273"/>
        <w:ind w:left="0" w:right="38" w:firstLine="0"/>
        <w:jc w:val="right"/>
        <w:rPr>
          <w:rFonts w:ascii="Arial" w:hAnsi="Arial"/>
          <w:b/>
          <w:sz w:val="11"/>
        </w:rPr>
      </w:pPr>
      <w:r>
        <w:rPr>
          <w:rFonts w:ascii="Arial" w:hAnsi="Arial"/>
          <w:color w:val="FF0000"/>
          <w:spacing w:val="-283"/>
          <w:w w:val="126"/>
          <w:position w:val="-8"/>
          <w:sz w:val="40"/>
        </w:rPr>
        <w:t>§</w:t>
      </w:r>
      <w:r>
        <w:rPr>
          <w:rFonts w:ascii="Arial" w:hAnsi="Arial"/>
          <w:color w:val="0000FF"/>
          <w:spacing w:val="-283"/>
          <w:w w:val="211"/>
          <w:position w:val="-9"/>
          <w:sz w:val="40"/>
        </w:rPr>
        <w:t>¨</w:t>
      </w:r>
      <w:r>
        <w:rPr>
          <w:rFonts w:ascii="Arial" w:hAnsi="Arial"/>
          <w:spacing w:val="-237"/>
          <w:w w:val="271"/>
          <w:position w:val="-9"/>
          <w:sz w:val="40"/>
        </w:rPr>
        <w:t>¦</w:t>
      </w:r>
      <w:r>
        <w:rPr>
          <w:rFonts w:ascii="Arial" w:hAnsi="Arial"/>
          <w:b/>
          <w:color w:val="FFFFFF"/>
          <w:spacing w:val="-2"/>
          <w:w w:val="104"/>
          <w:sz w:val="11"/>
        </w:rPr>
        <w:t>1</w:t>
      </w:r>
      <w:r>
        <w:rPr>
          <w:rFonts w:ascii="Arial" w:hAnsi="Arial"/>
          <w:b/>
          <w:color w:val="FFFFFF"/>
          <w:spacing w:val="3"/>
          <w:w w:val="104"/>
          <w:sz w:val="11"/>
        </w:rPr>
        <w:t>8</w:t>
      </w:r>
      <w:r>
        <w:rPr>
          <w:rFonts w:ascii="Arial" w:hAnsi="Arial"/>
          <w:b/>
          <w:color w:val="FFFFFF"/>
          <w:w w:val="104"/>
          <w:sz w:val="11"/>
        </w:rPr>
        <w:t>2</w:t>
      </w:r>
    </w:p>
    <w:p>
      <w:pPr>
        <w:spacing w:before="54"/>
        <w:ind w:left="5613" w:right="3781" w:firstLine="0"/>
        <w:jc w:val="center"/>
        <w:rPr>
          <w:rFonts w:ascii="Arial"/>
          <w:b/>
          <w:sz w:val="13"/>
        </w:rPr>
      </w:pPr>
      <w:r>
        <w:rPr/>
        <w:br w:type="column"/>
      </w:r>
      <w:r>
        <w:rPr>
          <w:rFonts w:ascii="Arial Black"/>
          <w:spacing w:val="-283"/>
          <w:w w:val="106"/>
          <w:position w:val="-3"/>
          <w:sz w:val="34"/>
        </w:rPr>
        <w:t>V</w:t>
      </w:r>
      <w:r>
        <w:rPr>
          <w:rFonts w:ascii="Arial Black"/>
          <w:color w:val="FFFFFF"/>
          <w:spacing w:val="-251"/>
          <w:w w:val="99"/>
          <w:position w:val="-3"/>
          <w:sz w:val="34"/>
        </w:rPr>
        <w:t>U</w:t>
      </w:r>
      <w:r>
        <w:rPr>
          <w:rFonts w:ascii="Arial"/>
          <w:b/>
          <w:spacing w:val="-1"/>
          <w:w w:val="99"/>
          <w:sz w:val="13"/>
        </w:rPr>
        <w:t>2</w:t>
      </w:r>
      <w:r>
        <w:rPr>
          <w:rFonts w:ascii="Arial"/>
          <w:b/>
          <w:spacing w:val="4"/>
          <w:w w:val="99"/>
          <w:sz w:val="13"/>
        </w:rPr>
        <w:t>4</w:t>
      </w:r>
      <w:r>
        <w:rPr>
          <w:rFonts w:ascii="Arial"/>
          <w:b/>
          <w:w w:val="99"/>
          <w:sz w:val="13"/>
        </w:rPr>
        <w:t>0</w:t>
      </w:r>
    </w:p>
    <w:p>
      <w:pPr>
        <w:spacing w:after="0"/>
        <w:jc w:val="center"/>
        <w:rPr>
          <w:rFonts w:ascii="Arial"/>
          <w:sz w:val="13"/>
        </w:rPr>
        <w:sectPr>
          <w:type w:val="continuous"/>
          <w:pgSz w:w="15840" w:h="24480"/>
          <w:pgMar w:top="1480" w:bottom="1320" w:left="0" w:right="0"/>
          <w:cols w:num="2" w:equalWidth="0">
            <w:col w:w="5913" w:space="241"/>
            <w:col w:w="9686"/>
          </w:cols>
        </w:sectPr>
      </w:pPr>
    </w:p>
    <w:p>
      <w:pPr>
        <w:spacing w:line="169" w:lineRule="exact" w:before="0"/>
        <w:ind w:left="3842" w:right="2837" w:firstLine="0"/>
        <w:jc w:val="center"/>
        <w:rPr>
          <w:rFonts w:ascii="Century Gothic"/>
          <w:b/>
          <w:sz w:val="13"/>
        </w:rPr>
      </w:pPr>
      <w:r>
        <w:rPr/>
        <w:pict>
          <v:shape style="position:absolute;margin-left:560.040649pt;margin-top:4.990492pt;width:56.2pt;height:6.5pt;mso-position-horizontal-relative:page;mso-position-vertical-relative:paragraph;z-index:252032000;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446.403717pt;margin-top:7.337704pt;width:31pt;height:6.5pt;mso-position-horizontal-relative:page;mso-position-vertical-relative:paragraph;z-index:252035072;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438.594385pt;margin-top:16.163412pt;width:22.05pt;height:6.5pt;mso-position-horizontal-relative:page;mso-position-vertical-relative:paragraph;z-index:252036096;rotation:48" type="#_x0000_t136" fillcolor="#4d4d4d" stroked="f">
            <o:extrusion v:ext="view" autorotationcenter="t"/>
            <v:textpath style="font-family:&quot;Century Gothic&quot;;font-size:6pt;v-text-kern:t;mso-text-shadow:auto;font-weight:bold" string="Fuji Wy"/>
            <w10:wrap type="none"/>
          </v:shape>
        </w:pict>
      </w:r>
      <w:r>
        <w:rPr/>
        <w:pict>
          <v:shape style="position:absolute;margin-left:482.370117pt;margin-top:17.29505pt;width:44.7pt;height:6.5pt;mso-position-horizontal-relative:page;mso-position-vertical-relative:paragraph;z-index:252063744;rotation:358" type="#_x0000_t136" fillcolor="#4d4d4d" stroked="f">
            <o:extrusion v:ext="view" autorotationcenter="t"/>
            <v:textpath style="font-family:&quot;Century Gothic&quot;;font-size:6pt;v-text-kern:t;mso-text-shadow:auto;font-weight:bold" string="Englewood Dr"/>
            <w10:wrap type="none"/>
          </v:shape>
        </w:pict>
      </w:r>
      <w:r>
        <w:rPr>
          <w:rFonts w:ascii="Century Gothic"/>
          <w:b/>
          <w:color w:val="4D4D4D"/>
          <w:sz w:val="13"/>
        </w:rPr>
        <w:t>Shockl</w:t>
      </w:r>
      <w:r>
        <w:rPr>
          <w:rFonts w:ascii="Century Gothic"/>
          <w:b/>
          <w:color w:val="4D4D4D"/>
          <w:position w:val="1"/>
          <w:sz w:val="13"/>
        </w:rPr>
        <w:t>ey Rd</w:t>
      </w:r>
    </w:p>
    <w:p>
      <w:pPr>
        <w:pStyle w:val="BodyText"/>
        <w:spacing w:before="3"/>
        <w:rPr>
          <w:rFonts w:ascii="Century Gothic"/>
          <w:b/>
          <w:sz w:val="27"/>
        </w:rPr>
      </w:pPr>
    </w:p>
    <w:p>
      <w:pPr>
        <w:spacing w:before="103"/>
        <w:ind w:left="3842" w:right="2125" w:firstLine="0"/>
        <w:jc w:val="center"/>
        <w:rPr>
          <w:rFonts w:ascii="Century Gothic"/>
          <w:b/>
          <w:sz w:val="13"/>
        </w:rPr>
      </w:pPr>
      <w:r>
        <w:rPr/>
        <w:pict>
          <v:shape style="position:absolute;margin-left:663.76062pt;margin-top:10.390958pt;width:28.2pt;height:6.5pt;mso-position-horizontal-relative:page;mso-position-vertical-relative:paragraph;z-index:252029952;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639.558716pt;margin-top:34.340904pt;width:32.4500pt;height:6.5pt;mso-position-horizontal-relative:page;mso-position-vertical-relative:paragraph;z-index:252033024;rotation:25" type="#_x0000_t136" fillcolor="#4d4d4d" stroked="f">
            <o:extrusion v:ext="view" autorotationcenter="t"/>
            <v:textpath style="font-family:&quot;Century Gothic&quot;;font-size:6pt;v-text-kern:t;mso-text-shadow:auto;font-weight:bold" string="Tapteal Dr"/>
            <w10:wrap type="none"/>
          </v:shape>
        </w:pict>
      </w:r>
      <w:r>
        <w:rPr/>
        <w:pict>
          <v:shape style="position:absolute;margin-left:448.480804pt;margin-top:50.327797pt;width:31.15pt;height:6.5pt;mso-position-horizontal-relative:page;mso-position-vertical-relative:paragraph;z-index:252034048;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234.330185pt;margin-top:59.689796pt;width:10.3pt;height:31.6pt;mso-position-horizontal-relative:page;mso-position-vertical-relative:paragraph;z-index:252041216" type="#_x0000_t202" filled="false" stroked="false">
            <v:textbox inset="0,0,0,0" style="layout-flow:vertical;mso-layout-flow-alt:bottom-to-top">
              <w:txbxContent>
                <w:p>
                  <w:pPr>
                    <w:spacing w:before="15"/>
                    <w:ind w:left="20" w:right="0" w:firstLine="0"/>
                    <w:jc w:val="left"/>
                    <w:rPr>
                      <w:rFonts w:ascii="Century Gothic"/>
                      <w:b/>
                      <w:sz w:val="13"/>
                    </w:rPr>
                  </w:pPr>
                  <w:r>
                    <w:rPr>
                      <w:rFonts w:ascii="Century Gothic"/>
                      <w:b/>
                      <w:color w:val="4D4D4D"/>
                      <w:position w:val="1"/>
                      <w:sz w:val="13"/>
                    </w:rPr>
                    <w:t>D</w:t>
                  </w:r>
                  <w:r>
                    <w:rPr>
                      <w:rFonts w:ascii="Century Gothic"/>
                      <w:b/>
                      <w:color w:val="4D4D4D"/>
                      <w:sz w:val="13"/>
                    </w:rPr>
                    <w:t>allas Rd</w:t>
                  </w:r>
                </w:p>
              </w:txbxContent>
            </v:textbox>
            <w10:wrap type="none"/>
          </v:shape>
        </w:pict>
      </w:r>
      <w:r>
        <w:rPr/>
        <w:pict>
          <v:shape style="position:absolute;margin-left:615.799438pt;margin-top:13.290573pt;width:10.6pt;height:34.1pt;mso-position-horizontal-relative:page;mso-position-vertical-relative:paragraph;z-index:252051456"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sz w:val="13"/>
                    </w:rPr>
                    <w:t>Step</w:t>
                  </w:r>
                  <w:r>
                    <w:rPr>
                      <w:rFonts w:ascii="Century Gothic"/>
                      <w:b/>
                      <w:color w:val="4D4D4D"/>
                      <w:position w:val="1"/>
                      <w:sz w:val="13"/>
                    </w:rPr>
                    <w:t>toe St</w:t>
                  </w:r>
                </w:p>
              </w:txbxContent>
            </v:textbox>
            <w10:wrap type="none"/>
          </v:shape>
        </w:pict>
      </w:r>
      <w:r>
        <w:rPr/>
        <w:pict>
          <v:shape style="position:absolute;margin-left:448.159839pt;margin-top:24.771591pt;width:27.6pt;height:6.5pt;mso-position-horizontal-relative:page;mso-position-vertical-relative:paragraph;z-index:252054528;rotation:272" type="#_x0000_t136" fillcolor="#4d4d4d" stroked="f">
            <o:extrusion v:ext="view" autorotationcenter="t"/>
            <v:textpath style="font-family:&quot;Century Gothic&quot;;font-size:6pt;v-text-kern:t;mso-text-shadow:auto;font-weight:bold" string="Gala Wy"/>
            <w10:wrap type="none"/>
          </v:shape>
        </w:pict>
      </w:r>
      <w:r>
        <w:rPr/>
        <w:pict>
          <v:shape style="position:absolute;margin-left:555.727295pt;margin-top:51.903694pt;width:34.1pt;height:6.5pt;mso-position-horizontal-relative:page;mso-position-vertical-relative:paragraph;z-index:252064768;rotation:359" type="#_x0000_t136" fillcolor="#4d4d4d" stroked="f">
            <o:extrusion v:ext="view" autorotationcenter="t"/>
            <v:textpath style="font-family:&quot;Century Gothic&quot;;font-size:6pt;v-text-kern:t;mso-text-shadow:auto;font-weight:bold" string="Gage Blvd"/>
            <w10:wrap type="none"/>
          </v:shape>
        </w:pict>
      </w:r>
      <w:r>
        <w:rPr>
          <w:rFonts w:ascii="Century Gothic"/>
          <w:b/>
          <w:color w:val="4D4D4D"/>
          <w:sz w:val="13"/>
        </w:rPr>
        <w:t>Westcliffe Blvd</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8"/>
        <w:rPr>
          <w:rFonts w:ascii="Century Gothic"/>
          <w:b/>
          <w:sz w:val="24"/>
        </w:rPr>
      </w:pPr>
    </w:p>
    <w:p>
      <w:pPr>
        <w:spacing w:before="92"/>
        <w:ind w:left="0" w:right="1154" w:firstLine="0"/>
        <w:jc w:val="right"/>
        <w:rPr>
          <w:rFonts w:ascii="Arial"/>
          <w:sz w:val="24"/>
        </w:rPr>
      </w:pPr>
      <w:r>
        <w:rPr/>
        <w:pict>
          <v:shape style="position:absolute;margin-left:595.380884pt;margin-top:-53.451768pt;width:36.050pt;height:6.5pt;mso-position-horizontal-relative:page;mso-position-vertical-relative:paragraph;z-index:252039168;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537.188843pt;margin-top:-66.795708pt;width:10.35pt;height:29.7pt;mso-position-horizontal-relative:page;mso-position-vertical-relative:paragraph;z-index:252050432" type="#_x0000_t202" filled="false" stroked="false">
            <v:textbox inset="0,0,0,0" style="layout-flow:vertical;mso-layout-flow-alt:bottom-to-top">
              <w:txbxContent>
                <w:p>
                  <w:pPr>
                    <w:spacing w:before="16"/>
                    <w:ind w:left="20" w:right="0" w:firstLine="0"/>
                    <w:jc w:val="left"/>
                    <w:rPr>
                      <w:rFonts w:ascii="Century Gothic"/>
                      <w:b/>
                      <w:sz w:val="13"/>
                    </w:rPr>
                  </w:pPr>
                  <w:r>
                    <w:rPr>
                      <w:rFonts w:ascii="Century Gothic"/>
                      <w:b/>
                      <w:color w:val="4D4D4D"/>
                      <w:position w:val="1"/>
                      <w:sz w:val="13"/>
                    </w:rPr>
                    <w:t>Le</w:t>
                  </w:r>
                  <w:r>
                    <w:rPr>
                      <w:rFonts w:ascii="Century Gothic"/>
                      <w:b/>
                      <w:color w:val="4D4D4D"/>
                      <w:sz w:val="13"/>
                    </w:rPr>
                    <w:t>slie Rd</w:t>
                  </w:r>
                </w:p>
              </w:txbxContent>
            </v:textbox>
            <w10:wrap type="none"/>
          </v:shape>
        </w:pict>
      </w:r>
      <w:r>
        <w:rPr/>
        <w:pict>
          <v:shape style="position:absolute;margin-left:616.787476pt;margin-top:-73.82991pt;width:11.25pt;height:68.4pt;mso-position-horizontal-relative:page;mso-position-vertical-relative:paragraph;z-index:252052480" type="#_x0000_t202" filled="false" stroked="false">
            <v:textbox inset="0,0,0,0" style="layout-flow:vertical;mso-layout-flow-alt:bottom-to-top">
              <w:txbxContent>
                <w:p>
                  <w:pPr>
                    <w:tabs>
                      <w:tab w:pos="1347" w:val="left" w:leader="none"/>
                    </w:tabs>
                    <w:spacing w:before="45"/>
                    <w:ind w:left="20" w:right="0" w:firstLine="0"/>
                    <w:jc w:val="left"/>
                    <w:rPr>
                      <w:rFonts w:ascii="Century Gothic"/>
                      <w:b/>
                      <w:sz w:val="13"/>
                    </w:rPr>
                  </w:pPr>
                  <w:r>
                    <w:rPr>
                      <w:rFonts w:ascii="Century Gothic"/>
                      <w:b/>
                      <w:color w:val="4D4D4D"/>
                      <w:w w:val="99"/>
                      <w:sz w:val="13"/>
                      <w:u w:val="single" w:color="B2B2B2"/>
                    </w:rPr>
                    <w:t> </w:t>
                  </w:r>
                  <w:r>
                    <w:rPr>
                      <w:rFonts w:ascii="Century Gothic"/>
                      <w:b/>
                      <w:color w:val="4D4D4D"/>
                      <w:sz w:val="13"/>
                      <w:u w:val="single" w:color="B2B2B2"/>
                    </w:rPr>
                    <w:tab/>
                  </w:r>
                </w:p>
              </w:txbxContent>
            </v:textbox>
            <w10:wrap type="none"/>
          </v:shape>
        </w:pict>
      </w:r>
      <w:r>
        <w:rPr>
          <w:rFonts w:ascii="Arial"/>
          <w:shadow/>
          <w:color w:val="6B6B6C"/>
          <w:sz w:val="24"/>
        </w:rPr>
        <w:t>K</w:t>
      </w:r>
      <w:r>
        <w:rPr>
          <w:rFonts w:ascii="Arial"/>
          <w:shadow w:val="0"/>
          <w:color w:val="6B6B6C"/>
          <w:sz w:val="24"/>
        </w:rPr>
        <w:t> </w:t>
      </w:r>
      <w:r>
        <w:rPr>
          <w:rFonts w:ascii="Arial"/>
          <w:shadow/>
          <w:color w:val="6B6B6C"/>
          <w:sz w:val="24"/>
        </w:rPr>
        <w:t>e</w:t>
      </w:r>
      <w:r>
        <w:rPr>
          <w:rFonts w:ascii="Arial"/>
          <w:shadow w:val="0"/>
          <w:color w:val="6B6B6C"/>
          <w:sz w:val="24"/>
        </w:rPr>
        <w:t> </w:t>
      </w:r>
      <w:r>
        <w:rPr>
          <w:rFonts w:ascii="Arial"/>
          <w:shadow/>
          <w:color w:val="6B6B6C"/>
          <w:sz w:val="24"/>
        </w:rPr>
        <w:t>n</w:t>
      </w:r>
      <w:r>
        <w:rPr>
          <w:rFonts w:ascii="Arial"/>
          <w:shadow w:val="0"/>
          <w:color w:val="6B6B6C"/>
          <w:sz w:val="24"/>
        </w:rPr>
        <w:t> </w:t>
      </w:r>
      <w:r>
        <w:rPr>
          <w:rFonts w:ascii="Arial"/>
          <w:shadow/>
          <w:color w:val="6B6B6C"/>
          <w:sz w:val="24"/>
        </w:rPr>
        <w:t>n</w:t>
      </w:r>
      <w:r>
        <w:rPr>
          <w:rFonts w:ascii="Arial"/>
          <w:shadow w:val="0"/>
          <w:color w:val="6B6B6C"/>
          <w:sz w:val="24"/>
        </w:rPr>
        <w:t> </w:t>
      </w:r>
      <w:r>
        <w:rPr>
          <w:rFonts w:ascii="Arial"/>
          <w:shadow/>
          <w:color w:val="6B6B6C"/>
          <w:sz w:val="24"/>
        </w:rPr>
        <w:t>e</w:t>
      </w:r>
      <w:r>
        <w:rPr>
          <w:rFonts w:ascii="Arial"/>
          <w:shadow w:val="0"/>
          <w:color w:val="6B6B6C"/>
          <w:sz w:val="24"/>
        </w:rPr>
        <w:t> </w:t>
      </w:r>
      <w:r>
        <w:rPr>
          <w:rFonts w:ascii="Arial"/>
          <w:shadow/>
          <w:color w:val="6B6B6C"/>
          <w:sz w:val="24"/>
        </w:rPr>
        <w:t>w</w:t>
      </w:r>
      <w:r>
        <w:rPr>
          <w:rFonts w:ascii="Arial"/>
          <w:shadow w:val="0"/>
          <w:color w:val="6B6B6C"/>
          <w:sz w:val="24"/>
        </w:rPr>
        <w:t> </w:t>
      </w:r>
      <w:r>
        <w:rPr>
          <w:rFonts w:ascii="Arial"/>
          <w:shadow/>
          <w:color w:val="6B6B6C"/>
          <w:sz w:val="24"/>
        </w:rPr>
        <w:t>i</w:t>
      </w:r>
      <w:r>
        <w:rPr>
          <w:rFonts w:ascii="Arial"/>
          <w:shadow w:val="0"/>
          <w:color w:val="6B6B6C"/>
          <w:sz w:val="24"/>
        </w:rPr>
        <w:t> </w:t>
      </w:r>
      <w:r>
        <w:rPr>
          <w:rFonts w:ascii="Arial"/>
          <w:shadow/>
          <w:color w:val="6B6B6C"/>
          <w:sz w:val="24"/>
        </w:rPr>
        <w:t>c</w:t>
      </w:r>
      <w:r>
        <w:rPr>
          <w:rFonts w:ascii="Arial"/>
          <w:shadow w:val="0"/>
          <w:color w:val="6B6B6C"/>
          <w:sz w:val="24"/>
        </w:rPr>
        <w:t> </w:t>
      </w:r>
      <w:r>
        <w:rPr>
          <w:rFonts w:ascii="Arial"/>
          <w:shadow/>
          <w:color w:val="6B6B6C"/>
          <w:sz w:val="24"/>
        </w:rPr>
        <w:t>k</w:t>
      </w:r>
    </w:p>
    <w:p>
      <w:pPr>
        <w:pStyle w:val="BodyText"/>
        <w:rPr>
          <w:rFonts w:ascii="Arial"/>
          <w:sz w:val="20"/>
        </w:rPr>
      </w:pPr>
    </w:p>
    <w:p>
      <w:pPr>
        <w:spacing w:after="0"/>
        <w:rPr>
          <w:rFonts w:ascii="Arial"/>
          <w:sz w:val="20"/>
        </w:rPr>
        <w:sectPr>
          <w:type w:val="continuous"/>
          <w:pgSz w:w="15840" w:h="24480"/>
          <w:pgMar w:top="1480" w:bottom="1320" w:left="0" w:right="0"/>
        </w:sectPr>
      </w:pPr>
    </w:p>
    <w:p>
      <w:pPr>
        <w:spacing w:line="388" w:lineRule="auto" w:before="101"/>
        <w:ind w:left="1824" w:right="23" w:firstLine="0"/>
        <w:jc w:val="left"/>
        <w:rPr>
          <w:rFonts w:ascii="Arial"/>
          <w:sz w:val="19"/>
        </w:rPr>
      </w:pPr>
      <w:r>
        <w:rPr/>
        <w:drawing>
          <wp:anchor distT="0" distB="0" distL="0" distR="0" allowOverlap="1" layoutInCell="1" locked="0" behindDoc="1" simplePos="0" relativeHeight="235307008">
            <wp:simplePos x="0" y="0"/>
            <wp:positionH relativeFrom="page">
              <wp:posOffset>445030</wp:posOffset>
            </wp:positionH>
            <wp:positionV relativeFrom="page">
              <wp:posOffset>451099</wp:posOffset>
            </wp:positionV>
            <wp:extent cx="9165795" cy="14642448"/>
            <wp:effectExtent l="0" t="0" r="0" b="0"/>
            <wp:wrapNone/>
            <wp:docPr id="1" name="image212.png"/>
            <wp:cNvGraphicFramePr>
              <a:graphicFrameLocks noChangeAspect="1"/>
            </wp:cNvGraphicFramePr>
            <a:graphic>
              <a:graphicData uri="http://schemas.openxmlformats.org/drawingml/2006/picture">
                <pic:pic>
                  <pic:nvPicPr>
                    <pic:cNvPr id="2" name="image212.png"/>
                    <pic:cNvPicPr/>
                  </pic:nvPicPr>
                  <pic:blipFill>
                    <a:blip r:embed="rId227" cstate="print"/>
                    <a:stretch>
                      <a:fillRect/>
                    </a:stretch>
                  </pic:blipFill>
                  <pic:spPr>
                    <a:xfrm>
                      <a:off x="0" y="0"/>
                      <a:ext cx="9165795" cy="14642448"/>
                    </a:xfrm>
                    <a:prstGeom prst="rect">
                      <a:avLst/>
                    </a:prstGeom>
                  </pic:spPr>
                </pic:pic>
              </a:graphicData>
            </a:graphic>
          </wp:anchor>
        </w:drawing>
      </w:r>
      <w:r>
        <w:rPr>
          <w:rFonts w:ascii="Arial"/>
          <w:w w:val="105"/>
          <w:sz w:val="19"/>
        </w:rPr>
        <w:t>Richland City Limits Urban Growth Area Richland Airport Port of Benton</w:t>
      </w:r>
    </w:p>
    <w:p>
      <w:pPr>
        <w:pStyle w:val="BodyText"/>
        <w:rPr>
          <w:rFonts w:ascii="Arial"/>
          <w:sz w:val="40"/>
        </w:rPr>
      </w:pPr>
      <w:r>
        <w:rPr/>
        <w:br w:type="column"/>
      </w:r>
      <w:r>
        <w:rPr>
          <w:rFonts w:ascii="Arial"/>
          <w:sz w:val="40"/>
        </w:rPr>
      </w:r>
    </w:p>
    <w:p>
      <w:pPr>
        <w:spacing w:before="284"/>
        <w:ind w:left="0" w:right="38" w:firstLine="0"/>
        <w:jc w:val="right"/>
        <w:rPr>
          <w:rFonts w:ascii="Arial" w:hAnsi="Arial"/>
          <w:b/>
          <w:sz w:val="11"/>
        </w:rPr>
      </w:pPr>
      <w:r>
        <w:rPr/>
        <w:pict>
          <v:shape style="position:absolute;margin-left:509.750092pt;margin-top:2.284257pt;width:28.8pt;height:6.5pt;mso-position-horizontal-relative:page;mso-position-vertical-relative:paragraph;z-index:252028928;rotation:1" type="#_x0000_t136" fillcolor="#4d4d4d" stroked="f">
            <o:extrusion v:ext="view" autorotationcenter="t"/>
            <v:textpath style="font-family:&quot;Century Gothic&quot;;font-size:6pt;v-text-kern:t;mso-text-shadow:auto;font-weight:bold" string="Reata Rd"/>
            <w10:wrap type="none"/>
          </v:shape>
        </w:pict>
      </w:r>
      <w:r>
        <w:rPr>
          <w:rFonts w:ascii="Arial" w:hAnsi="Arial"/>
          <w:color w:val="FF0000"/>
          <w:spacing w:val="-283"/>
          <w:w w:val="126"/>
          <w:sz w:val="40"/>
        </w:rPr>
        <w:t>§</w:t>
      </w:r>
      <w:r>
        <w:rPr>
          <w:rFonts w:ascii="Arial" w:hAnsi="Arial"/>
          <w:spacing w:val="-283"/>
          <w:w w:val="271"/>
          <w:sz w:val="40"/>
        </w:rPr>
        <w:t>¦</w:t>
      </w:r>
      <w:r>
        <w:rPr>
          <w:rFonts w:ascii="Arial" w:hAnsi="Arial"/>
          <w:color w:val="0000FF"/>
          <w:spacing w:val="-208"/>
          <w:w w:val="211"/>
          <w:sz w:val="40"/>
        </w:rPr>
        <w:t>¨</w:t>
      </w:r>
      <w:r>
        <w:rPr>
          <w:rFonts w:ascii="Arial" w:hAnsi="Arial"/>
          <w:b/>
          <w:color w:val="FFFFFF"/>
          <w:spacing w:val="-2"/>
          <w:w w:val="104"/>
          <w:position w:val="10"/>
          <w:sz w:val="11"/>
        </w:rPr>
        <w:t>8</w:t>
      </w:r>
      <w:r>
        <w:rPr>
          <w:rFonts w:ascii="Arial" w:hAnsi="Arial"/>
          <w:b/>
          <w:color w:val="FFFFFF"/>
          <w:w w:val="104"/>
          <w:position w:val="10"/>
          <w:sz w:val="11"/>
        </w:rPr>
        <w:t>2</w:t>
      </w:r>
    </w:p>
    <w:p>
      <w:pPr>
        <w:pStyle w:val="BodyText"/>
        <w:rPr>
          <w:rFonts w:ascii="Arial"/>
          <w:b/>
          <w:sz w:val="28"/>
        </w:rPr>
      </w:pPr>
      <w:r>
        <w:rPr/>
        <w:br w:type="column"/>
      </w:r>
      <w:r>
        <w:rPr>
          <w:rFonts w:ascii="Arial"/>
          <w:b/>
          <w:sz w:val="28"/>
        </w:rPr>
      </w:r>
    </w:p>
    <w:p>
      <w:pPr>
        <w:pStyle w:val="BodyText"/>
        <w:rPr>
          <w:rFonts w:ascii="Arial"/>
          <w:b/>
          <w:sz w:val="28"/>
        </w:rPr>
      </w:pPr>
    </w:p>
    <w:p>
      <w:pPr>
        <w:pStyle w:val="BodyText"/>
        <w:rPr>
          <w:rFonts w:ascii="Arial"/>
          <w:b/>
          <w:sz w:val="28"/>
        </w:rPr>
      </w:pPr>
    </w:p>
    <w:p>
      <w:pPr>
        <w:pStyle w:val="BodyText"/>
        <w:rPr>
          <w:rFonts w:ascii="Arial"/>
          <w:b/>
          <w:sz w:val="28"/>
        </w:rPr>
      </w:pPr>
    </w:p>
    <w:p>
      <w:pPr>
        <w:pStyle w:val="BodyText"/>
        <w:spacing w:before="4"/>
        <w:rPr>
          <w:rFonts w:ascii="Arial"/>
          <w:b/>
          <w:sz w:val="28"/>
        </w:rPr>
      </w:pPr>
    </w:p>
    <w:p>
      <w:pPr>
        <w:spacing w:before="1"/>
        <w:ind w:left="1824" w:right="0" w:firstLine="0"/>
        <w:jc w:val="left"/>
        <w:rPr>
          <w:rFonts w:ascii="Century Gothic"/>
          <w:sz w:val="24"/>
        </w:rPr>
      </w:pPr>
      <w:r>
        <w:rPr>
          <w:rFonts w:ascii="Century Gothic"/>
          <w:sz w:val="24"/>
        </w:rPr>
        <w:t>February 24, 2017</w:t>
      </w:r>
    </w:p>
    <w:p>
      <w:pPr>
        <w:spacing w:after="0"/>
        <w:jc w:val="left"/>
        <w:rPr>
          <w:rFonts w:ascii="Century Gothic"/>
          <w:sz w:val="24"/>
        </w:rPr>
        <w:sectPr>
          <w:type w:val="continuous"/>
          <w:pgSz w:w="15840" w:h="24480"/>
          <w:pgMar w:top="1480" w:bottom="1320" w:left="0" w:right="0"/>
          <w:cols w:num="3" w:equalWidth="0">
            <w:col w:w="3619" w:space="3190"/>
            <w:col w:w="2065" w:space="2334"/>
            <w:col w:w="4632"/>
          </w:cols>
        </w:sectPr>
      </w:pPr>
    </w:p>
    <w:p>
      <w:pPr>
        <w:pStyle w:val="BodyText"/>
        <w:spacing w:before="8"/>
        <w:rPr>
          <w:rFonts w:ascii="Century Gothic"/>
          <w:sz w:val="13"/>
        </w:rPr>
      </w:pPr>
    </w:p>
    <w:p>
      <w:pPr>
        <w:spacing w:before="100"/>
        <w:ind w:left="3842" w:right="3837" w:firstLine="0"/>
        <w:jc w:val="center"/>
        <w:rPr>
          <w:rFonts w:ascii="Century Gothic"/>
          <w:b/>
          <w:sz w:val="72"/>
        </w:rPr>
      </w:pPr>
      <w:r>
        <w:rPr>
          <w:rFonts w:ascii="Century Gothic"/>
          <w:b/>
          <w:color w:val="004CA7"/>
          <w:sz w:val="72"/>
        </w:rPr>
        <w:t>City of Richland</w:t>
      </w:r>
    </w:p>
    <w:p>
      <w:pPr>
        <w:pStyle w:val="ListParagraph"/>
        <w:numPr>
          <w:ilvl w:val="1"/>
          <w:numId w:val="6"/>
        </w:numPr>
        <w:tabs>
          <w:tab w:pos="6822" w:val="left" w:leader="none"/>
        </w:tabs>
        <w:spacing w:line="240" w:lineRule="auto" w:before="81" w:after="0"/>
        <w:ind w:left="6821" w:right="1" w:hanging="6822"/>
        <w:jc w:val="left"/>
        <w:rPr>
          <w:rFonts w:ascii="Century Gothic"/>
          <w:b/>
          <w:sz w:val="40"/>
        </w:rPr>
      </w:pPr>
      <w:r>
        <w:rPr>
          <w:rFonts w:ascii="Century Gothic"/>
          <w:b/>
          <w:sz w:val="40"/>
        </w:rPr>
        <w:t>- Transit</w:t>
      </w:r>
      <w:r>
        <w:rPr>
          <w:rFonts w:ascii="Century Gothic"/>
          <w:b/>
          <w:spacing w:val="-2"/>
          <w:sz w:val="40"/>
        </w:rPr>
        <w:t> </w:t>
      </w:r>
      <w:r>
        <w:rPr>
          <w:rFonts w:ascii="Century Gothic"/>
          <w:b/>
          <w:sz w:val="40"/>
        </w:rPr>
        <w:t>Routes</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2"/>
        <w:rPr>
          <w:rFonts w:ascii="Century Gothic"/>
          <w:b/>
          <w:sz w:val="20"/>
        </w:rPr>
      </w:pPr>
    </w:p>
    <w:p>
      <w:pPr>
        <w:spacing w:after="0"/>
        <w:rPr>
          <w:rFonts w:ascii="Century Gothic"/>
          <w:sz w:val="20"/>
        </w:rPr>
        <w:sectPr>
          <w:footerReference w:type="default" r:id="rId228"/>
          <w:pgSz w:w="15840" w:h="24480"/>
          <w:pgMar w:footer="0" w:header="0" w:top="760" w:bottom="280" w:left="0" w:right="0"/>
        </w:sectPr>
      </w:pPr>
    </w:p>
    <w:p>
      <w:pPr>
        <w:pStyle w:val="BodyText"/>
        <w:spacing w:before="8"/>
        <w:rPr>
          <w:rFonts w:ascii="Century Gothic"/>
          <w:b/>
          <w:sz w:val="33"/>
        </w:rPr>
      </w:pPr>
    </w:p>
    <w:p>
      <w:pPr>
        <w:spacing w:before="0"/>
        <w:ind w:left="0" w:right="0" w:firstLine="0"/>
        <w:jc w:val="right"/>
        <w:rPr>
          <w:rFonts w:ascii="Arial"/>
          <w:b/>
          <w:sz w:val="13"/>
        </w:rPr>
      </w:pPr>
      <w:r>
        <w:rPr>
          <w:rFonts w:ascii="Arial Black"/>
          <w:color w:val="FFFFFF"/>
          <w:spacing w:val="-283"/>
          <w:w w:val="99"/>
          <w:position w:val="-3"/>
          <w:sz w:val="34"/>
        </w:rPr>
        <w:t>U</w:t>
      </w:r>
      <w:r>
        <w:rPr>
          <w:rFonts w:ascii="Arial Black"/>
          <w:spacing w:val="-256"/>
          <w:w w:val="106"/>
          <w:position w:val="-3"/>
          <w:sz w:val="34"/>
        </w:rPr>
        <w:t>V</w:t>
      </w:r>
      <w:r>
        <w:rPr>
          <w:rFonts w:ascii="Arial"/>
          <w:b/>
          <w:spacing w:val="-1"/>
          <w:w w:val="99"/>
          <w:sz w:val="13"/>
        </w:rPr>
        <w:t>2</w:t>
      </w:r>
      <w:r>
        <w:rPr>
          <w:rFonts w:ascii="Arial"/>
          <w:b/>
          <w:spacing w:val="4"/>
          <w:w w:val="99"/>
          <w:sz w:val="13"/>
        </w:rPr>
        <w:t>4</w:t>
      </w:r>
      <w:r>
        <w:rPr>
          <w:rFonts w:ascii="Arial"/>
          <w:b/>
          <w:w w:val="99"/>
          <w:sz w:val="13"/>
        </w:rPr>
        <w:t>0</w:t>
      </w:r>
    </w:p>
    <w:p>
      <w:pPr>
        <w:spacing w:before="103"/>
        <w:ind w:left="3732" w:right="0" w:firstLine="0"/>
        <w:jc w:val="left"/>
        <w:rPr>
          <w:rFonts w:ascii="Century Gothic"/>
          <w:b/>
          <w:sz w:val="13"/>
        </w:rPr>
      </w:pPr>
      <w:r>
        <w:rPr/>
        <w:br w:type="column"/>
      </w:r>
      <w:r>
        <w:rPr>
          <w:rFonts w:ascii="Century Gothic"/>
          <w:b/>
          <w:color w:val="4D4D4D"/>
          <w:sz w:val="13"/>
        </w:rPr>
        <w:t>Horn Rapids Rd</w:t>
      </w:r>
    </w:p>
    <w:p>
      <w:pPr>
        <w:pStyle w:val="BodyText"/>
        <w:rPr>
          <w:rFonts w:ascii="Century Gothic"/>
          <w:b/>
          <w:sz w:val="16"/>
        </w:rPr>
      </w:pPr>
    </w:p>
    <w:p>
      <w:pPr>
        <w:pStyle w:val="BodyText"/>
        <w:rPr>
          <w:rFonts w:ascii="Century Gothic"/>
          <w:b/>
          <w:sz w:val="16"/>
        </w:rPr>
      </w:pPr>
    </w:p>
    <w:p>
      <w:pPr>
        <w:pStyle w:val="BodyText"/>
        <w:spacing w:before="3"/>
        <w:rPr>
          <w:rFonts w:ascii="Century Gothic"/>
          <w:b/>
          <w:sz w:val="14"/>
        </w:rPr>
      </w:pPr>
    </w:p>
    <w:p>
      <w:pPr>
        <w:spacing w:before="0"/>
        <w:ind w:left="4033" w:right="6794" w:firstLine="0"/>
        <w:jc w:val="center"/>
        <w:rPr>
          <w:rFonts w:ascii="Century Gothic"/>
          <w:b/>
          <w:sz w:val="13"/>
        </w:rPr>
      </w:pPr>
      <w:r>
        <w:rPr/>
        <w:pict>
          <v:shape style="position:absolute;margin-left:233.028336pt;margin-top:-6.849251pt;width:10.5pt;height:51.25pt;mso-position-horizontal-relative:page;mso-position-vertical-relative:paragraph;z-index:252078080"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position w:val="1"/>
                      <w:sz w:val="13"/>
                    </w:rPr>
                    <w:t>Twin Br</w:t>
                  </w:r>
                  <w:r>
                    <w:rPr>
                      <w:rFonts w:ascii="Century Gothic"/>
                      <w:b/>
                      <w:color w:val="4D4D4D"/>
                      <w:sz w:val="13"/>
                    </w:rPr>
                    <w:t>idges Rd</w:t>
                  </w:r>
                </w:p>
              </w:txbxContent>
            </v:textbox>
            <w10:wrap type="none"/>
          </v:shape>
        </w:pict>
      </w:r>
      <w:r>
        <w:rPr/>
        <w:pict>
          <v:shape style="position:absolute;margin-left:345.298859pt;margin-top:-10.766394pt;width:11.55pt;height:50.4pt;mso-position-horizontal-relative:page;mso-position-vertical-relative:paragraph;z-index:252081152"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Kin</w:t>
                  </w:r>
                  <w:r>
                    <w:rPr>
                      <w:rFonts w:ascii="Century Gothic"/>
                      <w:b/>
                      <w:color w:val="4D4D4D"/>
                      <w:position w:val="1"/>
                      <w:sz w:val="13"/>
                    </w:rPr>
                    <w:t>gsga</w:t>
                  </w:r>
                  <w:r>
                    <w:rPr>
                      <w:rFonts w:ascii="Century Gothic"/>
                      <w:b/>
                      <w:color w:val="4D4D4D"/>
                      <w:position w:val="2"/>
                      <w:sz w:val="13"/>
                    </w:rPr>
                    <w:t>te W</w:t>
                  </w:r>
                  <w:r>
                    <w:rPr>
                      <w:rFonts w:ascii="Century Gothic"/>
                      <w:b/>
                      <w:color w:val="4D4D4D"/>
                      <w:position w:val="3"/>
                      <w:sz w:val="13"/>
                    </w:rPr>
                    <w:t>ay</w:t>
                  </w:r>
                </w:p>
              </w:txbxContent>
            </v:textbox>
            <w10:wrap type="none"/>
          </v:shape>
        </w:pict>
      </w:r>
      <w:r>
        <w:rPr>
          <w:rFonts w:ascii="Century Gothic"/>
          <w:b/>
          <w:color w:val="4D4D4D"/>
          <w:sz w:val="13"/>
        </w:rPr>
        <w:t>Battelle B</w:t>
      </w:r>
      <w:r>
        <w:rPr>
          <w:rFonts w:ascii="Century Gothic"/>
          <w:b/>
          <w:color w:val="4D4D4D"/>
          <w:position w:val="1"/>
          <w:sz w:val="13"/>
        </w:rPr>
        <w:t>lvd</w:t>
      </w:r>
    </w:p>
    <w:p>
      <w:pPr>
        <w:spacing w:after="0"/>
        <w:jc w:val="center"/>
        <w:rPr>
          <w:rFonts w:ascii="Century Gothic"/>
          <w:sz w:val="13"/>
        </w:rPr>
        <w:sectPr>
          <w:type w:val="continuous"/>
          <w:pgSz w:w="15840" w:h="24480"/>
          <w:pgMar w:top="1480" w:bottom="1320" w:left="0" w:right="0"/>
          <w:cols w:num="2" w:equalWidth="0">
            <w:col w:w="4162" w:space="40"/>
            <w:col w:w="11638"/>
          </w:cols>
        </w:sect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2"/>
        <w:rPr>
          <w:rFonts w:ascii="Century Gothic"/>
          <w:b/>
          <w:sz w:val="19"/>
        </w:rPr>
      </w:pPr>
    </w:p>
    <w:p>
      <w:pPr>
        <w:spacing w:before="0"/>
        <w:ind w:left="7737" w:right="3862" w:firstLine="0"/>
        <w:jc w:val="center"/>
        <w:rPr>
          <w:rFonts w:ascii="Century Gothic"/>
          <w:b/>
          <w:sz w:val="13"/>
        </w:rPr>
      </w:pPr>
      <w:r>
        <w:rPr/>
        <w:pict>
          <v:shape style="position:absolute;margin-left:448.619519pt;margin-top:39.639671pt;width:33.4pt;height:6.5pt;mso-position-horizontal-relative:page;mso-position-vertical-relative:paragraph;z-index:252091392;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66.782367pt;margin-top:67.429242pt;width:80.6pt;height:6.5pt;mso-position-horizontal-relative:page;mso-position-vertical-relative:paragraph;z-index:252093440;rotation:272" type="#_x0000_t136" fillcolor="#4d4d4d" stroked="f">
            <o:extrusion v:ext="view" autorotationcenter="t"/>
            <v:textpath style="font-family:&quot;Century Gothic&quot;;font-size:6pt;v-text-kern:t;mso-text-shadow:auto;font-weight:bold" string="George Washington Way"/>
            <w10:wrap type="none"/>
          </v:shape>
        </w:pict>
      </w:r>
      <w:r>
        <w:rPr/>
        <w:pict>
          <v:shape style="position:absolute;margin-left:412.51424pt;margin-top:75.484772pt;width:40.85pt;height:6.5pt;mso-position-horizontal-relative:page;mso-position-vertical-relative:paragraph;z-index:252094464;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393.687207pt;margin-top:63.050876pt;width:40.15pt;height:6.5pt;mso-position-horizontal-relative:page;mso-position-vertical-relative:paragraph;z-index:252096512;rotation:306" type="#_x0000_t136" fillcolor="#4d4d4d" stroked="f">
            <o:extrusion v:ext="view" autorotationcenter="t"/>
            <v:textpath style="font-family:&quot;Century Gothic&quot;;font-size:6pt;v-text-kern:t;mso-text-shadow:auto;font-weight:bold" string="Logston Blvd"/>
            <w10:wrap type="none"/>
          </v:shape>
        </w:pict>
      </w:r>
      <w:r>
        <w:rPr>
          <w:rFonts w:ascii="Century Gothic"/>
          <w:b/>
          <w:color w:val="4D4D4D"/>
          <w:sz w:val="13"/>
        </w:rPr>
        <w:t>Univer</w:t>
      </w:r>
      <w:r>
        <w:rPr>
          <w:rFonts w:ascii="Century Gothic"/>
          <w:b/>
          <w:color w:val="4D4D4D"/>
          <w:position w:val="1"/>
          <w:sz w:val="13"/>
        </w:rPr>
        <w:t>sity 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0"/>
        <w:rPr>
          <w:rFonts w:ascii="Century Gothic"/>
          <w:b/>
        </w:rPr>
      </w:pPr>
    </w:p>
    <w:p>
      <w:pPr>
        <w:pStyle w:val="Heading4"/>
        <w:spacing w:before="124"/>
        <w:rPr>
          <w:rFonts w:ascii="Arial"/>
        </w:rPr>
      </w:pPr>
      <w:r>
        <w:rPr/>
        <w:pict>
          <v:shape style="position:absolute;margin-left:478.494366pt;margin-top:43.132436pt;width:37.65pt;height:6.5pt;mso-position-horizontal-relative:page;mso-position-vertical-relative:paragraph;z-index:252076032;rotation:69" type="#_x0000_t136" fillcolor="#4d4d4d" stroked="f">
            <o:extrusion v:ext="view" autorotationcenter="t"/>
            <v:textpath style="font-family:&quot;Century Gothic&quot;;font-size:6pt;v-text-kern:t;mso-text-shadow:auto;font-weight:bold" string="Jadwin Ave"/>
            <w10:wrap type="none"/>
          </v:shape>
        </w:pict>
      </w:r>
      <w:r>
        <w:rPr/>
        <w:pict>
          <v:shape style="position:absolute;margin-left:328.76004pt;margin-top:4.337553pt;width:10.050pt;height:30.55pt;mso-position-horizontal-relative:page;mso-position-vertical-relative:paragraph;z-index:252080128"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Jones Rd</w:t>
                  </w:r>
                </w:p>
              </w:txbxContent>
            </v:textbox>
            <w10:wrap type="none"/>
          </v:shape>
        </w:pict>
      </w:r>
      <w:r>
        <w:rPr/>
        <w:pict>
          <v:shape style="position:absolute;margin-left:461.334839pt;margin-top:27.342337pt;width:10.4pt;height:35.4pt;mso-position-horizontal-relative:page;mso-position-vertical-relative:paragraph;z-index:252085248" type="#_x0000_t202" filled="false" stroked="false">
            <v:textbox inset="0,0,0,0" style="layout-flow:vertical;mso-layout-flow-alt:bottom-to-top">
              <w:txbxContent>
                <w:p>
                  <w:pPr>
                    <w:spacing w:before="17"/>
                    <w:ind w:left="20" w:right="0" w:firstLine="0"/>
                    <w:jc w:val="left"/>
                    <w:rPr>
                      <w:rFonts w:ascii="Century Gothic"/>
                      <w:b/>
                      <w:sz w:val="13"/>
                    </w:rPr>
                  </w:pPr>
                  <w:r>
                    <w:rPr>
                      <w:rFonts w:ascii="Century Gothic"/>
                      <w:b/>
                      <w:color w:val="4D4D4D"/>
                      <w:sz w:val="13"/>
                    </w:rPr>
                    <w:t>Steven</w:t>
                  </w:r>
                  <w:r>
                    <w:rPr>
                      <w:rFonts w:ascii="Century Gothic"/>
                      <w:b/>
                      <w:color w:val="4D4D4D"/>
                      <w:position w:val="1"/>
                      <w:sz w:val="13"/>
                    </w:rPr>
                    <w:t>s Dr</w:t>
                  </w:r>
                </w:p>
              </w:txbxContent>
            </v:textbox>
            <w10:wrap type="none"/>
          </v:shape>
        </w:pict>
      </w:r>
      <w:r>
        <w:rPr/>
        <w:pict>
          <v:shape style="position:absolute;margin-left:409.658289pt;margin-top:-45.093076pt;width:31.8pt;height:6.5pt;mso-position-horizontal-relative:page;mso-position-vertical-relative:paragraph;z-index:252095488;rotation:282" type="#_x0000_t136" fillcolor="#4d4d4d" stroked="f">
            <o:extrusion v:ext="view" autorotationcenter="t"/>
            <v:textpath style="font-family:&quot;Century Gothic&quot;;font-size:6pt;v-text-kern:t;mso-text-shadow:auto;font-weight:bold" string="Hagen Rd"/>
            <w10:wrap type="none"/>
          </v:shape>
        </w:pict>
      </w:r>
      <w:r>
        <w:rPr/>
        <w:pict>
          <v:shape style="position:absolute;margin-left:422.340332pt;margin-top:-15.860138pt;width:40.75pt;height:6.5pt;mso-position-horizontal-relative:page;mso-position-vertical-relative:paragraph;z-index:252097536;rotation:312" type="#_x0000_t136" fillcolor="#4d4d4d" stroked="f">
            <o:extrusion v:ext="view" autorotationcenter="t"/>
            <v:textpath style="font-family:&quot;Century Gothic&quot;;font-size:6pt;v-text-kern:t;mso-text-shadow:auto;font-weight:bold" string="By-pass Hwy"/>
            <w10:wrap type="none"/>
          </v:shape>
        </w:pict>
      </w:r>
      <w:r>
        <w:rPr>
          <w:rFonts w:ascii="Arial"/>
          <w:color w:val="FFFF00"/>
          <w:spacing w:val="-253"/>
          <w:w w:val="251"/>
        </w:rPr>
        <w:t>!</w:t>
      </w:r>
      <w:r>
        <w:rPr>
          <w:rFonts w:ascii="Arial"/>
          <w:w w:val="89"/>
        </w:rPr>
        <w:t>O</w:t>
      </w:r>
    </w:p>
    <w:p>
      <w:pPr>
        <w:pStyle w:val="BodyText"/>
        <w:spacing w:before="4"/>
        <w:rPr>
          <w:rFonts w:ascii="Arial"/>
          <w:sz w:val="16"/>
        </w:rPr>
      </w:pPr>
    </w:p>
    <w:p>
      <w:pPr>
        <w:spacing w:after="0"/>
        <w:rPr>
          <w:rFonts w:ascii="Arial"/>
          <w:sz w:val="16"/>
        </w:rPr>
        <w:sectPr>
          <w:type w:val="continuous"/>
          <w:pgSz w:w="15840" w:h="24480"/>
          <w:pgMar w:top="1480" w:bottom="1320" w:left="0" w:right="0"/>
        </w:sectPr>
      </w:pPr>
    </w:p>
    <w:p>
      <w:pPr>
        <w:pStyle w:val="BodyText"/>
        <w:spacing w:before="8"/>
        <w:rPr>
          <w:rFonts w:ascii="Arial"/>
        </w:rPr>
      </w:pPr>
    </w:p>
    <w:p>
      <w:pPr>
        <w:spacing w:before="1"/>
        <w:ind w:left="2246" w:right="0" w:firstLine="0"/>
        <w:jc w:val="left"/>
        <w:rPr>
          <w:rFonts w:ascii="Arial"/>
          <w:sz w:val="24"/>
        </w:rPr>
      </w:pPr>
      <w:r>
        <w:rPr>
          <w:rFonts w:ascii="Arial"/>
          <w:shadow/>
          <w:color w:val="6B6B6C"/>
          <w:sz w:val="24"/>
        </w:rPr>
        <w:t>W</w:t>
      </w:r>
      <w:r>
        <w:rPr>
          <w:rFonts w:ascii="Arial"/>
          <w:shadow w:val="0"/>
          <w:color w:val="6B6B6C"/>
          <w:sz w:val="24"/>
        </w:rPr>
        <w:t> </w:t>
      </w:r>
      <w:r>
        <w:rPr>
          <w:rFonts w:ascii="Arial"/>
          <w:shadow/>
          <w:color w:val="6B6B6C"/>
          <w:sz w:val="24"/>
        </w:rPr>
        <w:t>e</w:t>
      </w:r>
      <w:r>
        <w:rPr>
          <w:rFonts w:ascii="Arial"/>
          <w:shadow w:val="0"/>
          <w:color w:val="6B6B6C"/>
          <w:sz w:val="24"/>
        </w:rPr>
        <w:t> </w:t>
      </w:r>
      <w:r>
        <w:rPr>
          <w:rFonts w:ascii="Arial"/>
          <w:shadow/>
          <w:color w:val="6B6B6C"/>
          <w:sz w:val="24"/>
        </w:rPr>
        <w:t>s</w:t>
      </w:r>
      <w:r>
        <w:rPr>
          <w:rFonts w:ascii="Arial"/>
          <w:shadow w:val="0"/>
          <w:color w:val="6B6B6C"/>
          <w:sz w:val="24"/>
        </w:rPr>
        <w:t> </w:t>
      </w:r>
      <w:r>
        <w:rPr>
          <w:rFonts w:ascii="Arial"/>
          <w:shadow/>
          <w:color w:val="6B6B6C"/>
          <w:sz w:val="24"/>
        </w:rPr>
        <w:t>t</w:t>
      </w:r>
      <w:r>
        <w:rPr>
          <w:rFonts w:ascii="Arial"/>
          <w:shadow w:val="0"/>
          <w:color w:val="6B6B6C"/>
          <w:sz w:val="24"/>
        </w:rPr>
        <w:t> </w:t>
      </w:r>
      <w:r>
        <w:rPr>
          <w:rFonts w:ascii="Arial"/>
          <w:shadow/>
          <w:color w:val="6B6B6C"/>
          <w:sz w:val="24"/>
        </w:rPr>
        <w:t>R</w:t>
      </w:r>
      <w:r>
        <w:rPr>
          <w:rFonts w:ascii="Arial"/>
          <w:shadow w:val="0"/>
          <w:color w:val="6B6B6C"/>
          <w:sz w:val="24"/>
        </w:rPr>
        <w:t> </w:t>
      </w:r>
      <w:r>
        <w:rPr>
          <w:rFonts w:ascii="Arial"/>
          <w:shadow/>
          <w:color w:val="6B6B6C"/>
          <w:sz w:val="24"/>
        </w:rPr>
        <w:t>i</w:t>
      </w:r>
      <w:r>
        <w:rPr>
          <w:rFonts w:ascii="Arial"/>
          <w:shadow w:val="0"/>
          <w:color w:val="6B6B6C"/>
          <w:sz w:val="24"/>
        </w:rPr>
        <w:t> </w:t>
      </w:r>
      <w:r>
        <w:rPr>
          <w:rFonts w:ascii="Arial"/>
          <w:shadow/>
          <w:color w:val="6B6B6C"/>
          <w:sz w:val="24"/>
        </w:rPr>
        <w:t>c</w:t>
      </w:r>
      <w:r>
        <w:rPr>
          <w:rFonts w:ascii="Arial"/>
          <w:shadow w:val="0"/>
          <w:color w:val="6B6B6C"/>
          <w:sz w:val="24"/>
        </w:rPr>
        <w:t> </w:t>
      </w:r>
      <w:r>
        <w:rPr>
          <w:rFonts w:ascii="Arial"/>
          <w:shadow/>
          <w:color w:val="6B6B6C"/>
          <w:sz w:val="24"/>
        </w:rPr>
        <w:t>h</w:t>
      </w:r>
      <w:r>
        <w:rPr>
          <w:rFonts w:ascii="Arial"/>
          <w:shadow w:val="0"/>
          <w:color w:val="6B6B6C"/>
          <w:sz w:val="24"/>
        </w:rPr>
        <w:t> </w:t>
      </w:r>
      <w:r>
        <w:rPr>
          <w:rFonts w:ascii="Arial"/>
          <w:shadow/>
          <w:color w:val="6B6B6C"/>
          <w:sz w:val="24"/>
        </w:rPr>
        <w:t>l</w:t>
      </w:r>
      <w:r>
        <w:rPr>
          <w:rFonts w:ascii="Arial"/>
          <w:shadow w:val="0"/>
          <w:color w:val="6B6B6C"/>
          <w:sz w:val="24"/>
        </w:rPr>
        <w:t> </w:t>
      </w:r>
      <w:r>
        <w:rPr>
          <w:rFonts w:ascii="Arial"/>
          <w:shadow/>
          <w:color w:val="6B6B6C"/>
          <w:sz w:val="24"/>
        </w:rPr>
        <w:t>a</w:t>
      </w:r>
      <w:r>
        <w:rPr>
          <w:rFonts w:ascii="Arial"/>
          <w:shadow w:val="0"/>
          <w:color w:val="6B6B6C"/>
          <w:sz w:val="24"/>
        </w:rPr>
        <w:t> </w:t>
      </w:r>
      <w:r>
        <w:rPr>
          <w:rFonts w:ascii="Arial"/>
          <w:shadow/>
          <w:color w:val="6B6B6C"/>
          <w:sz w:val="24"/>
        </w:rPr>
        <w:t>n</w:t>
      </w:r>
      <w:r>
        <w:rPr>
          <w:rFonts w:ascii="Arial"/>
          <w:shadow w:val="0"/>
          <w:color w:val="6B6B6C"/>
          <w:sz w:val="24"/>
        </w:rPr>
        <w:t> </w:t>
      </w:r>
      <w:r>
        <w:rPr>
          <w:rFonts w:ascii="Arial"/>
          <w:shadow/>
          <w:color w:val="6B6B6C"/>
          <w:sz w:val="24"/>
        </w:rPr>
        <w:t>d</w:t>
      </w:r>
    </w:p>
    <w:p>
      <w:pPr>
        <w:spacing w:before="103"/>
        <w:ind w:left="2246" w:right="0" w:firstLine="0"/>
        <w:jc w:val="left"/>
        <w:rPr>
          <w:rFonts w:ascii="Century Gothic"/>
          <w:b/>
          <w:sz w:val="13"/>
        </w:rPr>
      </w:pPr>
      <w:r>
        <w:rPr/>
        <w:br w:type="column"/>
      </w:r>
      <w:r>
        <w:rPr>
          <w:rFonts w:ascii="Century Gothic"/>
          <w:b/>
          <w:color w:val="4D4D4D"/>
          <w:sz w:val="13"/>
        </w:rPr>
        <w:t>Van Giesen St</w:t>
      </w:r>
    </w:p>
    <w:p>
      <w:pPr>
        <w:spacing w:after="0"/>
        <w:jc w:val="left"/>
        <w:rPr>
          <w:rFonts w:ascii="Century Gothic"/>
          <w:sz w:val="13"/>
        </w:rPr>
        <w:sectPr>
          <w:type w:val="continuous"/>
          <w:pgSz w:w="15840" w:h="24480"/>
          <w:pgMar w:top="1480" w:bottom="1320" w:left="0" w:right="0"/>
          <w:cols w:num="2" w:equalWidth="0">
            <w:col w:w="4542" w:space="961"/>
            <w:col w:w="10337"/>
          </w:cols>
        </w:sectPr>
      </w:pPr>
    </w:p>
    <w:p>
      <w:pPr>
        <w:pStyle w:val="BodyText"/>
        <w:spacing w:before="1"/>
        <w:rPr>
          <w:rFonts w:ascii="Century Gothic"/>
          <w:b/>
          <w:sz w:val="16"/>
        </w:rPr>
      </w:pPr>
    </w:p>
    <w:p>
      <w:pPr>
        <w:spacing w:before="100"/>
        <w:ind w:left="3842" w:right="1162" w:firstLine="0"/>
        <w:jc w:val="center"/>
        <w:rPr>
          <w:rFonts w:ascii="Century Gothic"/>
          <w:b/>
          <w:sz w:val="13"/>
        </w:rPr>
      </w:pPr>
      <w:r>
        <w:rPr/>
        <w:pict>
          <v:shape style="position:absolute;margin-left:414.734894pt;margin-top:-1.462573pt;width:10.45pt;height:36.75pt;mso-position-horizontal-relative:page;mso-position-vertical-relative:paragraph;z-index:252083200"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sz w:val="13"/>
                    </w:rPr>
                    <w:t>Wrigh</w:t>
                  </w:r>
                  <w:r>
                    <w:rPr>
                      <w:rFonts w:ascii="Century Gothic"/>
                      <w:b/>
                      <w:color w:val="4D4D4D"/>
                      <w:position w:val="1"/>
                      <w:sz w:val="13"/>
                    </w:rPr>
                    <w:t>t Ave</w:t>
                  </w:r>
                </w:p>
              </w:txbxContent>
            </v:textbox>
            <w10:wrap type="none"/>
          </v:shape>
        </w:pict>
      </w:r>
      <w:r>
        <w:rPr>
          <w:rFonts w:ascii="Century Gothic"/>
          <w:b/>
          <w:color w:val="4D4D4D"/>
          <w:sz w:val="13"/>
        </w:rPr>
        <w:t>William</w:t>
      </w:r>
      <w:r>
        <w:rPr>
          <w:rFonts w:ascii="Century Gothic"/>
          <w:b/>
          <w:color w:val="4D4D4D"/>
          <w:position w:val="1"/>
          <w:sz w:val="13"/>
        </w:rPr>
        <w:t>s Blvd</w:t>
      </w:r>
    </w:p>
    <w:p>
      <w:pPr>
        <w:pStyle w:val="BodyText"/>
        <w:rPr>
          <w:rFonts w:ascii="Century Gothic"/>
          <w:b/>
          <w:sz w:val="20"/>
        </w:rPr>
      </w:pPr>
    </w:p>
    <w:p>
      <w:pPr>
        <w:pStyle w:val="BodyText"/>
        <w:spacing w:before="8"/>
        <w:rPr>
          <w:rFonts w:ascii="Century Gothic"/>
          <w:b/>
          <w:sz w:val="15"/>
        </w:rPr>
      </w:pPr>
    </w:p>
    <w:p>
      <w:pPr>
        <w:spacing w:after="0"/>
        <w:rPr>
          <w:rFonts w:ascii="Century Gothic"/>
          <w:sz w:val="15"/>
        </w:rPr>
        <w:sectPr>
          <w:type w:val="continuous"/>
          <w:pgSz w:w="15840" w:h="24480"/>
          <w:pgMar w:top="1480" w:bottom="1320" w:left="0" w:right="0"/>
        </w:sectPr>
      </w:pPr>
    </w:p>
    <w:p>
      <w:pPr>
        <w:spacing w:before="99"/>
        <w:ind w:left="0" w:right="0" w:firstLine="0"/>
        <w:jc w:val="right"/>
        <w:rPr>
          <w:rFonts w:ascii="Century Gothic"/>
          <w:b/>
          <w:sz w:val="13"/>
        </w:rPr>
      </w:pPr>
      <w:r>
        <w:rPr/>
        <w:pict>
          <v:shape style="position:absolute;margin-left:383.04541pt;margin-top:-12.264534pt;width:10.45pt;height:42.85pt;mso-position-horizontal-relative:page;mso-position-vertical-relative:paragraph;z-index:252082176"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sz w:val="13"/>
                    </w:rPr>
                    <w:t>By-pas</w:t>
                  </w:r>
                  <w:r>
                    <w:rPr>
                      <w:rFonts w:ascii="Century Gothic"/>
                      <w:b/>
                      <w:color w:val="4D4D4D"/>
                      <w:position w:val="1"/>
                      <w:sz w:val="13"/>
                    </w:rPr>
                    <w:t>s Hwy</w:t>
                  </w:r>
                </w:p>
              </w:txbxContent>
            </v:textbox>
            <w10:wrap type="none"/>
          </v:shape>
        </w:pict>
      </w:r>
      <w:r>
        <w:rPr>
          <w:rFonts w:ascii="Century Gothic"/>
          <w:b/>
          <w:color w:val="4D4D4D"/>
          <w:sz w:val="13"/>
        </w:rPr>
        <w:t>Swift </w:t>
      </w:r>
      <w:r>
        <w:rPr>
          <w:rFonts w:ascii="Century Gothic"/>
          <w:b/>
          <w:color w:val="4D4D4D"/>
          <w:position w:val="1"/>
          <w:sz w:val="13"/>
        </w:rPr>
        <w:t>Blvd</w:t>
      </w:r>
    </w:p>
    <w:p>
      <w:pPr>
        <w:pStyle w:val="BodyText"/>
        <w:rPr>
          <w:rFonts w:ascii="Century Gothic"/>
          <w:b/>
          <w:sz w:val="16"/>
        </w:rPr>
      </w:pPr>
      <w:r>
        <w:rPr/>
        <w:br w:type="column"/>
      </w:r>
      <w:r>
        <w:rPr>
          <w:rFonts w:ascii="Century Gothic"/>
          <w:b/>
          <w:sz w:val="16"/>
        </w:rPr>
      </w:r>
    </w:p>
    <w:p>
      <w:pPr>
        <w:pStyle w:val="BodyText"/>
        <w:rPr>
          <w:rFonts w:ascii="Century Gothic"/>
          <w:b/>
          <w:sz w:val="16"/>
        </w:rPr>
      </w:pPr>
    </w:p>
    <w:p>
      <w:pPr>
        <w:pStyle w:val="BodyText"/>
        <w:spacing w:before="8"/>
        <w:rPr>
          <w:rFonts w:ascii="Century Gothic"/>
          <w:b/>
          <w:sz w:val="14"/>
        </w:rPr>
      </w:pPr>
    </w:p>
    <w:p>
      <w:pPr>
        <w:spacing w:before="0"/>
        <w:ind w:left="574" w:right="0" w:firstLine="0"/>
        <w:jc w:val="left"/>
        <w:rPr>
          <w:rFonts w:ascii="Century Gothic"/>
          <w:b/>
          <w:sz w:val="13"/>
        </w:rPr>
      </w:pPr>
      <w:r>
        <w:rPr/>
        <w:pict>
          <v:shape style="position:absolute;margin-left:442.63443pt;margin-top:-36.192196pt;width:10.35pt;height:32.0500pt;mso-position-horizontal-relative:page;mso-position-vertical-relative:paragraph;z-index:252084224" type="#_x0000_t202" filled="false" stroked="false">
            <v:textbox inset="0,0,0,0" style="layout-flow:vertical;mso-layout-flow-alt:bottom-to-top">
              <w:txbxContent>
                <w:p>
                  <w:pPr>
                    <w:spacing w:before="17"/>
                    <w:ind w:left="20" w:right="0" w:firstLine="0"/>
                    <w:jc w:val="left"/>
                    <w:rPr>
                      <w:rFonts w:ascii="Century Gothic"/>
                      <w:b/>
                      <w:sz w:val="13"/>
                    </w:rPr>
                  </w:pPr>
                  <w:r>
                    <w:rPr>
                      <w:rFonts w:ascii="Century Gothic"/>
                      <w:b/>
                      <w:color w:val="4D4D4D"/>
                      <w:sz w:val="13"/>
                    </w:rPr>
                    <w:t>Thayer </w:t>
                  </w:r>
                  <w:r>
                    <w:rPr>
                      <w:rFonts w:ascii="Century Gothic"/>
                      <w:b/>
                      <w:color w:val="4D4D4D"/>
                      <w:position w:val="1"/>
                      <w:sz w:val="13"/>
                    </w:rPr>
                    <w:t>Dr</w:t>
                  </w:r>
                </w:p>
              </w:txbxContent>
            </v:textbox>
            <w10:wrap type="none"/>
          </v:shape>
        </w:pict>
      </w:r>
      <w:r>
        <w:rPr>
          <w:rFonts w:ascii="Century Gothic"/>
          <w:b/>
          <w:color w:val="4D4D4D"/>
          <w:sz w:val="13"/>
        </w:rPr>
        <w:t>Lee Blvd</w:t>
      </w:r>
    </w:p>
    <w:p>
      <w:pPr>
        <w:spacing w:before="286"/>
        <w:ind w:left="37" w:right="0" w:firstLine="0"/>
        <w:jc w:val="left"/>
        <w:rPr>
          <w:rFonts w:ascii="Century Gothic"/>
          <w:b/>
          <w:sz w:val="13"/>
        </w:rPr>
      </w:pPr>
      <w:r>
        <w:rPr/>
        <w:br w:type="column"/>
      </w:r>
      <w:r>
        <w:rPr>
          <w:rFonts w:ascii="Century Gothic"/>
          <w:b/>
          <w:color w:val="4D4D4D"/>
          <w:spacing w:val="-52"/>
          <w:w w:val="99"/>
          <w:sz w:val="13"/>
        </w:rPr>
        <w:t>K</w:t>
      </w:r>
      <w:r>
        <w:rPr>
          <w:rFonts w:ascii="Arial"/>
          <w:color w:val="FFFF00"/>
          <w:spacing w:val="-253"/>
          <w:w w:val="251"/>
          <w:position w:val="-10"/>
          <w:sz w:val="36"/>
        </w:rPr>
        <w:t>!</w:t>
      </w:r>
      <w:r>
        <w:rPr>
          <w:rFonts w:ascii="Arial"/>
          <w:spacing w:val="-200"/>
          <w:w w:val="89"/>
          <w:position w:val="-11"/>
          <w:sz w:val="36"/>
        </w:rPr>
        <w:t>O</w:t>
      </w:r>
      <w:r>
        <w:rPr>
          <w:rFonts w:ascii="Century Gothic"/>
          <w:b/>
          <w:color w:val="4D4D4D"/>
          <w:spacing w:val="-4"/>
          <w:w w:val="99"/>
          <w:sz w:val="13"/>
        </w:rPr>
        <w:t>n</w:t>
      </w:r>
      <w:r>
        <w:rPr>
          <w:rFonts w:ascii="Century Gothic"/>
          <w:b/>
          <w:color w:val="4D4D4D"/>
          <w:spacing w:val="-1"/>
          <w:w w:val="99"/>
          <w:sz w:val="13"/>
        </w:rPr>
        <w:t>i</w:t>
      </w:r>
      <w:r>
        <w:rPr>
          <w:rFonts w:ascii="Century Gothic"/>
          <w:b/>
          <w:color w:val="4D4D4D"/>
          <w:spacing w:val="2"/>
          <w:w w:val="99"/>
          <w:sz w:val="13"/>
        </w:rPr>
        <w:t>g</w:t>
      </w:r>
      <w:r>
        <w:rPr>
          <w:rFonts w:ascii="Century Gothic"/>
          <w:b/>
          <w:color w:val="4D4D4D"/>
          <w:spacing w:val="-4"/>
          <w:w w:val="99"/>
          <w:sz w:val="13"/>
        </w:rPr>
        <w:t>h</w:t>
      </w:r>
      <w:r>
        <w:rPr>
          <w:rFonts w:ascii="Century Gothic"/>
          <w:b/>
          <w:color w:val="4D4D4D"/>
          <w:w w:val="99"/>
          <w:position w:val="1"/>
          <w:sz w:val="13"/>
        </w:rPr>
        <w:t>t</w:t>
      </w:r>
      <w:r>
        <w:rPr>
          <w:rFonts w:ascii="Century Gothic"/>
          <w:b/>
          <w:color w:val="4D4D4D"/>
          <w:spacing w:val="-2"/>
          <w:position w:val="1"/>
          <w:sz w:val="13"/>
        </w:rPr>
        <w:t> </w:t>
      </w:r>
      <w:r>
        <w:rPr>
          <w:rFonts w:ascii="Century Gothic"/>
          <w:b/>
          <w:color w:val="4D4D4D"/>
          <w:spacing w:val="1"/>
          <w:w w:val="99"/>
          <w:position w:val="1"/>
          <w:sz w:val="13"/>
        </w:rPr>
        <w:t>S</w:t>
      </w:r>
      <w:r>
        <w:rPr>
          <w:rFonts w:ascii="Century Gothic"/>
          <w:b/>
          <w:color w:val="4D4D4D"/>
          <w:w w:val="99"/>
          <w:position w:val="1"/>
          <w:sz w:val="13"/>
        </w:rPr>
        <w:t>t</w:t>
      </w:r>
    </w:p>
    <w:p>
      <w:pPr>
        <w:spacing w:after="0"/>
        <w:jc w:val="left"/>
        <w:rPr>
          <w:rFonts w:ascii="Century Gothic"/>
          <w:sz w:val="13"/>
        </w:rPr>
        <w:sectPr>
          <w:type w:val="continuous"/>
          <w:pgSz w:w="15840" w:h="24480"/>
          <w:pgMar w:top="1480" w:bottom="1320" w:left="0" w:right="0"/>
          <w:cols w:num="3" w:equalWidth="0">
            <w:col w:w="8496" w:space="40"/>
            <w:col w:w="1113" w:space="39"/>
            <w:col w:w="6152"/>
          </w:cols>
        </w:sectPr>
      </w:pPr>
    </w:p>
    <w:p>
      <w:pPr>
        <w:pStyle w:val="BodyText"/>
        <w:spacing w:before="5"/>
        <w:rPr>
          <w:rFonts w:ascii="Century Gothic"/>
          <w:b/>
          <w:sz w:val="27"/>
        </w:rPr>
      </w:pPr>
    </w:p>
    <w:p>
      <w:pPr>
        <w:spacing w:before="128"/>
        <w:ind w:left="0" w:right="2846" w:firstLine="0"/>
        <w:jc w:val="right"/>
        <w:rPr>
          <w:rFonts w:ascii="Arial" w:hAnsi="Arial"/>
          <w:b/>
          <w:sz w:val="11"/>
        </w:rPr>
      </w:pPr>
      <w:r>
        <w:rPr/>
        <w:pict>
          <v:shape style="position:absolute;margin-left:462.202393pt;margin-top:-8.619620pt;width:10.55pt;height:44.55pt;mso-position-horizontal-relative:page;mso-position-vertical-relative:paragraph;z-index:252086272"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Wellsi</w:t>
                  </w:r>
                  <w:r>
                    <w:rPr>
                      <w:rFonts w:ascii="Century Gothic"/>
                      <w:b/>
                      <w:color w:val="4D4D4D"/>
                      <w:position w:val="1"/>
                      <w:sz w:val="13"/>
                    </w:rPr>
                    <w:t>an Way</w:t>
                  </w:r>
                </w:p>
              </w:txbxContent>
            </v:textbox>
            <w10:wrap type="none"/>
          </v:shape>
        </w:pict>
      </w:r>
      <w:r>
        <w:rPr/>
        <w:pict>
          <v:shape style="position:absolute;margin-left:479.756866pt;margin-top:3.386204pt;width:10.5pt;height:39.7pt;mso-position-horizontal-relative:page;mso-position-vertical-relative:paragraph;z-index:252087296" type="#_x0000_t202" filled="false" stroked="false">
            <v:textbox inset="0,0,0,0" style="layout-flow:vertical;mso-layout-flow-alt:bottom-to-top">
              <w:txbxContent>
                <w:p>
                  <w:pPr>
                    <w:spacing w:before="20"/>
                    <w:ind w:left="20" w:right="0" w:firstLine="0"/>
                    <w:jc w:val="left"/>
                    <w:rPr>
                      <w:rFonts w:ascii="Century Gothic"/>
                      <w:b/>
                      <w:sz w:val="13"/>
                    </w:rPr>
                  </w:pPr>
                  <w:r>
                    <w:rPr>
                      <w:rFonts w:ascii="Century Gothic"/>
                      <w:b/>
                      <w:color w:val="4D4D4D"/>
                      <w:sz w:val="13"/>
                    </w:rPr>
                    <w:t>Goeth</w:t>
                  </w:r>
                  <w:r>
                    <w:rPr>
                      <w:rFonts w:ascii="Century Gothic"/>
                      <w:b/>
                      <w:color w:val="4D4D4D"/>
                      <w:position w:val="1"/>
                      <w:sz w:val="13"/>
                    </w:rPr>
                    <w:t>als Dr</w:t>
                  </w:r>
                </w:p>
              </w:txbxContent>
            </v:textbox>
            <w10:wrap type="none"/>
          </v:shape>
        </w:pict>
      </w:r>
      <w:r>
        <w:rPr/>
        <w:pict>
          <v:shape style="position:absolute;margin-left:388.979962pt;margin-top:12.990306pt;width:36.4pt;height:6.5pt;mso-position-horizontal-relative:page;mso-position-vertical-relative:paragraph;z-index:252098560;rotation:312" type="#_x0000_t136" fillcolor="#4d4d4d" stroked="f">
            <o:extrusion v:ext="view" autorotationcenter="t"/>
            <v:textpath style="font-family:&quot;Century Gothic&quot;;font-size:6pt;v-text-kern:t;mso-text-shadow:auto;font-weight:bold" string="Duportail St"/>
            <w10:wrap type="none"/>
          </v:shape>
        </w:pict>
      </w:r>
      <w:r>
        <w:rPr/>
        <w:pict>
          <v:shape style="position:absolute;margin-left:492.935638pt;margin-top:25.838457pt;width:40.4pt;height:6.5pt;mso-position-horizontal-relative:page;mso-position-vertical-relative:paragraph;z-index:252100608;rotation:354" type="#_x0000_t136" fillcolor="#4d4d4d" stroked="f">
            <o:extrusion v:ext="view" autorotationcenter="t"/>
            <v:textpath style="font-family:&quot;Century Gothic&quot;;font-size:6pt;v-text-kern:t;mso-text-shadow:auto;font-weight:bold" string="Comstock St"/>
            <w10:wrap type="none"/>
          </v:shape>
        </w:pict>
      </w:r>
      <w:r>
        <w:rPr>
          <w:rFonts w:ascii="Arial" w:hAnsi="Arial"/>
          <w:color w:val="FF0000"/>
          <w:spacing w:val="-283"/>
          <w:w w:val="126"/>
          <w:position w:val="-8"/>
          <w:sz w:val="40"/>
        </w:rPr>
        <w:t>§</w:t>
      </w:r>
      <w:r>
        <w:rPr>
          <w:rFonts w:ascii="Arial" w:hAnsi="Arial"/>
          <w:spacing w:val="-283"/>
          <w:w w:val="271"/>
          <w:position w:val="-8"/>
          <w:sz w:val="40"/>
        </w:rPr>
        <w:t>¦</w:t>
      </w:r>
      <w:r>
        <w:rPr>
          <w:rFonts w:ascii="Arial" w:hAnsi="Arial"/>
          <w:color w:val="0000FF"/>
          <w:spacing w:val="-237"/>
          <w:w w:val="211"/>
          <w:position w:val="-8"/>
          <w:sz w:val="40"/>
        </w:rPr>
        <w:t>¨</w:t>
      </w:r>
      <w:r>
        <w:rPr>
          <w:rFonts w:ascii="Arial" w:hAnsi="Arial"/>
          <w:b/>
          <w:color w:val="FFFFFF"/>
          <w:spacing w:val="-2"/>
          <w:w w:val="104"/>
          <w:sz w:val="11"/>
        </w:rPr>
        <w:t>1</w:t>
      </w:r>
      <w:r>
        <w:rPr>
          <w:rFonts w:ascii="Arial" w:hAnsi="Arial"/>
          <w:b/>
          <w:color w:val="FFFFFF"/>
          <w:spacing w:val="3"/>
          <w:w w:val="104"/>
          <w:sz w:val="11"/>
        </w:rPr>
        <w:t>8</w:t>
      </w:r>
      <w:r>
        <w:rPr>
          <w:rFonts w:ascii="Arial" w:hAnsi="Arial"/>
          <w:b/>
          <w:color w:val="FFFFFF"/>
          <w:w w:val="104"/>
          <w:sz w:val="11"/>
        </w:rPr>
        <w:t>2</w:t>
      </w:r>
    </w:p>
    <w:p>
      <w:pPr>
        <w:pStyle w:val="BodyText"/>
        <w:spacing w:before="7"/>
        <w:rPr>
          <w:rFonts w:ascii="Arial"/>
          <w:b/>
          <w:sz w:val="27"/>
        </w:rPr>
      </w:pPr>
    </w:p>
    <w:p>
      <w:pPr>
        <w:spacing w:before="98"/>
        <w:ind w:left="8130" w:right="3862" w:firstLine="0"/>
        <w:jc w:val="center"/>
        <w:rPr>
          <w:rFonts w:ascii="Century Gothic"/>
          <w:b/>
          <w:sz w:val="13"/>
        </w:rPr>
      </w:pPr>
      <w:r>
        <w:rPr/>
        <w:pict>
          <v:shape style="position:absolute;margin-left:319.664154pt;margin-top:21.164585pt;width:38.9pt;height:6.5pt;mso-position-horizontal-relative:page;mso-position-vertical-relative:paragraph;z-index:252068864;rotation:13" type="#_x0000_t136" fillcolor="#4d4d4d" stroked="f">
            <o:extrusion v:ext="view" autorotationcenter="t"/>
            <v:textpath style="font-family:&quot;Century Gothic&quot;;font-size:6pt;v-text-kern:t;mso-text-shadow:auto;font-weight:bold" string="Kennedy Rd"/>
            <w10:wrap type="none"/>
          </v:shape>
        </w:pict>
      </w:r>
      <w:r>
        <w:rPr/>
        <w:pict>
          <v:shape style="position:absolute;margin-left:388.065552pt;margin-top:42.890331pt;width:48.75pt;height:6.5pt;mso-position-horizontal-relative:page;mso-position-vertical-relative:paragraph;z-index:252075008;rotation:64" type="#_x0000_t136" fillcolor="#4d4d4d" stroked="f">
            <o:extrusion v:ext="view" autorotationcenter="t"/>
            <v:textpath style="font-family:&quot;Century Gothic&quot;;font-size:6pt;v-text-kern:t;mso-text-shadow:auto;font-weight:bold" string="Queensgate Dr"/>
            <w10:wrap type="none"/>
          </v:shape>
        </w:pict>
      </w:r>
      <w:r>
        <w:rPr/>
        <w:pict>
          <v:shape style="position:absolute;margin-left:340.233093pt;margin-top:35.487503pt;width:36.4pt;height:6.5pt;mso-position-horizontal-relative:page;mso-position-vertical-relative:paragraph;z-index:252099584;rotation:334" type="#_x0000_t136" fillcolor="#4d4d4d" stroked="f">
            <o:extrusion v:ext="view" autorotationcenter="t"/>
            <v:textpath style="font-family:&quot;Century Gothic&quot;;font-size:6pt;v-text-kern:t;mso-text-shadow:auto;font-weight:bold" string="Duportail St"/>
            <w10:wrap type="none"/>
          </v:shape>
        </w:pict>
      </w:r>
      <w:r>
        <w:rPr>
          <w:rFonts w:ascii="Century Gothic"/>
          <w:b/>
          <w:color w:val="4D4D4D"/>
          <w:sz w:val="13"/>
        </w:rPr>
        <w:t>Aaron </w:t>
      </w:r>
      <w:r>
        <w:rPr>
          <w:rFonts w:ascii="Century Gothic"/>
          <w:b/>
          <w:color w:val="4D4D4D"/>
          <w:position w:val="1"/>
          <w:sz w:val="13"/>
        </w:rPr>
        <w:t>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5"/>
        <w:rPr>
          <w:rFonts w:ascii="Century Gothic"/>
          <w:b/>
          <w:sz w:val="24"/>
        </w:rPr>
      </w:pPr>
    </w:p>
    <w:p>
      <w:pPr>
        <w:spacing w:after="0"/>
        <w:rPr>
          <w:rFonts w:ascii="Century Gothic"/>
          <w:sz w:val="24"/>
        </w:rPr>
        <w:sectPr>
          <w:type w:val="continuous"/>
          <w:pgSz w:w="15840" w:h="24480"/>
          <w:pgMar w:top="1480" w:bottom="1320" w:left="0" w:right="0"/>
        </w:sectPr>
      </w:pPr>
    </w:p>
    <w:p>
      <w:pPr>
        <w:spacing w:line="460" w:lineRule="exact" w:before="272"/>
        <w:ind w:left="0" w:right="38" w:firstLine="0"/>
        <w:jc w:val="right"/>
        <w:rPr>
          <w:rFonts w:ascii="Arial" w:hAnsi="Arial"/>
          <w:b/>
          <w:sz w:val="11"/>
        </w:rPr>
      </w:pPr>
      <w:r>
        <w:rPr/>
        <w:pict>
          <v:shape style="position:absolute;margin-left:560.040649pt;margin-top:41.594982pt;width:56.2pt;height:6.5pt;mso-position-horizontal-relative:page;mso-position-vertical-relative:paragraph;z-index:252069888;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482.370117pt;margin-top:53.89954pt;width:44.7pt;height:6.5pt;mso-position-horizontal-relative:page;mso-position-vertical-relative:paragraph;z-index:252101632;rotation:358" type="#_x0000_t136" fillcolor="#4d4d4d" stroked="f">
            <o:extrusion v:ext="view" autorotationcenter="t"/>
            <v:textpath style="font-family:&quot;Century Gothic&quot;;font-size:6pt;v-text-kern:t;mso-text-shadow:auto;font-weight:bold" string="Englewood Dr"/>
            <w10:wrap type="none"/>
          </v:shape>
        </w:pict>
      </w:r>
      <w:r>
        <w:rPr>
          <w:rFonts w:ascii="Arial" w:hAnsi="Arial"/>
          <w:color w:val="FF0000"/>
          <w:spacing w:val="-283"/>
          <w:w w:val="126"/>
          <w:position w:val="-8"/>
          <w:sz w:val="40"/>
        </w:rPr>
        <w:t>§</w:t>
      </w:r>
      <w:r>
        <w:rPr>
          <w:rFonts w:ascii="Arial" w:hAnsi="Arial"/>
          <w:spacing w:val="-283"/>
          <w:w w:val="271"/>
          <w:position w:val="-9"/>
          <w:sz w:val="40"/>
        </w:rPr>
        <w:t>¦</w:t>
      </w:r>
      <w:r>
        <w:rPr>
          <w:rFonts w:ascii="Arial" w:hAnsi="Arial"/>
          <w:color w:val="0000FF"/>
          <w:spacing w:val="-237"/>
          <w:w w:val="211"/>
          <w:position w:val="-9"/>
          <w:sz w:val="40"/>
        </w:rPr>
        <w:t>¨</w:t>
      </w:r>
      <w:r>
        <w:rPr>
          <w:rFonts w:ascii="Arial" w:hAnsi="Arial"/>
          <w:b/>
          <w:color w:val="FFFFFF"/>
          <w:spacing w:val="-2"/>
          <w:w w:val="104"/>
          <w:sz w:val="11"/>
        </w:rPr>
        <w:t>1</w:t>
      </w:r>
      <w:r>
        <w:rPr>
          <w:rFonts w:ascii="Arial" w:hAnsi="Arial"/>
          <w:b/>
          <w:color w:val="FFFFFF"/>
          <w:spacing w:val="3"/>
          <w:w w:val="104"/>
          <w:sz w:val="11"/>
        </w:rPr>
        <w:t>8</w:t>
      </w:r>
      <w:r>
        <w:rPr>
          <w:rFonts w:ascii="Arial" w:hAnsi="Arial"/>
          <w:b/>
          <w:color w:val="FFFFFF"/>
          <w:w w:val="104"/>
          <w:sz w:val="11"/>
        </w:rPr>
        <w:t>2</w:t>
      </w:r>
    </w:p>
    <w:p>
      <w:pPr>
        <w:spacing w:before="53"/>
        <w:ind w:left="5613" w:right="3781" w:firstLine="0"/>
        <w:jc w:val="center"/>
        <w:rPr>
          <w:rFonts w:ascii="Arial"/>
          <w:b/>
          <w:sz w:val="13"/>
        </w:rPr>
      </w:pPr>
      <w:r>
        <w:rPr/>
        <w:br w:type="column"/>
      </w:r>
      <w:r>
        <w:rPr>
          <w:rFonts w:ascii="Arial Black"/>
          <w:color w:val="FFFFFF"/>
          <w:spacing w:val="-283"/>
          <w:w w:val="99"/>
          <w:position w:val="-3"/>
          <w:sz w:val="34"/>
        </w:rPr>
        <w:t>U</w:t>
      </w:r>
      <w:r>
        <w:rPr>
          <w:rFonts w:ascii="Arial Black"/>
          <w:spacing w:val="-251"/>
          <w:w w:val="106"/>
          <w:position w:val="-3"/>
          <w:sz w:val="34"/>
        </w:rPr>
        <w:t>V</w:t>
      </w:r>
      <w:r>
        <w:rPr>
          <w:rFonts w:ascii="Arial"/>
          <w:b/>
          <w:spacing w:val="-1"/>
          <w:w w:val="99"/>
          <w:sz w:val="13"/>
        </w:rPr>
        <w:t>2</w:t>
      </w:r>
      <w:r>
        <w:rPr>
          <w:rFonts w:ascii="Arial"/>
          <w:b/>
          <w:spacing w:val="4"/>
          <w:w w:val="99"/>
          <w:sz w:val="13"/>
        </w:rPr>
        <w:t>4</w:t>
      </w:r>
      <w:r>
        <w:rPr>
          <w:rFonts w:ascii="Arial"/>
          <w:b/>
          <w:w w:val="99"/>
          <w:sz w:val="13"/>
        </w:rPr>
        <w:t>0</w:t>
      </w:r>
    </w:p>
    <w:p>
      <w:pPr>
        <w:spacing w:after="0"/>
        <w:jc w:val="center"/>
        <w:rPr>
          <w:rFonts w:ascii="Arial"/>
          <w:sz w:val="13"/>
        </w:rPr>
        <w:sectPr>
          <w:type w:val="continuous"/>
          <w:pgSz w:w="15840" w:h="24480"/>
          <w:pgMar w:top="1480" w:bottom="1320" w:left="0" w:right="0"/>
          <w:cols w:num="2" w:equalWidth="0">
            <w:col w:w="5913" w:space="241"/>
            <w:col w:w="9686"/>
          </w:cols>
        </w:sectPr>
      </w:pPr>
    </w:p>
    <w:p>
      <w:pPr>
        <w:pStyle w:val="BodyText"/>
        <w:rPr>
          <w:rFonts w:ascii="Arial"/>
          <w:b/>
          <w:sz w:val="40"/>
        </w:rPr>
      </w:pPr>
    </w:p>
    <w:p>
      <w:pPr>
        <w:pStyle w:val="BodyText"/>
        <w:spacing w:before="9"/>
        <w:rPr>
          <w:rFonts w:ascii="Arial"/>
          <w:b/>
          <w:sz w:val="58"/>
        </w:rPr>
      </w:pPr>
    </w:p>
    <w:p>
      <w:pPr>
        <w:spacing w:before="0"/>
        <w:ind w:left="0" w:right="0" w:firstLine="0"/>
        <w:jc w:val="right"/>
        <w:rPr>
          <w:rFonts w:ascii="Arial"/>
          <w:sz w:val="36"/>
        </w:rPr>
      </w:pPr>
      <w:r>
        <w:rPr/>
        <w:pict>
          <v:shape style="position:absolute;margin-left:663.76062pt;margin-top:-21.264826pt;width:28.2pt;height:6.5pt;mso-position-horizontal-relative:page;mso-position-vertical-relative:paragraph;z-index:252067840;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555.727295pt;margin-top:20.247911pt;width:34.1pt;height:6.5pt;mso-position-horizontal-relative:page;mso-position-vertical-relative:paragraph;z-index:252102656;rotation:359" type="#_x0000_t136" fillcolor="#4d4d4d" stroked="f">
            <o:extrusion v:ext="view" autorotationcenter="t"/>
            <v:textpath style="font-family:&quot;Century Gothic&quot;;font-size:6pt;v-text-kern:t;mso-text-shadow:auto;font-weight:bold" string="Gage Blvd"/>
            <w10:wrap type="none"/>
          </v:shape>
        </w:pict>
      </w:r>
      <w:r>
        <w:rPr>
          <w:rFonts w:ascii="Arial"/>
          <w:spacing w:val="-268"/>
          <w:w w:val="150"/>
          <w:sz w:val="40"/>
        </w:rPr>
        <w:t>^</w:t>
      </w:r>
      <w:r>
        <w:rPr>
          <w:rFonts w:ascii="Arial"/>
          <w:color w:val="FFFF00"/>
          <w:spacing w:val="-253"/>
          <w:w w:val="251"/>
          <w:position w:val="1"/>
          <w:sz w:val="36"/>
        </w:rPr>
        <w:t>!</w:t>
      </w:r>
      <w:r>
        <w:rPr>
          <w:rFonts w:ascii="Arial"/>
          <w:w w:val="210"/>
          <w:sz w:val="36"/>
        </w:rPr>
        <w:t>(</w:t>
      </w:r>
    </w:p>
    <w:p>
      <w:pPr>
        <w:pStyle w:val="BodyText"/>
        <w:spacing w:before="10"/>
        <w:rPr>
          <w:rFonts w:ascii="Arial"/>
          <w:sz w:val="29"/>
        </w:rPr>
      </w:pPr>
      <w:r>
        <w:rPr/>
        <w:br w:type="column"/>
      </w:r>
      <w:r>
        <w:rPr>
          <w:rFonts w:ascii="Arial"/>
          <w:sz w:val="29"/>
        </w:rPr>
      </w:r>
    </w:p>
    <w:p>
      <w:pPr>
        <w:spacing w:before="1"/>
        <w:ind w:left="190" w:right="0" w:firstLine="0"/>
        <w:jc w:val="left"/>
        <w:rPr>
          <w:rFonts w:ascii="Arial"/>
          <w:sz w:val="19"/>
        </w:rPr>
      </w:pPr>
      <w:r>
        <w:rPr>
          <w:rFonts w:ascii="Arial"/>
          <w:w w:val="105"/>
          <w:sz w:val="19"/>
        </w:rPr>
        <w:t>Richland City Limits</w:t>
      </w:r>
    </w:p>
    <w:p>
      <w:pPr>
        <w:spacing w:before="132"/>
        <w:ind w:left="190" w:right="0" w:firstLine="0"/>
        <w:jc w:val="left"/>
        <w:rPr>
          <w:rFonts w:ascii="Arial"/>
          <w:sz w:val="19"/>
        </w:rPr>
      </w:pPr>
      <w:r>
        <w:rPr>
          <w:rFonts w:ascii="Arial"/>
          <w:w w:val="105"/>
          <w:sz w:val="19"/>
        </w:rPr>
        <w:t>Urban Growth Area</w:t>
      </w:r>
    </w:p>
    <w:p>
      <w:pPr>
        <w:spacing w:line="252" w:lineRule="auto" w:before="127"/>
        <w:ind w:left="190" w:right="355" w:firstLine="0"/>
        <w:jc w:val="left"/>
        <w:rPr>
          <w:rFonts w:ascii="Arial"/>
          <w:sz w:val="19"/>
        </w:rPr>
      </w:pPr>
      <w:r>
        <w:rPr/>
        <w:pict>
          <v:shape style="position:absolute;margin-left:234.330185pt;margin-top:39.174984pt;width:10.3pt;height:31.6pt;mso-position-horizontal-relative:page;mso-position-vertical-relative:paragraph;z-index:-267958272" type="#_x0000_t202" filled="false" stroked="false">
            <v:textbox inset="0,0,0,0" style="layout-flow:vertical;mso-layout-flow-alt:bottom-to-top">
              <w:txbxContent>
                <w:p>
                  <w:pPr>
                    <w:spacing w:before="15"/>
                    <w:ind w:left="20" w:right="0" w:firstLine="0"/>
                    <w:jc w:val="left"/>
                    <w:rPr>
                      <w:rFonts w:ascii="Century Gothic"/>
                      <w:b/>
                      <w:sz w:val="13"/>
                    </w:rPr>
                  </w:pPr>
                  <w:r>
                    <w:rPr>
                      <w:rFonts w:ascii="Century Gothic"/>
                      <w:b/>
                      <w:color w:val="4D4D4D"/>
                      <w:position w:val="1"/>
                      <w:sz w:val="13"/>
                    </w:rPr>
                    <w:t>D</w:t>
                  </w:r>
                  <w:r>
                    <w:rPr>
                      <w:rFonts w:ascii="Century Gothic"/>
                      <w:b/>
                      <w:color w:val="4D4D4D"/>
                      <w:sz w:val="13"/>
                    </w:rPr>
                    <w:t>allas Rd</w:t>
                  </w:r>
                </w:p>
              </w:txbxContent>
            </v:textbox>
            <w10:wrap type="none"/>
          </v:shape>
        </w:pict>
      </w:r>
      <w:r>
        <w:rPr/>
        <w:pict>
          <v:shape style="position:absolute;margin-left:537.188843pt;margin-top:51.265175pt;width:10.35pt;height:29.7pt;mso-position-horizontal-relative:page;mso-position-vertical-relative:paragraph;z-index:252088320" type="#_x0000_t202" filled="false" stroked="false">
            <v:textbox inset="0,0,0,0" style="layout-flow:vertical;mso-layout-flow-alt:bottom-to-top">
              <w:txbxContent>
                <w:p>
                  <w:pPr>
                    <w:spacing w:before="16"/>
                    <w:ind w:left="20" w:right="0" w:firstLine="0"/>
                    <w:jc w:val="left"/>
                    <w:rPr>
                      <w:rFonts w:ascii="Century Gothic"/>
                      <w:b/>
                      <w:sz w:val="13"/>
                    </w:rPr>
                  </w:pPr>
                  <w:r>
                    <w:rPr>
                      <w:rFonts w:ascii="Century Gothic"/>
                      <w:b/>
                      <w:color w:val="4D4D4D"/>
                      <w:position w:val="1"/>
                      <w:sz w:val="13"/>
                    </w:rPr>
                    <w:t>Le</w:t>
                  </w:r>
                  <w:r>
                    <w:rPr>
                      <w:rFonts w:ascii="Century Gothic"/>
                      <w:b/>
                      <w:color w:val="4D4D4D"/>
                      <w:sz w:val="13"/>
                    </w:rPr>
                    <w:t>slie Rd</w:t>
                  </w:r>
                </w:p>
              </w:txbxContent>
            </v:textbox>
            <w10:wrap type="none"/>
          </v:shape>
        </w:pict>
      </w:r>
      <w:r>
        <w:rPr>
          <w:rFonts w:ascii="Arial"/>
          <w:w w:val="105"/>
          <w:sz w:val="19"/>
        </w:rPr>
        <w:t>Maintenance, Operations, and Administration</w:t>
      </w:r>
    </w:p>
    <w:p>
      <w:pPr>
        <w:spacing w:line="169" w:lineRule="exact" w:before="0"/>
        <w:ind w:left="1327" w:right="0" w:firstLine="0"/>
        <w:jc w:val="left"/>
        <w:rPr>
          <w:rFonts w:ascii="Century Gothic"/>
          <w:b/>
          <w:sz w:val="13"/>
        </w:rPr>
      </w:pPr>
      <w:r>
        <w:rPr/>
        <w:br w:type="column"/>
      </w:r>
      <w:r>
        <w:rPr>
          <w:rFonts w:ascii="Century Gothic"/>
          <w:b/>
          <w:color w:val="4D4D4D"/>
          <w:sz w:val="13"/>
        </w:rPr>
        <w:t>Shockl</w:t>
      </w:r>
      <w:r>
        <w:rPr>
          <w:rFonts w:ascii="Century Gothic"/>
          <w:b/>
          <w:color w:val="4D4D4D"/>
          <w:position w:val="1"/>
          <w:sz w:val="13"/>
        </w:rPr>
        <w:t>ey Rd</w:t>
      </w:r>
    </w:p>
    <w:p>
      <w:pPr>
        <w:pStyle w:val="BodyText"/>
        <w:rPr>
          <w:rFonts w:ascii="Century Gothic"/>
          <w:b/>
          <w:sz w:val="16"/>
        </w:rPr>
      </w:pPr>
    </w:p>
    <w:p>
      <w:pPr>
        <w:pStyle w:val="BodyText"/>
        <w:spacing w:before="8"/>
        <w:rPr>
          <w:rFonts w:ascii="Century Gothic"/>
          <w:b/>
          <w:sz w:val="19"/>
        </w:rPr>
      </w:pPr>
    </w:p>
    <w:p>
      <w:pPr>
        <w:spacing w:before="0"/>
        <w:ind w:left="1619" w:right="0" w:firstLine="0"/>
        <w:jc w:val="left"/>
        <w:rPr>
          <w:rFonts w:ascii="Century Gothic"/>
          <w:b/>
          <w:sz w:val="13"/>
        </w:rPr>
      </w:pPr>
      <w:r>
        <w:rPr/>
        <w:pict>
          <v:shape style="position:absolute;margin-left:639.558716pt;margin-top:29.190903pt;width:32.4500pt;height:6.5pt;mso-position-horizontal-relative:page;mso-position-vertical-relative:paragraph;z-index:252070912;rotation:25" type="#_x0000_t136" fillcolor="#4d4d4d" stroked="f">
            <o:extrusion v:ext="view" autorotationcenter="t"/>
            <v:textpath style="font-family:&quot;Century Gothic&quot;;font-size:6pt;v-text-kern:t;mso-text-shadow:auto;font-weight:bold" string="Tapteal Dr"/>
            <w10:wrap type="none"/>
          </v:shape>
        </w:pict>
      </w:r>
      <w:r>
        <w:rPr/>
        <w:pict>
          <v:shape style="position:absolute;margin-left:448.480804pt;margin-top:45.177795pt;width:31.15pt;height:6.5pt;mso-position-horizontal-relative:page;mso-position-vertical-relative:paragraph;z-index:252071936;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446.403717pt;margin-top:-22.956816pt;width:31pt;height:6.5pt;mso-position-horizontal-relative:page;mso-position-vertical-relative:paragraph;z-index:252072960;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438.594385pt;margin-top:-14.131109pt;width:22.05pt;height:6.5pt;mso-position-horizontal-relative:page;mso-position-vertical-relative:paragraph;z-index:252073984;rotation:48" type="#_x0000_t136" fillcolor="#4d4d4d" stroked="f">
            <o:extrusion v:ext="view" autorotationcenter="t"/>
            <v:textpath style="font-family:&quot;Century Gothic&quot;;font-size:6pt;v-text-kern:t;mso-text-shadow:auto;font-weight:bold" string="Fuji Wy"/>
            <w10:wrap type="none"/>
          </v:shape>
        </w:pict>
      </w:r>
      <w:r>
        <w:rPr/>
        <w:pict>
          <v:shape style="position:absolute;margin-left:615.799438pt;margin-top:8.140574pt;width:10.6pt;height:34.1pt;mso-position-horizontal-relative:page;mso-position-vertical-relative:paragraph;z-index:252089344"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sz w:val="13"/>
                    </w:rPr>
                    <w:t>Step</w:t>
                  </w:r>
                  <w:r>
                    <w:rPr>
                      <w:rFonts w:ascii="Century Gothic"/>
                      <w:b/>
                      <w:color w:val="4D4D4D"/>
                      <w:position w:val="1"/>
                      <w:sz w:val="13"/>
                    </w:rPr>
                    <w:t>toe St</w:t>
                  </w:r>
                </w:p>
              </w:txbxContent>
            </v:textbox>
            <w10:wrap type="none"/>
          </v:shape>
        </w:pict>
      </w:r>
      <w:r>
        <w:rPr/>
        <w:pict>
          <v:shape style="position:absolute;margin-left:448.159839pt;margin-top:19.621591pt;width:27.6pt;height:6.5pt;mso-position-horizontal-relative:page;mso-position-vertical-relative:paragraph;z-index:252092416;rotation:272" type="#_x0000_t136" fillcolor="#4d4d4d" stroked="f">
            <o:extrusion v:ext="view" autorotationcenter="t"/>
            <v:textpath style="font-family:&quot;Century Gothic&quot;;font-size:6pt;v-text-kern:t;mso-text-shadow:auto;font-weight:bold" string="Gala Wy"/>
            <w10:wrap type="none"/>
          </v:shape>
        </w:pict>
      </w:r>
      <w:r>
        <w:rPr>
          <w:rFonts w:ascii="Century Gothic"/>
          <w:b/>
          <w:color w:val="4D4D4D"/>
          <w:sz w:val="13"/>
        </w:rPr>
        <w:t>Westcliffe Blvd</w:t>
      </w:r>
    </w:p>
    <w:p>
      <w:pPr>
        <w:spacing w:before="186"/>
        <w:ind w:left="1327" w:right="0" w:firstLine="0"/>
        <w:jc w:val="left"/>
        <w:rPr>
          <w:rFonts w:ascii="Arial"/>
          <w:sz w:val="36"/>
        </w:rPr>
      </w:pPr>
      <w:r>
        <w:rPr/>
        <w:br w:type="column"/>
      </w:r>
      <w:r>
        <w:rPr>
          <w:rFonts w:ascii="Arial"/>
          <w:spacing w:val="-268"/>
          <w:w w:val="150"/>
          <w:sz w:val="40"/>
        </w:rPr>
        <w:t>^</w:t>
      </w:r>
      <w:r>
        <w:rPr>
          <w:rFonts w:ascii="Arial"/>
          <w:color w:val="FFFF00"/>
          <w:spacing w:val="-253"/>
          <w:w w:val="251"/>
          <w:position w:val="1"/>
          <w:sz w:val="36"/>
        </w:rPr>
        <w:t>!</w:t>
      </w:r>
      <w:r>
        <w:rPr>
          <w:rFonts w:ascii="Arial"/>
          <w:w w:val="210"/>
          <w:sz w:val="36"/>
        </w:rPr>
        <w:t>(</w:t>
      </w:r>
    </w:p>
    <w:p>
      <w:pPr>
        <w:spacing w:after="0"/>
        <w:jc w:val="left"/>
        <w:rPr>
          <w:rFonts w:ascii="Arial"/>
          <w:sz w:val="36"/>
        </w:rPr>
        <w:sectPr>
          <w:type w:val="continuous"/>
          <w:pgSz w:w="15840" w:h="24480"/>
          <w:pgMar w:top="1480" w:bottom="1320" w:left="0" w:right="0"/>
          <w:cols w:num="4" w:equalWidth="0">
            <w:col w:w="1594" w:space="40"/>
            <w:col w:w="1985" w:space="3080"/>
            <w:col w:w="2581" w:space="2092"/>
            <w:col w:w="4468"/>
          </w:cols>
        </w:sectPr>
      </w:pPr>
    </w:p>
    <w:p>
      <w:pPr>
        <w:tabs>
          <w:tab w:pos="1824" w:val="left" w:leader="none"/>
          <w:tab w:pos="5414" w:val="left" w:leader="none"/>
        </w:tabs>
        <w:spacing w:before="18"/>
        <w:ind w:left="1341" w:right="0" w:firstLine="0"/>
        <w:jc w:val="left"/>
        <w:rPr>
          <w:rFonts w:ascii="Arial"/>
          <w:sz w:val="19"/>
        </w:rPr>
      </w:pPr>
      <w:r>
        <w:rPr/>
        <w:pict>
          <v:group style="position:absolute;margin-left:35.041752pt;margin-top:35.519627pt;width:722.2pt;height:1152.95pt;mso-position-horizontal-relative:page;mso-position-vertical-relative:page;z-index:-267971584" coordorigin="701,710" coordsize="14444,23059">
            <v:rect style="position:absolute;left:720;top:2879;width:14401;height:20880" filled="true" fillcolor="#e5e2cf" stroked="false">
              <v:fill type="solid"/>
            </v:rect>
            <v:shape style="position:absolute;left:892;top:3273;width:13998;height:19858" type="#_x0000_t75" stroked="false">
              <v:imagedata r:id="rId229" o:title=""/>
            </v:shape>
            <v:shape style="position:absolute;left:1545;top:5092;width:8055;height:1589" coordorigin="1546,5093" coordsize="8055,1589" path="m1546,5093l6648,6667m6648,6667l6653,6667,6658,6672,6663,6672,6668,6672,6672,6672,6677,6677,6682,6677,6687,6677,6692,6677,6696,6677,6701,6682,6706,6682,6711,6682,6716,6682,6720,6682,6725,6682,6730,6682,6735,6682,6740,6682m6740,6682l9303,6672,9303,6667,9380,6667,9384,6658,9384,6653,9432,6653,9428,5952,9437,5918,9600,5962e" filled="false" stroked="true" strokeweight="3.12016pt" strokecolor="#cccccc">
              <v:path arrowok="t"/>
              <v:stroke dashstyle="solid"/>
            </v:shape>
            <v:shape style="position:absolute;left:9569;top:5930;width:197;height:154" type="#_x0000_t75" stroked="false">
              <v:imagedata r:id="rId177" o:title=""/>
            </v:shape>
            <v:shape style="position:absolute;left:9734;top:6052;width:5137;height:13335" coordorigin="9735,6053" coordsize="5137,13335" path="m9735,6053l10138,6590m10138,6590l10153,6614m10153,6614l10210,6610,10537,6605,10652,6605,10657,6605,11060,6600,11084,6634,11132,6730,11223,6854,11333,7027,11372,7133,11429,7325,11458,7421,11477,7483,11501,7579,11511,7632,11535,7738,11559,7834,11597,7930,11621,8016,11641,8112,11669,8218,11703,8371,11722,8448,11775,8947,11924,10128,11943,10305,11953,10397,11948,10637,11919,10881,11857,11088,11765,11313,11665,11496,11612,11597,11559,11717,11477,11885,11405,12067,11338,12235,11261,12432,11161,12609,11079,12739,11012,12873,10925,13056,10873,13200,10796,13401,10753,13598,10738,13877,10724,14131,10757,14333,10796,14539,10853,14712,10949,14889m10949,14889l10954,14894,10954,14899,10959,14904,10959,14909,10964,14913,10969,14918,10969,14923,10973,14928,10978,14933,10978,14937,10983,14942,10988,14947,10988,14952,10993,14957,10997,14961,11002,14966,11002,14971,11007,14976,11012,14981,11017,14985,11017,14990,11021,14995,11026,15000,11031,15005,11036,15009,11041,15014,11045,15019,11050,15024,11055,15029,11060,15033,11065,15038,11069,15043,11074,15048,11079,15053,11084,15057,11089,15062,11093,15067,11098,15072,11103,15077,11108,15077,11113,15081,11117,15086,11122,15091,11127,15091,11132,15096,11137,15101,11141,15105,11146,15105,11151,15110,11156,15115,11161,15115,11165,15120,11170,15125,11175,15125,11180,15129,11185,15134,11189,15134,11194,15139,11199,15139,11204,15144,11209,15144,11213,15149,11218,15153,11223,15153,11228,15158,11233,15158,11237,15163,11242,15163,11247,15163,11252,15168,11257,15168,11261,15173,11266,15173,11271,15177,11276,15177,11281,15177,11285,15182,11290,15182,11295,15187,11300,15187,11305,15187,11309,15192,11314,15192,11319,15192,11324,15197,11329,15197,11333,15197,11338,15201,11343,15201,11348,15201,11353,15201,11357,15206,11362,15206,11367,15206,11372,15206,11377,15206m11377,15206l11381,15211,11386,15211,11391,15211,11396,15211,11401,15216,11405,15216,11410,15216,11415,15216,11420,15221,11425,15221,11429,15221,11434,15225,11439,15225,11444,15225,11449,15225,11453,15230,11458,15230,11463,15230,11468,15230,11473,15235,11477,15235,11482,15235,11487,15235,11492,15240,11497,15240,11501,15240,11506,15245,11511,15245,11516,15245,11521,15245,11525,15249,11530,15249,11535,15249,11540,15254,11545,15254,11549,15254,11554,15259,11559,15259,11564,15259,11569,15259,11573,15264,11578,15264,11583,15264,11588,15269,11593,15269,11597,15269,11602,15273,11607,15273,11612,15273,11617,15273,11621,15278,11626,15278,11631,15278,11636,15283,11641,15283,11645,15283,11650,15288,11655,15288,11660,15288,11665,15293,11669,15293,11674,15293,11679,15297,11684,15297,11689,15297,11693,15302,11698,15302,11703,15302,11708,15307,11713,15307,11717,15307,11722,15312,11727,15312,11732,15312,11737,15317,11741,15317,11746,15317,11751,15321,11756,15321,11761,15326,11765,15326,11770,15326,11775,15331,11780,15331,11785,15331,11789,15336,11794,15336,11799,15336,11804,15341,11809,15341,11813,15341,11818,15345,11823,15345,11828,15350,11833,15350,11837,15350,11842,15355,11847,15355,11852,15360,11857,15360,11861,15360,11866,15365,11871,15365,11876,15365,11881,15369,11885,15369,11890,15374,11895,15374,11900,15374,11905,15379,11909,15379,11914,15384,11919,15384,11924,15384,11929,15389,11933,15389,11938,15393,11943,15393,11948,15393,11953,15398,11957,15398,11962,15403,11967,15403,11972,15408,11977,15408,11981,15408,11986,15413,11991,15413,11996,15417,12001,15417,12005,15417,12010,15422,12015,15422,12020,15427,12025,15427,12029,15432,12034,15432,12039,15432,12044,15437,12049,15437,12053,15441,12058,15441,12063,15446,12068,15446,12073,15451,12077,15451,12082,15456,12087,15456,12092,15456,12097,15461,12101,15461,12106,15465,12111,15465,12116,15470,12121,15470,12125,15475,12130,15475,12135,15480,12140,15480,12145,15485,12149,15485,12154,15485,12159,15489,12164,15489,12169,15494,12173,15494,12178,15499,12183,15499,12188,15504,12193,15504,12197,15509,12202,15509,12207,15513,12212,15513,12217,15518,12221,15518,12226,15523,12231,15523,12236,15528,12241,15528,12245,15533,12250,15533,12255,15537,12260,15537,12265,15542,12269,15542,12274,15547,12279,15547,12284,15552,12289,15552,12293,15557,12298,15557,12303,15561,12308,15566,12313,15566,12317,15571,12322,15571,12327,15576,12332,15576,12337,15581,12341,15581,12346,15585,12351,15585,12356,15590,12361,15590,12365,15595,12370,15600,12375,15600,12380,15605,12385,15605,12389,15609,12394,15609,12399,15614,12404,15614,12409,15619,12413,15624,12418,15624,12423,15629,12428,15629,12433,15633,12437,15633,12442,15638,12447,15643,12452,15643,12457,15648,12461,15648,12466,15653,12471,15657,12476,15657,12481,15662,12485,15662,12490,15667,12495,15667,12500,15672,12505,15677,12509,15677,12514,15681,12519,15681,12524,15686,12529,15691,12533,15691,12538,15696,12543,15701m12543,15701l12601,15739m12601,15739l12817,15902,12975,16046,13114,16200,13201,16305,13359,16483,13532,16713,13681,16949,13849,17102,13998,17246,14113,17395,14271,17592,14454,17755,14617,17966,14727,18086,14818,18173,14871,18821,14866,18821,14871,19037,14862,19109,14842,19104,14780,19099,14396,19089,14396,19099,14247,19094,14166,19089,14041,19219,14002,19219,13998,19277,13998,19373,13642,19377,13642,19387e" filled="false" stroked="true" strokeweight="3.12016pt" strokecolor="#cccccc">
              <v:path arrowok="t"/>
              <v:stroke dashstyle="solid"/>
            </v:shape>
            <v:shape style="position:absolute;left:13332;top:19255;width:341;height:164" type="#_x0000_t75" stroked="false">
              <v:imagedata r:id="rId178" o:title=""/>
            </v:shape>
            <v:shape style="position:absolute;left:11799;top:18743;width:1565;height:3159" coordorigin="11799,18744" coordsize="1565,3159" path="m13364,19286l13359,19291,12754,18897m12754,18897l12649,18830m12649,18830l12572,18777m12572,18777l12519,18744m12519,18744l12519,18859,12519,18955,12500,18955,12140,18960,12140,19637,12519,19627,12509,21163,12625,21163,12629,21595,12245,21739,11861,21878,11799,21902e" filled="false" stroked="true" strokeweight="3.12016pt" strokecolor="#cccccc">
              <v:path arrowok="t"/>
              <v:stroke dashstyle="solid"/>
            </v:shape>
            <v:shape style="position:absolute;left:715;top:2872;width:14418;height:20897" type="#_x0000_t75" stroked="false">
              <v:imagedata r:id="rId230" o:title=""/>
            </v:shape>
            <v:shape style="position:absolute;left:1473;top:5097;width:3452;height:1052" coordorigin="1474,5098" coordsize="3452,1052" path="m1474,5131l1478,5122,1483,5122,1483,5117,1488,5112,1493,5112,1493,5107,1498,5107,1502,5102,1507,5102,1512,5102,1517,5098,1522,5098,1526,5098,1531,5098,1536,5102,1541,5102,4925,6149e" filled="false" stroked="true" strokeweight=".48002pt" strokecolor="#b2b2b2">
              <v:path arrowok="t"/>
              <v:stroke dashstyle="solid"/>
            </v:shape>
            <v:shape style="position:absolute;left:715;top:4547;width:14416;height:19223" type="#_x0000_t75" stroked="false">
              <v:imagedata r:id="rId180" o:title=""/>
            </v:shape>
            <v:line style="position:absolute" from="10059,5942" to="10059,6307" stroked="true" strokeweight="2.16011pt" strokecolor="#b2b2b2">
              <v:stroke dashstyle="solid"/>
            </v:line>
            <v:shape style="position:absolute;left:9379;top:3225;width:807;height:2170" coordorigin="9380,3226" coordsize="807,2170" path="m10186,5395l10186,5299m10186,5299l10181,5150,10181,5069,10181,5054m9404,4210l9389,4210m9408,4646l9389,4646m9380,3226l9389,4210m9404,4210l9394,3226e" filled="false" stroked="true" strokeweight=".48002pt" strokecolor="#b2b2b2">
              <v:path arrowok="t"/>
              <v:stroke dashstyle="solid"/>
            </v:shape>
            <v:shape style="position:absolute;left:9370;top:2875;width:196;height:418" type="#_x0000_t75" stroked="false">
              <v:imagedata r:id="rId181" o:title=""/>
            </v:shape>
            <v:shape style="position:absolute;left:720;top:16127;width:4508;height:5213" coordorigin="720,16128" coordsize="4508,5213" path="m4709,20189l4661,20073,4551,19790,4493,19622,3965,18153,3826,17865,3696,17673,3514,17477,2242,16569m2242,16569l2237,16565,2232,16565,2227,16560,2223,16555,2218,16555,2213,16550,2208,16545,2203,16545,2199,16541,2194,16536,2189,16536,2184,16531,2179,16526,2175,16526,2170,16521,2165,16517,2160,16517,2155,16512,2151,16507,2146,16507,2141,16502,2136,16497,2131,16497,2127,16493,2122,16488,2117,16488,2112,16483,2107,16483,2103,16478,2098,16473,2093,16473,2088,16469,2083,16469,2079,16464,2074,16459,2069,16459,2064,16454,2059,16454,2055,16449,2050,16445,2045,16445,2040,16440,2035,16440,2031,16435,2026,16435,2021,16430,2016,16425,2011,16425,2007,16421,2002,16421,1997,16416,1992,16416,1987,16411,1982,16411,1978,16406,1973,16406,1968,16401,1963,16401,1958,16397,1954,16397,1949,16392,1944,16387,1939,16387,1934,16382,1930,16382,1925,16377,1920,16377,1915,16373,1910,16373,1906,16368,1901,16368,1896,16368,1891,16363,1886,16363,1882,16358,1877,16358,1872,16353,1867,16353,1862,16349,1858,16349,1853,16344,1848,16344,1843,16339,1838,16339,1834,16334,1829,16334,1824,16334,1819,16329,1814,16329,1810,16325,1805,16325,1800,16320,1795,16320,1790,16320,1786,16315,1781,16315,1776,16310,1771,16310,1766,16305,1762,16305,1757,16305,1752,16301,1747,16301,1742,16296,1738,16296,1733,16296,1728,16291,1723,16291,1718,16286,1714,16286,1709,16286,1704,16281,1699,16281,1694,16281,1690,16277,1685,16277,1680,16272,1675,16272,1670,16272,1666,16267,1661,16267,1656,16267,1651,16262,1646,16262,1642,16262,1637,16257,1632,16257,1627,16257,1622,16253,1618,16253,1613,16253,1608,16248,1603,16248,1598,16248,1594,16243,1589,16243,1584,16243,1579,16238,1574,16238,1570,16238,1565,16233,1560,16233,1555,16233,1550,16229,1546,16229,1541,16229,1536,16224,1531,16224,1526,16224,1522,16224,1517,16219,1512,16219,1507,16219,1502,16214,1498,16214,1493,16214,1488,16214,1483,16209,1478,16209,1474,16209,1469,16209,1464,16205,1459,16205,1454,16205,1450,16200,1445,16200,1440,16200,1435,16200,1430,16195,1426,16195,1421,16195,1416,16195,1411,16195,1406,16190,1402,16190,1397,16190,1392,16190,1387,16185,1382,16185,1378,16185,1373,16185,1368,16181,1363,16181,1358,16181,1354,16181,1349,16181,1344,16176,1339,16176,1334,16176,1330,16176,1325,16176,1320,16171,1315,16171,1310,16171,1306,16171,1301,16171,1296,16166,1291,16166,1286,16166,1282,16166,1277,16166,1272,16166,1267,16161,1262,16161,1258,16161,1253,16161,1248,16161,1243,16157,1238,16157,1234,16157,1229,16157,1224,16157,1219,16157,1214,16157,1210,16152,1205,16152,1200,16152,1195,16152,1190,16152,1186,16152,1181,16152,1176,16147,1171,16147,1166,16147,1162,16147,1157,16147,1152,16147,1147,16147,1142,16147,1138,16142,1133,16142,1128,16142,1123,16142,1118,16142,1114,16142,1109,16142,1104,16142,1099,16142,1094,16137,1090,16137,1085,16137,1080,16137,1075,16137,1070,16137,1066,16137,1061,16137,1056,16137,1051,16137,1046,16137,1042,16133,1037,16133,1032,16133,1027,16133,1022,16133,1018,16133,1013,16133,1008,16133,1003,16133,998,16133,994,16133,989,16133,984,16133,979,16133,974,16133,970,16133,965,16128,960,16128,955,16128,950,16128,946,16128,941,16128,936,16128,931,16128,926,16128,922,16128,917,16128,912,16128,907,16128,902,16128,898,16128,893,16128,888,16128,883,16128,878,16128,874,16128,869,16128,864,16128,859,16128,854,16128,850,16128,845,16128,840,16128,835,16128,830,16128,826,16128,821,16128,816,16128,811,16128,806,16128,802,16128,797,16128,792,16128,787,16128,782,16128,778,16128,773,16128,768,16128,763,16128,758,16128,754,16128,749,16133,744,16133,739,16133,734,16133,730,16133,725,16133,720,16133m4896,20875l4939,20909m4939,20909l4978,20957m4978,20957l5079,21125,5227,21341m4896,20875l4853,20837m4853,20837l4848,20832,4843,20827,4839,20822,4834,20817,4834,20813,4829,20808,4824,20803,4824,20798,4824,20793,4819,20789,4819,20784,4819,20779,4815,20774,4815,20769,4815,20765,4815,20760,4815,20755,4815,20750,4815,20745e" filled="false" stroked="true" strokeweight=".48002pt" strokecolor="#b2b2b2">
              <v:path arrowok="t"/>
              <v:stroke dashstyle="solid"/>
            </v:shape>
            <v:line style="position:absolute" from="4819,20635" to="4819,20750" stroked="true" strokeweight=".96004pt" strokecolor="#b2b2b2">
              <v:stroke dashstyle="solid"/>
            </v:line>
            <v:shape style="position:absolute;left:4435;top:19636;width:461;height:1282" coordorigin="4435,19637" coordsize="461,1282" path="m4824,20640l4824,20635,4824,20630,4824,20625,4824,20621,4824,20616,4824,20611,4824,20606,4824,20601,4824,20597,4824,20592,4824,20587,4819,20582,4819,20577,4819,20573,4819,20568,4819,20563,4815,20558,4815,20553,4815,20549,4815,20544m4815,20544l4728,20304m4896,20875l4863,20918m4435,19637l4599,20088,4728,20400e" filled="false" stroked="true" strokeweight=".48002pt" strokecolor="#b2b2b2">
              <v:path arrowok="t"/>
              <v:stroke dashstyle="solid"/>
            </v:shape>
            <v:shape style="position:absolute;left:4723;top:20395;width:144;height:528" type="#_x0000_t75" stroked="false">
              <v:imagedata r:id="rId182" o:title=""/>
            </v:shape>
            <v:shape style="position:absolute;left:4704;top:7406;width:524;height:13935" coordorigin="4704,7406" coordsize="524,13935" path="m5227,21341l5155,21225,5050,21019,4954,20813m4954,20813l4781,20433,4728,20304m4906,7426l4723,7426m4723,7426l4719,7426,4714,7421,4709,7416,4704,7411,4704,7406e" filled="false" stroked="true" strokeweight=".48002pt" strokecolor="#b2b2b2">
              <v:path arrowok="t"/>
              <v:stroke dashstyle="solid"/>
            </v:shape>
            <v:shape style="position:absolute;left:8453;top:19108;width:202;height:490" type="#_x0000_t75" stroked="false">
              <v:imagedata r:id="rId183" o:title=""/>
            </v:shape>
            <v:shape style="position:absolute;left:9566;top:18494;width:634;height:173" type="#_x0000_t75" stroked="false">
              <v:imagedata r:id="rId184" o:title=""/>
            </v:shape>
            <v:shape style="position:absolute;left:8794;top:19108;width:188;height:308" type="#_x0000_t75" stroked="false">
              <v:imagedata r:id="rId185" o:title=""/>
            </v:shape>
            <v:shape style="position:absolute;left:8813;top:8553;width:1292;height:11060" coordorigin="8813,8554" coordsize="1292,11060" path="m9154,19598l9164,19598m9164,19598l9183,19589m9183,19589l9202,19574m9202,19574l9207,19569m9207,19569l9231,19545m9231,19545l9231,19541,9236,19536,9240,19531,9245,19531,9250,19526,9255,19526,9260,19526m9260,19526l9408,19526m9207,19569l9216,19584m9216,19584l9221,19589,9226,19593,9231,19598,9236,19603,9240,19603,9245,19603,9250,19608,9255,19608,9260,19608,9264,19608m9264,19608l9389,19608m9389,19608l9399,19613m9399,19613l9404,19613m9965,8558l9840,8558m9965,8558l10105,8554m8943,18941l8909,18936m8909,18936l8895,18936m8895,18936l8890,18936,8885,18931,8880,18926m8880,18926l8880,18873m8914,18869l8909,18869,8904,18869,8900,18873,8895,18873,8890,18873,8885,18873,8880,18873m8813,18859l8818,18859,8823,18864,8828,18864,8832,18869,8837,18869,8842,18869,8847,18873,8852,18873,8856,18873,8861,18873,8866,18873,8871,18873,8876,18873,8880,18873,8880,18873e" filled="false" stroked="true" strokeweight=".48002pt" strokecolor="#b2b2b2">
              <v:path arrowok="t"/>
              <v:stroke dashstyle="solid"/>
            </v:shape>
            <v:shape style="position:absolute;left:8717;top:17054;width:457;height:490" type="#_x0000_t75" stroked="false">
              <v:imagedata r:id="rId186" o:title=""/>
            </v:shape>
            <v:shape style="position:absolute;left:9806;top:13636;width:3701;height:6634" coordorigin="9807,13637" coordsize="3701,6634" path="m9946,13805l9999,13929,10004,13939,10009,13949,10013,13958,10018,13973,10018,13982,10023,13992,10023,14006,10028,14016,10028,14025,10033,14040,10033,14049,10033,14059,10033,14073,10033,14078m10028,13771l9946,13805m9807,13651l9864,13637,9946,13805m10004,20270l10018,20256,10023,20251,10028,20246,10033,20241,10037,20241,10042,20237,10047,20237,10052,20232,10119,20198m13503,17203l13508,17198m13508,17203l13508,17203m9807,13704l9807,13785m9812,13920l9812,14083e" filled="false" stroked="true" strokeweight=".48002pt" strokecolor="#b2b2b2">
              <v:path arrowok="t"/>
              <v:stroke dashstyle="solid"/>
            </v:shape>
            <v:shape style="position:absolute;left:12216;top:20731;width:168;height:394" type="#_x0000_t75" stroked="false">
              <v:imagedata r:id="rId187" o:title=""/>
            </v:shape>
            <v:line style="position:absolute" from="13498,17203" to="13508,17203" stroked="true" strokeweight=".48002pt" strokecolor="#b2b2b2">
              <v:stroke dashstyle="solid"/>
            </v:line>
            <v:shape style="position:absolute;left:12715;top:21494;width:428;height:212" type="#_x0000_t75" stroked="false">
              <v:imagedata r:id="rId188" o:title=""/>
            </v:shape>
            <v:shape style="position:absolute;left:7958;top:9907;width:745;height:8228" coordorigin="7959,9907" coordsize="745,8228" path="m8084,18129l8074,18125,7997,18129,7978,18134,7959,18134m8223,9994l8285,9907m8684,10185l8621,10272,8616,10272,8223,9994m8223,9994l8132,10123m8285,9907l8684,10185m8684,10185l8703,10200e" filled="false" stroked="true" strokeweight=".48002pt" strokecolor="#b2b2b2">
              <v:path arrowok="t"/>
              <v:stroke dashstyle="solid"/>
            </v:shape>
            <v:line style="position:absolute" from="9380,10102" to="9442,10102" stroked="true" strokeweight=".72002pt" strokecolor="#b2b2b2">
              <v:stroke dashstyle="solid"/>
            </v:line>
            <v:shape style="position:absolute;left:9350;top:9427;width:10;height:92" coordorigin="9351,9427" coordsize="10,92" path="m9360,9427l9356,9427,9351,9432,9351,9437m9351,9437l9351,9480m9351,9480l9356,9494m9356,9494l9360,9518e" filled="false" stroked="true" strokeweight=".48002pt" strokecolor="#b2b2b2">
              <v:path arrowok="t"/>
              <v:stroke dashstyle="solid"/>
            </v:shape>
            <v:line style="position:absolute" from="9360,9518" to="9360,9840" stroked="true" strokeweight=".48002pt" strokecolor="#b2b2b2">
              <v:stroke dashstyle="solid"/>
            </v:line>
            <v:shape style="position:absolute;left:9360;top:9839;width:39;height:644" coordorigin="9360,9840" coordsize="39,644" path="m9360,9840l9365,9869m9365,9869l9375,9898m9375,9898l9380,9926m9380,9926l9384,10104m9375,10483l9375,10416m9375,10416l9380,10387m9380,10387l9399,10358e" filled="false" stroked="true" strokeweight=".48002pt" strokecolor="#b2b2b2">
              <v:path arrowok="t"/>
              <v:stroke dashstyle="solid"/>
            </v:shape>
            <v:line style="position:absolute" from="9394,10351" to="9404,10351" stroked="true" strokeweight=".72pt" strokecolor="#b2b2b2">
              <v:stroke dashstyle="solid"/>
            </v:line>
            <v:shape style="position:absolute;left:9384;top:10118;width:20;height:226" coordorigin="9384,10118" coordsize="20,226" path="m9399,10344l9404,10262,9404,10181m9404,10181l9399,10157m9399,10157l9389,10138m9389,10138l9384,10118e" filled="false" stroked="true" strokeweight=".48002pt" strokecolor="#b2b2b2">
              <v:path arrowok="t"/>
              <v:stroke dashstyle="solid"/>
            </v:shape>
            <v:line style="position:absolute" from="9380,10111" to="9389,10111" stroked="true" strokeweight=".72pt" strokecolor="#b2b2b2">
              <v:stroke dashstyle="solid"/>
            </v:line>
            <v:line style="position:absolute" from="9452,9427" to="9360,9427" stroked="true" strokeweight=".48002pt" strokecolor="#b2b2b2">
              <v:stroke dashstyle="solid"/>
            </v:line>
            <v:line style="position:absolute" from="9353,9288" to="9353,9422" stroked="true" strokeweight=".72003pt" strokecolor="#b2b2b2">
              <v:stroke dashstyle="solid"/>
            </v:line>
            <v:shape style="position:absolute;left:9312;top:9417;width:48;height:1445" coordorigin="9312,9418" coordsize="48,1445" path="m9356,9418l9360,9427m9317,10483l9322,10617,9312,10685m9312,10685l9312,10728m9312,10728l9317,10757,9312,10862e" filled="false" stroked="true" strokeweight=".48002pt" strokecolor="#b2b2b2">
              <v:path arrowok="t"/>
              <v:stroke dashstyle="solid"/>
            </v:shape>
            <v:line style="position:absolute" from="9315,10857" to="9315,11001" stroked="true" strokeweight=".72003pt" strokecolor="#b2b2b2">
              <v:stroke dashstyle="solid"/>
            </v:line>
            <v:line style="position:absolute" from="9216,10865" to="9317,10865" stroked="true" strokeweight=".72002pt" strokecolor="#b2b2b2">
              <v:stroke dashstyle="solid"/>
            </v:line>
            <v:shape style="position:absolute;left:9312;top:10483;width:3850;height:10704" coordorigin="9312,10483" coordsize="3850,10704" path="m9418,10862l9312,10862m9375,10483l9317,10483m9428,10483l9375,10483m12543,21187l12533,21163m13162,20995l13162,21043m13162,21043l13162,21048,13162,21053,13162,21057,13162,21062,13162,21067,13157,21072,13157,21077,13157,21081,13157,21086,13153,21091,13153,21096,13148,21101,13148,21105,13143,21110,13138,21115,13133,21120,13133,21125,13129,21129,13124,21129,13119,21134,13114,21139,13109,21144,13105,21144,13100,21149,13095,21149,13090,21153,13085,21153,13081,21153,13076,21153,13071,21158,13066,21158,13061,21158,13057,21158,13052,21158,13047,21158m13047,21158l12653,21163,12625,21163,12620,21163,12615,21163e" filled="false" stroked="true" strokeweight=".48002pt" strokecolor="#b2b2b2">
              <v:path arrowok="t"/>
              <v:stroke dashstyle="solid"/>
            </v:shape>
            <v:shape style="position:absolute;left:12504;top:21076;width:221;height:629" type="#_x0000_t75" stroked="false">
              <v:imagedata r:id="rId189" o:title=""/>
            </v:shape>
            <v:shape style="position:absolute;left:9010;top:17135;width:1191;height:3140" coordorigin="9010,17136" coordsize="1191,3140" path="m9888,17501l9768,17433,9716,17405,9663,17381,9610,17361,9557,17337,9485,17313m9485,17313l9010,17136m10119,20198l10129,20217m10129,20217l10157,20251m10157,20251l10162,20256,10167,20256,10172,20261,10177,20265,10181,20265,10186,20270,10191,20270,10196,20270,10201,20275m10114,20088l10114,20169,10114,20174,10114,20179,10114,20184,10114,20189,10119,20193,10119,20198,10119,20198e" filled="false" stroked="true" strokeweight=".48002pt" strokecolor="#b2b2b2">
              <v:path arrowok="t"/>
              <v:stroke dashstyle="solid"/>
            </v:shape>
            <v:shape style="position:absolute;left:9965;top:20294;width:130;height:125" type="#_x0000_t75" stroked="false">
              <v:imagedata r:id="rId190" o:title=""/>
            </v:shape>
            <v:shape style="position:absolute;left:8501;top:20803;width:260;height:260" type="#_x0000_t75" stroked="false">
              <v:imagedata r:id="rId191" o:title=""/>
            </v:shape>
            <v:shape style="position:absolute;left:8842;top:19209;width:572;height:365" type="#_x0000_t75" stroked="false">
              <v:imagedata r:id="rId192" o:title=""/>
            </v:shape>
            <v:shape style="position:absolute;left:9494;top:4204;width:4013;height:12994" coordorigin="9495,4205" coordsize="4013,12994" path="m10268,8554l10301,8549,10306,8549,10311,8549,10316,8549,10321,8549,10321,8544,10325,8544,10460,8410m10268,8554l10258,8256m13489,17198l13498,17198m13489,17198l13498,17198m13489,17198l13498,17198m9533,4205l9620,4205m9658,4786l9658,4642m13493,17198l13508,17198m13498,17198l13508,17198m13508,17198l13493,17198m13493,17198l13508,17198m13508,17198l13493,17198m13508,17198l13493,17198m13493,17198l13508,17198m9500,4642l9504,4622,9504,4594m9504,4594l9504,4589,9504,4584,9504,4579,9504,4574,9504,4570,9504,4565,9504,4560,9504,4555,9500,4550,9500,4546m9500,4546l9495,4517m9495,4517l9495,4469m9495,4469l9500,4440m9500,4642l9504,4829e" filled="false" stroked="true" strokeweight=".48002pt" strokecolor="#b2b2b2">
              <v:path arrowok="t"/>
              <v:stroke dashstyle="solid"/>
            </v:shape>
            <v:shape style="position:absolute;left:9658;top:5054;width:433;height:356" type="#_x0000_t75" stroked="false">
              <v:imagedata r:id="rId193" o:title=""/>
            </v:shape>
            <v:shape style="position:absolute;left:9418;top:6681;width:1441;height:13637" coordorigin="9418,6682" coordsize="1441,13637" path="m10834,20318l10858,20318m9576,7440l9471,7440m9471,7440l9466,7382,9432,7061,9428,7003,9423,6950,9423,6893,9418,6682m9471,7440l9447,7440e" filled="false" stroked="true" strokeweight=".48002pt" strokecolor="#b2b2b2">
              <v:path arrowok="t"/>
              <v:stroke dashstyle="solid"/>
            </v:shape>
            <v:line style="position:absolute" from="9473,7435" to="9473,7973" stroked="true" strokeweight=".72004pt" strokecolor="#b2b2b2">
              <v:stroke dashstyle="solid"/>
            </v:line>
            <v:shape style="position:absolute;left:9370;top:21446;width:188;height:389" type="#_x0000_t75" stroked="false">
              <v:imagedata r:id="rId194" o:title=""/>
            </v:shape>
            <v:shape style="position:absolute;left:8069;top:11572;width:236;height:212" type="#_x0000_t75" stroked="false">
              <v:imagedata r:id="rId195" o:title=""/>
            </v:shape>
            <v:shape style="position:absolute;left:9494;top:19439;width:168;height:10" coordorigin="9495,19440" coordsize="168,10" path="m9562,19445l9615,19449,9620,19449,9624,19445,9629,19445,9634,19445,9639,19445,9663,19440m9562,19445l9495,19445e" filled="false" stroked="true" strokeweight=".48002pt" strokecolor="#b2b2b2">
              <v:path arrowok="t"/>
              <v:stroke dashstyle="solid"/>
            </v:shape>
            <v:shape style="position:absolute;left:8328;top:19684;width:140;height:293" type="#_x0000_t75" stroked="false">
              <v:imagedata r:id="rId196" o:title=""/>
            </v:shape>
            <v:shape style="position:absolute;left:9451;top:8807;width:4057;height:8396" coordorigin="9452,8808" coordsize="4057,8396" path="m9720,9672l9716,9432m9759,9432l9730,9437,9716,9432m9644,8808l9653,9370m9696,9432l9653,9432m9653,9432l9476,9427m9476,9427l9452,9427m9466,9850l9476,9427m9476,9427l9485,8962,9480,8813m13508,17203l13493,17203m13503,17203l13493,17203e" filled="false" stroked="true" strokeweight=".48002pt" strokecolor="#b2b2b2">
              <v:path arrowok="t"/>
              <v:stroke dashstyle="solid"/>
            </v:shape>
            <v:shape style="position:absolute;left:12408;top:21182;width:140;height:116" type="#_x0000_t75" stroked="false">
              <v:imagedata r:id="rId197" o:title=""/>
            </v:shape>
            <v:shape style="position:absolute;left:8309;top:19108;width:255;height:471" type="#_x0000_t75" stroked="false">
              <v:imagedata r:id="rId198" o:title=""/>
            </v:shape>
            <v:shape style="position:absolute;left:8030;top:4943;width:5487;height:17832" coordorigin="8031,4944" coordsize="5487,17832" path="m10085,5309l10090,5626,10095,5693,10095,5746,10090,5794,10076,5947m13508,17208l13517,17203m10076,5947l10138,6005,10201,6072,10239,6134,10258,6168,10297,6226,10407,6389,10421,6408,10431,6427,10441,6442,10445,6451,10445,6456,10450,6461,10450,6470,10455,6475,10455,6480,10465,6509,10469,6533,10484,6581,10489,6610,10489,6624m13508,17208l13493,17208m13493,17208l13508,17208m13493,17208l13508,17208m13493,17208l13508,17208m13493,17208l13508,17208m13493,17208l13508,17208m13508,17208l13493,17208m13493,17208l13508,17208m13508,17208l13493,17208m13493,17208l13508,17208m10234,5299l10229,5290m10229,5290l10220,5270m10220,5270l10220,5242m10220,5242l10215,5213m10215,5213l10215,5184m10215,5184l10220,5160,10220,5131m10220,5131l10220,5126,10220,5122,10225,5117,10229,5112m10229,5112l10249,5102,10263,5098m10263,5098l10268,5093,10273,5088,10273,5083,10273,5078m10273,5078l10263,5050m13493,17208l13508,17208m13493,17208l13508,17208m13508,17208l13493,17208m13508,17208l13493,17208m13508,17208l13493,17208m13493,17208l13508,17208m13508,17208l13493,17208m10335,4944l10340,4958,10340,4968,10345,4978,10345,4987,10349,5021,10349,5030,10345,5030,10345,5035,10345,5040,10335,5045,10321,5050,10306,5050,10268,5050,10263,5050m13513,17203l13498,17198m13513,17198l13493,17198m13493,17193l13503,17198m13503,17198l13498,17198m13503,17203l13498,17198m13508,17203l13489,17203m13508,17198l13489,17198m13489,17198l13503,17198m13498,17203l13503,17193m10234,5299l10297,5299m10297,5299l10316,5299m10316,5299l10325,5294m10325,5294l10330,5299m10330,5299l10330,5352,10330,5390,10335,5491,10335,5678m13498,17198l13498,17198m13498,17203l13493,17193m13503,17198l13493,17198m13508,17198l13493,17198m13508,17198l13493,17198m13493,17198l13508,17198m13493,17198l13508,17198m8304,22392l8304,22497,8304,22589m8304,22589l8304,22776m8304,22589l8204,22593,8074,22593,8031,22598m9226,22617l9221,22622,9216,22622,9216,22627,9212,22627,9207,22627,9202,22632,9197,22632,9192,22637,9188,22637,9183,22637,9178,22637,9173,22641,9168,22641,9164,22641,9159,22641,8784,22641e" filled="false" stroked="true" strokeweight=".48002pt" strokecolor="#b2b2b2">
              <v:path arrowok="t"/>
              <v:stroke dashstyle="solid"/>
            </v:shape>
            <v:line style="position:absolute" from="8784,22569" to="8784,22661" stroked="true" strokeweight=".48002pt" strokecolor="#b2b2b2">
              <v:stroke dashstyle="solid"/>
            </v:line>
            <v:shape style="position:absolute;left:4349;top:20918;width:5022;height:1762" coordorigin="4349,20918" coordsize="5022,1762" path="m9226,22617l9212,22598,9207,22593,9207,22589,9202,22589,9197,22584,9192,22584,9188,22579,9183,22579,9183,22574,9178,22574,9173,22574,9168,22569,9164,22569,9159,22569,9154,22569,9149,22569,9144,22569,9048,22569,8784,22569m9370,22387l8780,22387m8780,22387l8688,22387m8784,22569l8780,22493,8780,22387m8784,22661l8784,22661m8784,22661l8775,22670m8775,22670l8612,22675m8304,22680l8362,22675,8376,22680,8410,22675m4815,20971l4771,21014m4771,21014l4771,21019,4767,21024,4762,21029,4757,21033,4752,21038,4747,21043,4743,21048,4738,21048,4733,21053,4728,21057,4723,21062,4719,21062,4714,21067,4709,21072,4704,21072,4699,21077,4695,21081,4690,21081,4685,21086,4680,21086,4675,21091,4671,21091,4666,21091,4661,21096,4656,21096,4651,21101,4647,21101,4642,21101,4637,21105,4632,21105,4627,21105,4623,21105,4618,21110,4613,21110,4608,21110,4603,21110,4599,21110,4594,21110,4589,21115,4584,21115,4579,21115,4575,21115,4570,21115,4565,21115,4560,21115,4555,21115,4551,21115,4546,21115,4541,21115,4536,21115,4531,21115,4527,21115,4522,21115,4517,21110,4512,21110,4507,21110,4503,21110,4498,21110,4493,21110,4488,21105,4483,21105,4479,21105,4474,21105,4469,21101,4464,21101,4459,21101,4455,21096,4450,21096,4445,21091,4440,21091,4435,21091,4431,21086,4426,21086,4421,21081,4416,21081,4411,21077,4407,21072m4407,21072l4349,21038m4815,20971l4863,20918m5098,21393l5098,21389,5093,21384,5093,21379,5093,21374,5093,21369,5093,21365,5088,21360,5088,21355,5088,21350,5088,21345,5083,21341,5083,21336,5079,21331,5079,21326,5079,21321,5074,21317,5074,21312,5069,21307,5069,21302,5064,21297,5059,21293,5059,21288,5055,21283,5050,21278,5050,21273m5050,21273l4997,21211,4963,21168,4930,21125,4915,21077,4896,21053,4858,21009,4815,20971m5290,21773l5266,21744m5266,21744l5251,21725m5251,21725l5232,21701m5232,21701l5218,21681m5218,21681l5160,21614m5290,21773l5506,22022m5506,22022l5530,22051m5568,22147l5568,22142,5568,22137,5568,22133,5568,22128,5563,22123,5563,22118,5563,22113,5559,22109,5559,22104,5554,22099,5554,22094,5554,22089,5549,22085,5549,22080,5544,22075,5544,22070,5539,22065,5535,22061,5535,22056,5530,22051m5160,21614l5141,21590m5141,21590l5136,21585,5131,21581,5127,21576,5122,21571,5122,21566,5117,21561,5117,21557,5112,21552,5112,21547,5107,21542,5107,21537,5107,21533,5103,21528,5103,21523,5103,21518,5103,21513m5103,21513l5103,21509,5103,21504,5103,21499,5098,21494,5098,21489,5098,21485,5098,21480,5098,21475,5098,21470,5098,21465,5098,21461,5098,21456,5098,21451,5098,21446,5098,21441m5098,21441l5098,21393e" filled="false" stroked="true" strokeweight=".48002pt" strokecolor="#b2b2b2">
              <v:path arrowok="t"/>
              <v:stroke dashstyle="solid"/>
            </v:shape>
            <v:shape style="position:absolute;left:12264;top:20673;width:197;height:452" type="#_x0000_t75" stroked="false">
              <v:imagedata r:id="rId199" o:title=""/>
            </v:shape>
            <v:line style="position:absolute" from="13493,17191" to="13503,17191" stroked="true" strokeweight=".24pt" strokecolor="#b2b2b2">
              <v:stroke dashstyle="solid"/>
            </v:line>
            <v:shape style="position:absolute;left:9835;top:20294;width:221;height:207" type="#_x0000_t75" stroked="false">
              <v:imagedata r:id="rId200" o:title=""/>
            </v:shape>
            <v:shape style="position:absolute;left:13483;top:17198;width:1642;height:1618" coordorigin="13484,17198" coordsize="1642,1618" path="m14857,18662l14833,18653,14809,18638,14780,18624,14756,18614,14727,18605,14703,18595,14674,18585,14593,18561,14535,18547,14482,18533,14425,18518,14372,18509,14314,18504,14257,18499,14199,18494,14146,18489,14007,18489m15126,18815l14857,18662m13513,17198l13484,17198m13484,17198l13513,17198m13484,17198l13513,17198m13513,17198l13484,17198m13484,17198l13513,17198m13484,17198l13513,17198e" filled="false" stroked="true" strokeweight=".48002pt" strokecolor="#b2b2b2">
              <v:path arrowok="t"/>
              <v:stroke dashstyle="solid"/>
            </v:shape>
            <v:shape style="position:absolute;left:9082;top:14870;width:4282;height:3077" type="#_x0000_t75" stroked="false">
              <v:imagedata r:id="rId201" o:title=""/>
            </v:shape>
            <v:shape style="position:absolute;left:7949;top:18518;width:337;height:399" type="#_x0000_t75" stroked="false">
              <v:imagedata r:id="rId202" o:title=""/>
            </v:shape>
            <v:shape style="position:absolute;left:9446;top:9369;width:250;height:10071" coordorigin="9447,9370" coordsize="250,10071" path="m9696,9370l9696,9432m9452,19305l9447,19406,9452,19421,9452,19440e" filled="false" stroked="true" strokeweight=".48002pt" strokecolor="#b2b2b2">
              <v:path arrowok="t"/>
              <v:stroke dashstyle="solid"/>
            </v:shape>
            <v:line style="position:absolute" from="9447,19442" to="9500,19442" stroked="true" strokeweight=".72002pt" strokecolor="#b2b2b2">
              <v:stroke dashstyle="solid"/>
            </v:line>
            <v:shape style="position:absolute;left:8083;top:10166;width:2837;height:9476" coordorigin="8084,10166" coordsize="2837,9476" path="m9452,19440l9447,19641m8084,18288l8084,18173m10829,10166l10906,10166,10911,10166,10916,10166,10921,10166,10921,10171,10921,10171m9562,19483l9562,19445m9495,19445l9495,19483e" filled="false" stroked="true" strokeweight=".48002pt" strokecolor="#b2b2b2">
              <v:path arrowok="t"/>
              <v:stroke dashstyle="solid"/>
            </v:shape>
            <v:shape style="position:absolute;left:10234;top:7262;width:457;height:327" type="#_x0000_t75" stroked="false">
              <v:imagedata r:id="rId203" o:title=""/>
            </v:shape>
            <v:shape style="position:absolute;left:4949;top:21388;width:783;height:764" type="#_x0000_t75" stroked="false">
              <v:imagedata r:id="rId204" o:title=""/>
            </v:shape>
            <v:shape style="position:absolute;left:7310;top:9158;width:447;height:380" type="#_x0000_t75" stroked="false">
              <v:imagedata r:id="rId205" o:title=""/>
            </v:shape>
            <v:shape style="position:absolute;left:7085;top:7564;width:543;height:1685" coordorigin="7085,7565" coordsize="543,1685" path="m7628,9250l7623,8587m7128,9005l7095,8842,7090,8827,7090,8813,7085,8798,7085,8789,7085,8774,7085,8760,7085,8746,7085,8731,7085,8717,7085,8702,7090,8688,7090,8674,7095,8659,7095,8645,7100,8630,7104,8616,7133,8525m7133,8525l7157,8462,7162,8448,7162,8434,7167,8424,7167,8410,7172,8395,7172,8386,7176,8371,7176,8357,7176,8347,7176,8333,7176,8318,7176,8309,7176,8294,7172,8280,7172,8270,7172,8256,7167,8242,7162,8227,7162,8213,7157,8198,7152,8189,7152,8174,7148,8160,7148,8146,7143,8131,7143,8117,7143,8098,7143,8078,7143,8059,7143,8040,7148,8021,7148,8002,7162,7939,7167,7925,7167,7915,7167,7901,7172,7886,7172,7872,7172,7858,7172,7843,7172,7829,7172,7819,7167,7805,7167,7790,7167,7776,7128,7565e" filled="false" stroked="true" strokeweight=".48002pt" strokecolor="#b2b2b2">
              <v:path arrowok="t"/>
              <v:stroke dashstyle="solid"/>
            </v:shape>
            <v:shape style="position:absolute;left:7128;top:8222;width:500;height:375" type="#_x0000_t75" stroked="false">
              <v:imagedata r:id="rId206" o:title=""/>
            </v:shape>
            <v:line style="position:absolute" from="8285,9907" to="8429,9701" stroked="true" strokeweight=".48002pt" strokecolor="#b2b2b2">
              <v:stroke dashstyle="solid"/>
            </v:line>
            <v:shape style="position:absolute;left:11774;top:20735;width:279;height:581" type="#_x0000_t75" stroked="false">
              <v:imagedata r:id="rId207" o:title=""/>
            </v:shape>
            <v:line style="position:absolute" from="8813,19634" to="8952,19634" stroked="true" strokeweight=".72002pt" strokecolor="#b2b2b2">
              <v:stroke dashstyle="solid"/>
            </v:line>
            <v:shape style="position:absolute;left:8803;top:9369;width:1705;height:14002" coordorigin="8804,9370" coordsize="1705,14002" path="m8948,19637l8967,19627m8967,19627l9039,19565m8804,19589l8813,19603,8813,19608,8813,19613,8818,19613,8818,19617,8818,19622,8818,19632m9716,9370l9696,9370m9696,9370l9653,9370m9653,9370l9653,9432m9696,9432l9716,9432m9519,10291l9509,10301,9509,10478m9543,10478l9509,10478m10340,23333l10407,23366m10407,23366l10412,23371,10417,23371,10421,23371,10426,23371,10431,23371,10436,23366m10436,23366l10508,23318m10253,20275l10253,20227,10292,20227e" filled="false" stroked="true" strokeweight=".48002pt" strokecolor="#b2b2b2">
              <v:path arrowok="t"/>
              <v:stroke dashstyle="solid"/>
            </v:shape>
            <v:line style="position:absolute" from="10249,20277" to="10378,20277" stroked="true" strokeweight=".72002pt" strokecolor="#b2b2b2">
              <v:stroke dashstyle="solid"/>
            </v:line>
            <v:shape style="position:absolute;left:6965;top:5822;width:3044;height:13608" coordorigin="6965,5822" coordsize="3044,13608" path="m9509,5928l9615,5957,9624,5957,9634,5962,9639,5966,9648,5966,9658,5971,9663,5976,9672,5981,9677,5986,9687,5990,9692,5995,9701,6000,9706,6010,9711,6014,9720,6019,9725,6024,9778,6096,9788,6110,9802,6125,9812,6144,9826,6158,9845,6182,9927,6298,10009,6403m9509,5928l9413,5904m9413,5904l9413,5822m7071,10080l7023,10080m6965,10118l6965,10080m7023,10080l6965,10080m8314,19176l8343,19286m8343,19286l8352,19325m8352,19325l8367,19430e" filled="false" stroked="true" strokeweight=".48002pt" strokecolor="#b2b2b2">
              <v:path arrowok="t"/>
              <v:stroke dashstyle="solid"/>
            </v:shape>
            <v:line style="position:absolute" from="8362,19433" to="8372,19433" stroked="true" strokeweight=".24pt" strokecolor="#b2b2b2">
              <v:stroke dashstyle="solid"/>
            </v:line>
            <v:shape style="position:absolute;left:8131;top:19175;width:236;height:336" coordorigin="8132,19176" coordsize="236,336" path="m8367,19435l8362,19454m8362,19454l8333,19459m8333,19459l8319,19464m8314,19176l8261,19190m8261,19190l8208,19205m8261,19190l8290,19296m8290,19296l8300,19334m8300,19334l8300,19358m8300,19358l8300,19363,8300,19368,8300,19373,8295,19377,8290,19382m8290,19382l8285,19387m8208,19205l8165,19219m8165,19219l8146,19229m8146,19229l8132,19238m8208,19205l8237,19305m8237,19305l8237,19310,8237,19315,8237,19320,8232,19325,8232,19329m8232,19329l8228,19334m8228,19334l8156,19267m8156,19267l8132,19238m8228,19334l8266,19363m8266,19363l8285,19387m8285,19387l8304,19430m8304,19430l8304,19430m8304,19430l8319,19464m8285,19387l8271,19397m8319,19464l8348,19512e" filled="false" stroked="true" strokeweight=".48002pt" strokecolor="#b2b2b2">
              <v:path arrowok="t"/>
              <v:stroke dashstyle="solid"/>
            </v:shape>
            <v:shape style="position:absolute;left:13512;top:19502;width:423;height:135" type="#_x0000_t75" stroked="false">
              <v:imagedata r:id="rId208" o:title=""/>
            </v:shape>
            <v:shape style="position:absolute;left:5765;top:9148;width:6015;height:12260" coordorigin="5765,9149" coordsize="6015,12260" path="m11780,21283l11780,21398m11780,21283l11780,21245m11780,21245l11746,21245m11746,21245l11741,21245,11737,21249,11737,21254m11737,21254l11737,21408m8679,10867l8674,11246m5794,9158l5765,9149e" filled="false" stroked="true" strokeweight=".48002pt" strokecolor="#b2b2b2">
              <v:path arrowok="t"/>
              <v:stroke dashstyle="solid"/>
            </v:shape>
            <v:line style="position:absolute" from="5722,9146" to="5770,9146" stroked="true" strokeweight=".72002pt" strokecolor="#b2b2b2">
              <v:stroke dashstyle="solid"/>
            </v:line>
            <v:shape style="position:absolute;left:5793;top:9067;width:125;height:144" coordorigin="5794,9067" coordsize="125,144" path="m5851,9211l5851,9211m5851,9211l5856,9202m5856,9202l5871,9173m5871,9173l5875,9163m5875,9163l5885,9130m5885,9130l5895,9110m5895,9110l5909,9096m5909,9096l5914,9091,5919,9086,5919,9082,5919,9077,5919,9072,5919,9067,5914,9067m5851,9211l5837,9202m5837,9202l5823,9182m5823,9182l5813,9187m5813,9187l5808,9192,5803,9197,5799,9197,5794,9197e" filled="false" stroked="true" strokeweight=".48002pt" strokecolor="#b2b2b2">
              <v:path arrowok="t"/>
              <v:stroke dashstyle="solid"/>
            </v:shape>
            <v:line style="position:absolute" from="5674,9192" to="5799,9192" stroked="true" strokeweight=".96002pt" strokecolor="#b2b2b2">
              <v:stroke dashstyle="solid"/>
            </v:line>
            <v:shape style="position:absolute;left:5558;top:9158;width:265;height:10997" coordorigin="5559,9158" coordsize="265,10997" path="m5679,9187l5659,9187m5659,9187l5631,9192m5631,9192l5626,9197m5583,20025l5559,20073,5698,20136m5698,20136l5712,20150m5712,20150l5717,20155m5823,9182l5808,9168m5808,9168l5794,9158e" filled="false" stroked="true" strokeweight=".48002pt" strokecolor="#b2b2b2">
              <v:path arrowok="t"/>
              <v:stroke dashstyle="solid"/>
            </v:shape>
            <v:line style="position:absolute" from="5818,9055" to="5827,9055" stroked="true" strokeweight=".71999pt" strokecolor="#b2b2b2">
              <v:stroke dashstyle="solid"/>
            </v:line>
            <v:shape style="position:absolute;left:5793;top:9062;width:29;height:96" coordorigin="5794,9062" coordsize="29,96" path="m5823,9062l5818,9077m5818,9077l5803,9139m5803,9139l5799,9149m5799,9149l5794,9158e" filled="false" stroked="true" strokeweight=".48002pt" strokecolor="#b2b2b2">
              <v:path arrowok="t"/>
              <v:stroke dashstyle="solid"/>
            </v:shape>
            <v:line style="position:absolute" from="5679,9142" to="5731,9142" stroked="true" strokeweight=".72001pt" strokecolor="#b2b2b2">
              <v:stroke dashstyle="solid"/>
            </v:line>
            <v:shape style="position:absolute;left:5630;top:9139;width:53;height:10" coordorigin="5631,9139" coordsize="53,10" path="m5683,9139l5650,9144m5650,9144l5631,9149e" filled="false" stroked="true" strokeweight=".48002pt" strokecolor="#b2b2b2">
              <v:path arrowok="t"/>
              <v:stroke dashstyle="solid"/>
            </v:shape>
            <v:line style="position:absolute" from="5722,9137" to="5731,9137" stroked="true" strokeweight=".71999pt" strokecolor="#b2b2b2">
              <v:stroke dashstyle="solid"/>
            </v:line>
            <v:line style="position:absolute" from="5722,9125" to="5731,9125" stroked="true" strokeweight=".47999pt" strokecolor="#b2b2b2">
              <v:stroke dashstyle="solid"/>
            </v:line>
            <v:line style="position:absolute" from="5727,9120" to="5736,9096" stroked="true" strokeweight=".48002pt" strokecolor="#b2b2b2">
              <v:stroke dashstyle="solid"/>
            </v:line>
            <v:line style="position:absolute" from="5731,9091" to="5741,9091" stroked="true" strokeweight=".48pt" strokecolor="#b2b2b2">
              <v:stroke dashstyle="solid"/>
            </v:line>
            <v:line style="position:absolute" from="5731,9084" to="5741,9084" stroked="true" strokeweight=".23999pt" strokecolor="#b2b2b2">
              <v:stroke dashstyle="solid"/>
            </v:line>
            <v:shape style="position:absolute;left:5736;top:9047;width:202;height:34" coordorigin="5736,9048" coordsize="202,34" path="m5736,9082l5736,9077,5741,9072,5746,9067,5751,9062m5751,9062l5803,9048m5803,9048l5823,9048m5914,9067l5938,9053m5914,9067l5914,9062,5909,9058,5904,9053,5899,9048,5895,9048,5890,9048m5890,9048l5823,9048e" filled="false" stroked="true" strokeweight=".48002pt" strokecolor="#b2b2b2">
              <v:path arrowok="t"/>
              <v:stroke dashstyle="solid"/>
            </v:shape>
            <v:shape style="position:absolute;left:912;top:4732;width:7561;height:13575" type="#_x0000_t75" stroked="false">
              <v:imagedata r:id="rId209" o:title=""/>
            </v:shape>
            <v:shape style="position:absolute;left:5419;top:20039;width:298;height:149" coordorigin="5419,20040" coordsize="298,149" path="m5559,20073l5506,20049m5506,20049l5472,20040m5472,20040l5443,20040m5573,20189l5587,20184,5597,20184m5635,20179l5683,20169m5683,20169l5712,20160m5712,20160l5717,20155m5419,20169l5424,20141m5424,20141l5429,20126m5429,20126l5439,20102m5439,20102l5443,20073e" filled="false" stroked="true" strokeweight=".48002pt" strokecolor="#b2b2b2">
              <v:path arrowok="t"/>
              <v:stroke dashstyle="solid"/>
            </v:shape>
            <v:line style="position:absolute" from="5443,19982" to="5443,20073" stroked="true" strokeweight=".48002pt" strokecolor="#b2b2b2">
              <v:stroke dashstyle="solid"/>
            </v:line>
            <v:shape style="position:absolute;left:5443;top:19967;width:313;height:188" coordorigin="5443,19968" coordsize="313,188" path="m5443,19982l5453,19968m5717,20155l5727,20150m5727,20150l5741,20136m5741,20136l5751,20117m5751,20117l5755,20102e" filled="false" stroked="true" strokeweight=".48002pt" strokecolor="#b2b2b2">
              <v:path arrowok="t"/>
              <v:stroke dashstyle="solid"/>
            </v:shape>
            <v:shape style="position:absolute;left:12456;top:22391;width:135;height:101" type="#_x0000_t75" stroked="false">
              <v:imagedata r:id="rId210" o:title=""/>
            </v:shape>
            <v:shape style="position:absolute;left:8347;top:19511;width:173;height:231" coordorigin="8348,19512" coordsize="173,231" path="m8348,19512l8372,19541m8372,19541l8396,19565m8396,19565l8415,19584m8415,19584l8463,19622m8463,19622l8468,19622,8472,19627,8477,19632,8482,19637,8487,19641,8492,19646,8496,19651,8496,19656,8501,19661,8506,19665,8506,19670,8506,19675,8511,19680,8511,19685,8516,19689,8516,19694,8516,19699,8516,19704,8520,19709,8520,19713,8520,19718,8520,19723,8520,19728,8520,19733,8520,19737,8520,19742e" filled="false" stroked="true" strokeweight=".48002pt" strokecolor="#b2b2b2">
              <v:path arrowok="t"/>
              <v:stroke dashstyle="solid"/>
            </v:shape>
            <v:shape style="position:absolute;left:1545;top:5092;width:8055;height:1589" coordorigin="1546,5093" coordsize="8055,1589" path="m1546,5093l6648,6667m6648,6667l6653,6667,6658,6672,6663,6672,6668,6672,6672,6672,6677,6677,6682,6677,6687,6677,6692,6677,6696,6677,6701,6682,6706,6682,6711,6682,6716,6682,6720,6682,6725,6682,6730,6682,6735,6682,6740,6682m6740,6682l9303,6672,9303,6667,9380,6667,9384,6658,9384,6653,9432,6653,9428,5952,9437,5918,9600,5962e" filled="false" stroked="true" strokeweight="1.9201pt" strokecolor="#000000">
              <v:path arrowok="t"/>
              <v:stroke dashstyle="solid"/>
            </v:shape>
            <v:shape style="position:absolute;left:9581;top:5942;width:173;height:130" type="#_x0000_t75" stroked="false">
              <v:imagedata r:id="rId211" o:title=""/>
            </v:shape>
            <v:shape style="position:absolute;left:9734;top:6052;width:5137;height:13335" coordorigin="9735,6053" coordsize="5137,13335" path="m9735,6053l10138,6590m10138,6590l10153,6614m10153,6614l10210,6610,10537,6605,10652,6605,10657,6605,11060,6600,11084,6634,11132,6730,11223,6854,11333,7027,11372,7133,11429,7325,11458,7421,11477,7483,11501,7579,11511,7632,11535,7738,11559,7834,11597,7930,11621,8016,11641,8112,11669,8218,11703,8371,11722,8448,11775,8947,11924,10128,11943,10305,11953,10397,11948,10637,11919,10881,11857,11088,11765,11313,11665,11496,11612,11597,11559,11717,11477,11885,11405,12067,11338,12235,11261,12432,11161,12609,11079,12739,11012,12873,10925,13056,10873,13200,10796,13401,10753,13598,10738,13877,10724,14131,10757,14333,10796,14539,10853,14712,10949,14889m10949,14889l10954,14894,10954,14899,10959,14904,10959,14909,10964,14913,10969,14918,10969,14923,10973,14928,10978,14933,10978,14937,10983,14942,10988,14947,10988,14952,10993,14957,10997,14961,11002,14966,11002,14971,11007,14976,11012,14981,11017,14985,11017,14990,11021,14995,11026,15000,11031,15005,11036,15009,11041,15014,11045,15019,11050,15024,11055,15029,11060,15033,11065,15038,11069,15043,11074,15048,11079,15053,11084,15057,11089,15062,11093,15067,11098,15072,11103,15077,11108,15077,11113,15081,11117,15086,11122,15091,11127,15091,11132,15096,11137,15101,11141,15105,11146,15105,11151,15110,11156,15115,11161,15115,11165,15120,11170,15125,11175,15125,11180,15129,11185,15134,11189,15134,11194,15139,11199,15139,11204,15144,11209,15144,11213,15149,11218,15153,11223,15153,11228,15158,11233,15158,11237,15163,11242,15163,11247,15163,11252,15168,11257,15168,11261,15173,11266,15173,11271,15177,11276,15177,11281,15177,11285,15182,11290,15182,11295,15187,11300,15187,11305,15187,11309,15192,11314,15192,11319,15192,11324,15197,11329,15197,11333,15197,11338,15201,11343,15201,11348,15201,11353,15201,11357,15206,11362,15206,11367,15206,11372,15206,11377,15206m11377,15206l11381,15211,11386,15211,11391,15211,11396,15211,11401,15216,11405,15216,11410,15216,11415,15216,11420,15221,11425,15221,11429,15221,11434,15225,11439,15225,11444,15225,11449,15225,11453,15230,11458,15230,11463,15230,11468,15230,11473,15235,11477,15235,11482,15235,11487,15235,11492,15240,11497,15240,11501,15240,11506,15245,11511,15245,11516,15245,11521,15245,11525,15249,11530,15249,11535,15249,11540,15254,11545,15254,11549,15254,11554,15259,11559,15259,11564,15259,11569,15259,11573,15264,11578,15264,11583,15264,11588,15269,11593,15269,11597,15269,11602,15273,11607,15273,11612,15273,11617,15273,11621,15278,11626,15278,11631,15278,11636,15283,11641,15283,11645,15283,11650,15288,11655,15288,11660,15288,11665,15293,11669,15293,11674,15293,11679,15297,11684,15297,11689,15297,11693,15302,11698,15302,11703,15302,11708,15307,11713,15307,11717,15307,11722,15312,11727,15312,11732,15312,11737,15317,11741,15317,11746,15317,11751,15321,11756,15321,11761,15326,11765,15326,11770,15326,11775,15331,11780,15331,11785,15331,11789,15336,11794,15336,11799,15336,11804,15341,11809,15341,11813,15341,11818,15345,11823,15345,11828,15350,11833,15350,11837,15350,11842,15355,11847,15355,11852,15360,11857,15360,11861,15360,11866,15365,11871,15365,11876,15365,11881,15369,11885,15369,11890,15374,11895,15374,11900,15374,11905,15379,11909,15379,11914,15384,11919,15384,11924,15384,11929,15389,11933,15389,11938,15393,11943,15393,11948,15393,11953,15398,11957,15398,11962,15403,11967,15403,11972,15408,11977,15408,11981,15408,11986,15413,11991,15413,11996,15417,12001,15417,12005,15417,12010,15422,12015,15422,12020,15427,12025,15427,12029,15432,12034,15432,12039,15432,12044,15437,12049,15437,12053,15441,12058,15441,12063,15446,12068,15446,12073,15451,12077,15451,12082,15456,12087,15456,12092,15456,12097,15461,12101,15461,12106,15465,12111,15465,12116,15470,12121,15470,12125,15475,12130,15475,12135,15480,12140,15480,12145,15485,12149,15485,12154,15485,12159,15489,12164,15489,12169,15494,12173,15494,12178,15499,12183,15499,12188,15504,12193,15504,12197,15509,12202,15509,12207,15513,12212,15513,12217,15518,12221,15518,12226,15523,12231,15523,12236,15528,12241,15528,12245,15533,12250,15533,12255,15537,12260,15537,12265,15542,12269,15542,12274,15547,12279,15547,12284,15552,12289,15552,12293,15557,12298,15557,12303,15561,12308,15566,12313,15566,12317,15571,12322,15571,12327,15576,12332,15576,12337,15581,12341,15581,12346,15585,12351,15585,12356,15590,12361,15590,12365,15595,12370,15600,12375,15600,12380,15605,12385,15605,12389,15609,12394,15609,12399,15614,12404,15614,12409,15619,12413,15624,12418,15624,12423,15629,12428,15629,12433,15633,12437,15633,12442,15638,12447,15643,12452,15643,12457,15648,12461,15648,12466,15653,12471,15657,12476,15657,12481,15662,12485,15662,12490,15667,12495,15667,12500,15672,12505,15677,12509,15677,12514,15681,12519,15681,12524,15686,12529,15691,12533,15691,12538,15696,12543,15701m12543,15701l12601,15739m12601,15739l12817,15902,12975,16046,13114,16200,13201,16305,13359,16483,13532,16713,13681,16949,13849,17102,13998,17246,14113,17395,14271,17592,14454,17755,14617,17966,14727,18086,14818,18173,14871,18821,14866,18821,14871,19037,14862,19109,14842,19104,14780,19099,14396,19089,14396,19099,14247,19094,14166,19089,14041,19219,14002,19219,13998,19277,13998,19373,13642,19377,13642,19387e" filled="false" stroked="true" strokeweight="1.9201pt" strokecolor="#000000">
              <v:path arrowok="t"/>
              <v:stroke dashstyle="solid"/>
            </v:shape>
            <v:shape style="position:absolute;left:13344;top:19267;width:317;height:140" type="#_x0000_t75" stroked="false">
              <v:imagedata r:id="rId212" o:title=""/>
            </v:shape>
            <v:shape style="position:absolute;left:11799;top:18743;width:1565;height:3159" coordorigin="11799,18744" coordsize="1565,3159" path="m13364,19286l13359,19291,12754,18897m12754,18897l12649,18830m12649,18830l12572,18777m12572,18777l12519,18744m12519,18744l12519,18859,12519,18955,12500,18955,12140,18960,12140,19637,12519,19627,12509,21163,12625,21163,12629,21595,12245,21739,11861,21878,11799,21902e" filled="false" stroked="true" strokeweight="1.9201pt" strokecolor="#000000">
              <v:path arrowok="t"/>
              <v:stroke dashstyle="solid"/>
            </v:shape>
            <v:shape style="position:absolute;left:9778;top:9974;width:125;height:130" type="#_x0000_t75" stroked="false">
              <v:imagedata r:id="rId213" o:title=""/>
            </v:shape>
            <v:shape style="position:absolute;left:8914;top:14068;width:553;height:15" coordorigin="8914,14069" coordsize="553,15" path="m9284,14069l9164,14069m9284,14069l9408,14069,9413,14069,9418,14069,9423,14069,9432,14069,9437,14069,9442,14069,9447,14073,9452,14073,9461,14073,9466,14078m9068,14073l8943,14073,8938,14073,8933,14073,8928,14073,8928,14078,8924,14078,8919,14078,8919,14083,8914,14083e" filled="false" stroked="true" strokeweight=".96005pt" strokecolor="#005be5">
              <v:path arrowok="t"/>
              <v:stroke dashstyle="solid"/>
            </v:shape>
            <v:line style="position:absolute" from="9058,14071" to="9116,14071" stroked="true" strokeweight="1.20005pt" strokecolor="#005be5">
              <v:stroke dashstyle="solid"/>
            </v:line>
            <v:line style="position:absolute" from="9164,14069" to="9106,14069" stroked="true" strokeweight=".96005pt" strokecolor="#005be5">
              <v:stroke dashstyle="solid"/>
            </v:line>
            <v:shape style="position:absolute;left:700;top:2870;width:14435;height:20765" type="#_x0000_t75" stroked="false">
              <v:imagedata r:id="rId214" o:title=""/>
            </v:shape>
            <v:line style="position:absolute" from="9980,8424" to="9980,8256" stroked="true" strokeweight=".96005pt" strokecolor="#005be5">
              <v:stroke dashstyle="solid"/>
            </v:line>
            <v:line style="position:absolute" from="9977,8045" to="9977,8266" stroked="true" strokeweight="1.200060pt" strokecolor="#005be5">
              <v:stroke dashstyle="solid"/>
            </v:line>
            <v:line style="position:absolute" from="9965,8045" to="9984,8045" stroked="true" strokeweight=".95999pt" strokecolor="#005be5">
              <v:stroke dashstyle="solid"/>
            </v:line>
            <v:line style="position:absolute" from="9965,8030" to="9984,8030" stroked="true" strokeweight=".48pt" strokecolor="#005be5">
              <v:stroke dashstyle="solid"/>
            </v:line>
            <v:shape style="position:absolute;left:9970;top:7963;width:5;height:63" coordorigin="9970,7963" coordsize="5,63" path="m9975,8026l9970,8011m9970,8011l9970,7963e" filled="false" stroked="true" strokeweight=".96005pt" strokecolor="#005be5">
              <v:path arrowok="t"/>
              <v:stroke dashstyle="solid"/>
            </v:shape>
            <v:shape style="position:absolute;left:720;top:16127;width:3989;height:4061" coordorigin="720,16128" coordsize="3989,4061" path="m4709,20189l4661,20073,4551,19790,4493,19622,3965,18153,3826,17865,3696,17673,3514,17477,2242,16569m2242,16569l2237,16565,2232,16565,2227,16560,2223,16555,2218,16555,2213,16550,2208,16545,2203,16545,2199,16541,2194,16536,2189,16536,2184,16531,2179,16526,2175,16526,2170,16521,2165,16517,2160,16517,2155,16512,2151,16507,2146,16507,2141,16502,2136,16497,2131,16497,2127,16493,2122,16488,2117,16488,2112,16483,2107,16483,2103,16478,2098,16473,2093,16473,2088,16469,2083,16469,2079,16464,2074,16459,2069,16459,2064,16454,2059,16454,2055,16449,2050,16445,2045,16445,2040,16440,2035,16440,2031,16435,2026,16435,2021,16430,2016,16425,2011,16425,2007,16421,2002,16421,1997,16416,1992,16416,1987,16411,1982,16411,1978,16406,1973,16406,1968,16401,1963,16401,1958,16397,1954,16397,1949,16392,1944,16387,1939,16387,1934,16382,1930,16382,1925,16377,1920,16377,1915,16373,1910,16373,1906,16368,1901,16368,1896,16368,1891,16363,1886,16363,1882,16358,1877,16358,1872,16353,1867,16353,1862,16349,1858,16349,1853,16344,1848,16344,1843,16339,1838,16339,1834,16334,1829,16334,1824,16334,1819,16329,1814,16329,1810,16325,1805,16325,1800,16320,1795,16320,1790,16320,1786,16315,1781,16315,1776,16310,1771,16310,1766,16305,1762,16305,1757,16305,1752,16301,1747,16301,1742,16296,1738,16296,1733,16296,1728,16291,1723,16291,1718,16286,1714,16286,1709,16286,1704,16281,1699,16281,1694,16281,1690,16277,1685,16277,1680,16272,1675,16272,1670,16272,1666,16267,1661,16267,1656,16267,1651,16262,1646,16262,1642,16262,1637,16257,1632,16257,1627,16257,1622,16253,1618,16253,1613,16253,1608,16248,1603,16248,1598,16248,1594,16243,1589,16243,1584,16243,1579,16238,1574,16238,1570,16238,1565,16233,1560,16233,1555,16233,1550,16229,1546,16229,1541,16229,1536,16224,1531,16224,1526,16224,1522,16224,1517,16219,1512,16219,1507,16219,1502,16214,1498,16214,1493,16214,1488,16214,1483,16209,1478,16209,1474,16209,1469,16209,1464,16205,1459,16205,1454,16205,1450,16200,1445,16200,1440,16200,1435,16200,1430,16195,1426,16195,1421,16195,1416,16195,1411,16195,1406,16190,1402,16190,1397,16190,1392,16190,1387,16185,1382,16185,1378,16185,1373,16185,1368,16181,1363,16181,1358,16181,1354,16181,1349,16181,1344,16176,1339,16176,1334,16176,1330,16176,1325,16176,1320,16171,1315,16171,1310,16171,1306,16171,1301,16171,1296,16166,1291,16166,1286,16166,1282,16166,1277,16166,1272,16166,1267,16161,1262,16161,1258,16161,1253,16161,1248,16161,1243,16157,1238,16157,1234,16157,1229,16157,1224,16157,1219,16157,1214,16157,1210,16152,1205,16152,1200,16152,1195,16152,1190,16152,1186,16152,1181,16152,1176,16147,1171,16147,1166,16147,1162,16147,1157,16147,1152,16147,1147,16147,1142,16147,1138,16142,1133,16142,1128,16142,1123,16142,1118,16142,1114,16142,1109,16142,1104,16142,1099,16142,1094,16137,1090,16137,1085,16137,1080,16137,1075,16137,1070,16137,1066,16137,1061,16137,1056,16137,1051,16137,1046,16137,1042,16133,1037,16133,1032,16133,1027,16133,1022,16133,1018,16133,1013,16133,1008,16133,1003,16133,998,16133,994,16133,989,16133,984,16133,979,16133,974,16133,970,16133,965,16128,960,16128,955,16128,950,16128,946,16128,941,16128,936,16128,931,16128,926,16128,922,16128,917,16128,912,16128,907,16128,902,16128,898,16128,893,16128,888,16128,883,16128,878,16128,874,16128,869,16128,864,16128,859,16128,854,16128,850,16128,845,16128,840,16128,835,16128,830,16128,826,16128,821,16128,816,16128,811,16128,806,16128,802,16128,797,16128,792,16128,787,16128,782,16128,778,16128,773,16128,768,16128,763,16128,758,16128,754,16128,749,16133,744,16133,739,16133,734,16133,730,16133,725,16133,720,16133e" filled="false" stroked="true" strokeweight="1.9201pt" strokecolor="#005be5">
              <v:path arrowok="t"/>
              <v:stroke dashstyle="solid"/>
            </v:shape>
            <v:shape style="position:absolute;left:3019;top:6525;width:12126;height:14835" type="#_x0000_t75" stroked="false">
              <v:imagedata r:id="rId231" o:title=""/>
            </v:shape>
            <v:shape style="position:absolute;left:10188;top:22322;width:591;height:135" type="#_x0000_t75" stroked="false">
              <v:imagedata r:id="rId221" o:title=""/>
            </v:shape>
            <v:shape style="position:absolute;left:720;top:2879;width:14401;height:20880" coordorigin="720,2880" coordsize="14401,20880" path="m720,13320l720,2880,15121,2880,15121,23760,720,23760,720,13320e" filled="false" stroked="true" strokeweight=".96005pt" strokecolor="#000000">
              <v:path arrowok="t"/>
              <v:stroke dashstyle="solid"/>
            </v:shape>
            <v:shape style="position:absolute;left:1008;top:18062;width:3130;height:5352" coordorigin="1008,18062" coordsize="3130,5352" path="m3936,23409l1205,23409,1210,23414,3931,23414,3936,23409xm3965,23405l1181,23405,1186,23409,3960,23409,3965,23405xm3979,23400l1166,23400,1171,23405,3975,23405,3979,23400xm3994,23395l1152,23395,1157,23400,3989,23400,3994,23395xm4003,23390l1142,23390,1147,23395,3999,23395,4003,23390xm4013,23385l1133,23385,1138,23390,4008,23390,4013,23385xm4023,23381l1123,23381,1128,23385,4018,23385,4023,23381xm4027,18096l1118,18096,1109,18105,1104,18105,1051,18158,1051,18163,1042,18173,1042,18177,1037,18182,1037,18187,1032,18192,1032,18197,1027,18201,1027,18206,1022,18211,1022,18221,1018,18225,1018,18235,1013,18240,1013,18259,1008,18264,1008,23213,1013,23217,1013,23237,1018,23241,1018,23251,1022,23256,1022,23265,1027,23270,1027,23275,1032,23280,1032,23285,1037,23289,1037,23294,1042,23299,1042,23304,1051,23313,1051,23318,1104,23371,1109,23371,1118,23381,4027,23381,4042,23366,4047,23366,4090,23323,4090,23318,4104,23304,4104,23299,4109,23294,4109,23289,4114,23285,4114,23280,4119,23275,4119,23270,4123,23265,4123,23256,4128,23251,4128,23241,4133,23237,4133,23213,4138,23208,4138,18269,4133,18264,4133,18240,4128,18235,4128,18225,4123,18221,4123,18211,4119,18206,4119,18201,4114,18197,4114,18192,4109,18187,4109,18182,4104,18177,4104,18173,4090,18158,4090,18153,4047,18110,4042,18110,4027,18096xm4018,18091l1128,18091,1123,18096,4023,18096,4018,18091xm4008,18086l1138,18086,1133,18091,4013,18091,4008,18086xm3999,18081l1147,18081,1142,18086,4003,18086,3999,18081xm3989,18077l1157,18077,1152,18081,3994,18081,3989,18077xm3975,18072l1171,18072,1166,18077,3979,18077,3975,18072xm3960,18067l1186,18067,1181,18072,3965,18072,3960,18067xm3931,18062l1210,18062,1205,18067,3936,18067,3931,18062xe" filled="true" fillcolor="#ffffff" stroked="false">
              <v:path arrowok="t"/>
              <v:fill type="solid"/>
            </v:shape>
            <v:rect style="position:absolute;left:1204;top:18263;width:529;height:260" filled="false" stroked="true" strokeweight="1.9201pt" strokecolor="#000000">
              <v:stroke dashstyle="solid"/>
            </v:rect>
            <v:rect style="position:absolute;left:1204;top:18619;width:529;height:260" filled="true" fillcolor="#cccccc" stroked="false">
              <v:fill type="solid"/>
            </v:rect>
            <v:shape style="position:absolute;left:1204;top:18619;width:529;height:260" coordorigin="1205,18619" coordsize="529,260" path="m1205,18878l1205,18758m1205,18638l1205,18619,1306,18619m1426,18619l1546,18619m1666,18619l1733,18619,1733,18672m1733,18792l1733,18878,1694,18878m1574,18878l1454,18878m1334,18878l1214,18878e" filled="false" stroked="true" strokeweight="1.9201pt" strokecolor="#000000">
              <v:path arrowok="t"/>
              <v:stroke dashstyle="solid"/>
            </v:shape>
            <v:line style="position:absolute" from="1205,20261" to="1733,20261" stroked="true" strokeweight="1.9201pt" strokecolor="#8538b9">
              <v:stroke dashstyle="solid"/>
            </v:line>
            <v:line style="position:absolute" from="1205,20611" to="1733,20611" stroked="true" strokeweight="1.9201pt" strokecolor="#3db266">
              <v:stroke dashstyle="solid"/>
            </v:line>
            <v:line style="position:absolute" from="1205,20966" to="1733,20966" stroked="true" strokeweight="1.9201pt" strokecolor="#0084a7">
              <v:stroke dashstyle="solid"/>
            </v:line>
            <v:line style="position:absolute" from="1205,21317" to="1733,21317" stroked="true" strokeweight="1.9201pt" strokecolor="#f479b6">
              <v:stroke dashstyle="solid"/>
            </v:line>
            <v:line style="position:absolute" from="1205,21672" to="1733,21672" stroked="true" strokeweight="1.9201pt" strokecolor="#f4f479">
              <v:stroke dashstyle="solid"/>
            </v:line>
            <v:line style="position:absolute" from="1205,22027" to="1733,22027" stroked="true" strokeweight="1.9201pt" strokecolor="#44c5c9">
              <v:stroke dashstyle="solid"/>
            </v:line>
            <v:line style="position:absolute" from="1205,22377" to="1733,22377" stroked="true" strokeweight="1.9201pt" strokecolor="#ab3966">
              <v:stroke dashstyle="solid"/>
            </v:line>
            <v:line style="position:absolute" from="1205,22733" to="1733,22733" stroked="true" strokeweight="1.9201pt" strokecolor="#cfc92c">
              <v:stroke dashstyle="solid"/>
            </v:line>
            <v:line style="position:absolute" from="1205,23088" to="1733,23088" stroked="true" strokeweight="1.9201pt" strokecolor="#73c42c">
              <v:stroke dashstyle="solid"/>
            </v:line>
            <v:line style="position:absolute" from="3903,23414" to="1238,23414" stroked="true" strokeweight=".96005pt" strokecolor="#000000">
              <v:stroke dashstyle="solid"/>
            </v:line>
            <v:shape style="position:absolute;left:998;top:23169;width:250;height:255" type="#_x0000_t75" stroked="false">
              <v:imagedata r:id="rId232" o:title=""/>
            </v:shape>
            <v:line style="position:absolute" from="1008,23179" to="1008,18297" stroked="true" strokeweight=".96005pt" strokecolor="#000000">
              <v:stroke dashstyle="solid"/>
            </v:line>
            <v:shape style="position:absolute;left:998;top:18052;width:250;height:255" type="#_x0000_t75" stroked="false">
              <v:imagedata r:id="rId233" o:title=""/>
            </v:shape>
            <v:line style="position:absolute" from="1238,18062" to="3903,18062" stroked="true" strokeweight=".96005pt" strokecolor="#000000">
              <v:stroke dashstyle="solid"/>
            </v:line>
            <v:shape style="position:absolute;left:3893;top:18052;width:255;height:255" type="#_x0000_t75" stroked="false">
              <v:imagedata r:id="rId234" o:title=""/>
            </v:shape>
            <v:line style="position:absolute" from="4138,18297" to="4138,23179" stroked="true" strokeweight=".96005pt" strokecolor="#000000">
              <v:stroke dashstyle="solid"/>
            </v:line>
            <v:shape style="position:absolute;left:3893;top:23169;width:255;height:255" type="#_x0000_t75" stroked="false">
              <v:imagedata r:id="rId235" o:title=""/>
            </v:shape>
            <v:rect style="position:absolute;left:720;top:720;width:14401;height:2160" filled="false" stroked="true" strokeweight=".96005pt" strokecolor="#000000">
              <v:stroke dashstyle="solid"/>
            </v:rect>
            <v:shape style="position:absolute;left:14539;top:945;width:341;height:1709" coordorigin="14540,946" coordsize="341,1709" path="m14712,2000l14707,2000,14707,2597,14710,2597,14710,2600,14778,2654,14778,2135,14712,2074,14712,2000xm14881,1657l14596,1657,14574,1662,14556,1674,14544,1692,14540,1713,14540,2000,14825,2000,14846,1996,14864,1983,14876,1965,14880,1949,14707,1949,14687,1947,14668,1942,14649,1933,14632,1921,14620,1910,14632,1898,14610,1898,14594,1860,14590,1819,14590,1818,14600,1779,14625,1745,14643,1730,14664,1719,14685,1712,14707,1710,14881,1710,14881,1657xm14881,1740l14791,1740,14800,1751,14823,1791,14830,1834,14820,1877,14794,1914,14776,1930,14756,1940,14734,1947,14712,1949,14880,1949,14881,1944,14881,1740xm14710,1911l14709,1911,14709,1913,14707,1913,14700,1916,14692,1919,14686,1923,14681,1924,14674,1924,14669,1926,14681,1931,14694,1934,14725,1934,14730,1933,14712,1914,14710,1911xm14751,1882l14741,1890,14733,1896,14723,1903,14748,1928,14758,1923,14769,1918,14778,1910,14751,1882xm14676,1877l14645,1908,14653,1913,14666,1913,14686,1906,14699,1900,14676,1877xm14712,1728l14707,1728,14669,1737,14638,1760,14616,1792,14609,1829,14609,1834,14610,1845,14612,1859,14617,1872,14623,1885,14610,1898,14632,1898,14661,1868,14640,1868,14633,1857,14630,1844,14630,1829,14632,1815,14636,1800,14644,1786,14655,1773,14666,1763,14679,1756,14693,1752,14707,1750,14781,1750,14787,1743,14764,1743,14753,1737,14740,1733,14726,1729,14712,1728xm14784,1842l14778,1852,14769,1862,14761,1870,14789,1898,14797,1888,14804,1877,14807,1867,14784,1842xm14710,1842l14686,1867,14707,1886,14712,1891,14722,1886,14730,1878,14740,1870,14712,1844,14710,1842xm14720,1769l14707,1769,14696,1771,14686,1774,14677,1780,14668,1788,14659,1797,14654,1808,14651,1819,14650,1829,14650,1839,14651,1847,14653,1854,14640,1868,14661,1868,14712,1817,14757,1773,14733,1773,14720,1769xm14746,1806l14722,1830,14751,1860,14759,1850,14773,1830,14746,1806xm14805,1789l14805,1794,14804,1799,14802,1806,14799,1812,14792,1829,14812,1849,14813,1834,14813,1829,14813,1818,14810,1803,14805,1789xm14789,1765l14758,1794,14781,1817,14782,1811,14786,1806,14792,1786,14792,1773,14789,1765xm14781,1750l14725,1750,14737,1753,14748,1758,14733,1773,14757,1773,14781,1750xm14881,1710l14712,1710,14729,1712,14746,1716,14762,1723,14776,1732,14764,1743,14787,1743,14791,1740,14881,1740,14881,1710xm14712,946l14642,1522,14707,1585,14707,1657,14712,1657,14712,946xe" filled="true" fillcolor="#335f93" stroked="false">
              <v:path arrowok="t"/>
              <v:fill type="solid"/>
            </v:shape>
            <v:shape style="position:absolute;left:14590;top:1710;width:186;height:188" type="#_x0000_t75" stroked="false">
              <v:imagedata r:id="rId123" o:title=""/>
            </v:shape>
            <v:shape style="position:absolute;left:816;top:1046;width:1509;height:1796" type="#_x0000_t75" stroked="false">
              <v:imagedata r:id="rId124" o:title=""/>
            </v:shape>
            <w10:wrap type="none"/>
          </v:group>
        </w:pict>
      </w:r>
      <w:r>
        <w:rPr>
          <w:rFonts w:ascii="Arial"/>
          <w:color w:val="FFFF00"/>
          <w:spacing w:val="-253"/>
          <w:w w:val="251"/>
          <w:position w:val="-4"/>
          <w:sz w:val="36"/>
        </w:rPr>
        <w:t>!</w:t>
      </w:r>
      <w:r>
        <w:rPr>
          <w:rFonts w:ascii="Arial"/>
          <w:w w:val="89"/>
          <w:position w:val="-4"/>
          <w:sz w:val="36"/>
        </w:rPr>
        <w:t>O</w:t>
      </w:r>
      <w:r>
        <w:rPr>
          <w:rFonts w:ascii="Arial"/>
          <w:position w:val="-4"/>
          <w:sz w:val="36"/>
        </w:rPr>
        <w:tab/>
      </w:r>
      <w:r>
        <w:rPr>
          <w:rFonts w:ascii="Arial"/>
          <w:spacing w:val="-10"/>
          <w:w w:val="103"/>
          <w:sz w:val="19"/>
        </w:rPr>
        <w:t>T</w:t>
      </w:r>
      <w:r>
        <w:rPr>
          <w:rFonts w:ascii="Arial"/>
          <w:spacing w:val="1"/>
          <w:w w:val="103"/>
          <w:sz w:val="19"/>
        </w:rPr>
        <w:t>r</w:t>
      </w:r>
      <w:r>
        <w:rPr>
          <w:rFonts w:ascii="Arial"/>
          <w:spacing w:val="5"/>
          <w:w w:val="103"/>
          <w:sz w:val="19"/>
        </w:rPr>
        <w:t>a</w:t>
      </w:r>
      <w:r>
        <w:rPr>
          <w:rFonts w:ascii="Arial"/>
          <w:w w:val="103"/>
          <w:sz w:val="19"/>
        </w:rPr>
        <w:t>n</w:t>
      </w:r>
      <w:r>
        <w:rPr>
          <w:rFonts w:ascii="Arial"/>
          <w:spacing w:val="2"/>
          <w:w w:val="103"/>
          <w:sz w:val="19"/>
        </w:rPr>
        <w:t>s</w:t>
      </w:r>
      <w:r>
        <w:rPr>
          <w:rFonts w:ascii="Arial"/>
          <w:spacing w:val="-1"/>
          <w:w w:val="103"/>
          <w:sz w:val="19"/>
        </w:rPr>
        <w:t>i</w:t>
      </w:r>
      <w:r>
        <w:rPr>
          <w:rFonts w:ascii="Arial"/>
          <w:w w:val="103"/>
          <w:sz w:val="19"/>
        </w:rPr>
        <w:t>t</w:t>
      </w:r>
      <w:r>
        <w:rPr>
          <w:rFonts w:ascii="Arial"/>
          <w:spacing w:val="2"/>
          <w:sz w:val="19"/>
        </w:rPr>
        <w:t> </w:t>
      </w:r>
      <w:r>
        <w:rPr>
          <w:rFonts w:ascii="Arial"/>
          <w:spacing w:val="1"/>
          <w:w w:val="103"/>
          <w:sz w:val="19"/>
        </w:rPr>
        <w:t>C</w:t>
      </w:r>
      <w:r>
        <w:rPr>
          <w:rFonts w:ascii="Arial"/>
          <w:w w:val="103"/>
          <w:sz w:val="19"/>
        </w:rPr>
        <w:t>e</w:t>
      </w:r>
      <w:r>
        <w:rPr>
          <w:rFonts w:ascii="Arial"/>
          <w:spacing w:val="5"/>
          <w:w w:val="103"/>
          <w:sz w:val="19"/>
        </w:rPr>
        <w:t>n</w:t>
      </w:r>
      <w:r>
        <w:rPr>
          <w:rFonts w:ascii="Arial"/>
          <w:spacing w:val="-2"/>
          <w:w w:val="103"/>
          <w:sz w:val="19"/>
        </w:rPr>
        <w:t>t</w:t>
      </w:r>
      <w:r>
        <w:rPr>
          <w:rFonts w:ascii="Arial"/>
          <w:spacing w:val="5"/>
          <w:w w:val="103"/>
          <w:sz w:val="19"/>
        </w:rPr>
        <w:t>e</w:t>
      </w:r>
      <w:r>
        <w:rPr>
          <w:rFonts w:ascii="Arial"/>
          <w:w w:val="103"/>
          <w:sz w:val="19"/>
        </w:rPr>
        <w:t>r</w:t>
      </w:r>
      <w:r>
        <w:rPr>
          <w:rFonts w:ascii="Arial"/>
          <w:sz w:val="19"/>
        </w:rPr>
        <w:tab/>
      </w:r>
      <w:r>
        <w:rPr>
          <w:rFonts w:ascii="Arial"/>
          <w:w w:val="103"/>
          <w:sz w:val="19"/>
          <w:u w:val="single" w:color="B2B2B2"/>
        </w:rPr>
        <w:t> </w:t>
      </w:r>
      <w:r>
        <w:rPr>
          <w:rFonts w:ascii="Arial"/>
          <w:spacing w:val="12"/>
          <w:sz w:val="19"/>
          <w:u w:val="single" w:color="B2B2B2"/>
        </w:rPr>
        <w:t> </w:t>
      </w:r>
    </w:p>
    <w:p>
      <w:pPr>
        <w:spacing w:before="46"/>
        <w:ind w:left="1824" w:right="0" w:firstLine="0"/>
        <w:jc w:val="left"/>
        <w:rPr>
          <w:rFonts w:ascii="Arial"/>
          <w:sz w:val="19"/>
        </w:rPr>
      </w:pPr>
      <w:r>
        <w:rPr>
          <w:rFonts w:ascii="Arial"/>
          <w:w w:val="105"/>
          <w:sz w:val="19"/>
        </w:rPr>
        <w:t>Bus Route</w:t>
      </w:r>
      <w:r>
        <w:rPr>
          <w:rFonts w:ascii="Arial"/>
          <w:spacing w:val="-7"/>
          <w:w w:val="105"/>
          <w:sz w:val="19"/>
        </w:rPr>
        <w:t> </w:t>
      </w:r>
      <w:r>
        <w:rPr>
          <w:rFonts w:ascii="Arial"/>
          <w:w w:val="105"/>
          <w:sz w:val="19"/>
        </w:rPr>
        <w:t>23</w:t>
      </w:r>
    </w:p>
    <w:p>
      <w:pPr>
        <w:spacing w:before="137"/>
        <w:ind w:left="1824" w:right="0" w:firstLine="0"/>
        <w:jc w:val="left"/>
        <w:rPr>
          <w:rFonts w:ascii="Arial"/>
          <w:sz w:val="19"/>
        </w:rPr>
      </w:pPr>
      <w:r>
        <w:rPr>
          <w:rFonts w:ascii="Arial"/>
          <w:w w:val="105"/>
          <w:sz w:val="19"/>
        </w:rPr>
        <w:t>Bus Route</w:t>
      </w:r>
      <w:r>
        <w:rPr>
          <w:rFonts w:ascii="Arial"/>
          <w:spacing w:val="-7"/>
          <w:w w:val="105"/>
          <w:sz w:val="19"/>
        </w:rPr>
        <w:t> </w:t>
      </w:r>
      <w:r>
        <w:rPr>
          <w:rFonts w:ascii="Arial"/>
          <w:w w:val="105"/>
          <w:sz w:val="19"/>
        </w:rPr>
        <w:t>25</w:t>
      </w:r>
    </w:p>
    <w:p>
      <w:pPr>
        <w:spacing w:line="391" w:lineRule="auto" w:before="131"/>
        <w:ind w:left="1824" w:right="2507" w:firstLine="0"/>
        <w:jc w:val="left"/>
        <w:rPr>
          <w:rFonts w:ascii="Arial"/>
          <w:sz w:val="19"/>
        </w:rPr>
      </w:pPr>
      <w:r>
        <w:rPr>
          <w:rFonts w:ascii="Arial"/>
          <w:w w:val="105"/>
          <w:sz w:val="19"/>
        </w:rPr>
        <w:t>Bus Route 26 Bus Route </w:t>
      </w:r>
      <w:r>
        <w:rPr>
          <w:rFonts w:ascii="Arial"/>
          <w:spacing w:val="-4"/>
          <w:w w:val="105"/>
          <w:sz w:val="19"/>
        </w:rPr>
        <w:t>39K </w:t>
      </w:r>
      <w:r>
        <w:rPr>
          <w:rFonts w:ascii="Arial"/>
          <w:w w:val="105"/>
          <w:sz w:val="19"/>
        </w:rPr>
        <w:t>Bus Route</w:t>
      </w:r>
      <w:r>
        <w:rPr>
          <w:rFonts w:ascii="Arial"/>
          <w:spacing w:val="-2"/>
          <w:w w:val="105"/>
          <w:sz w:val="19"/>
        </w:rPr>
        <w:t> </w:t>
      </w:r>
      <w:r>
        <w:rPr>
          <w:rFonts w:ascii="Arial"/>
          <w:w w:val="105"/>
          <w:sz w:val="19"/>
        </w:rPr>
        <w:t>50</w:t>
      </w:r>
    </w:p>
    <w:p>
      <w:pPr>
        <w:spacing w:line="211" w:lineRule="exact" w:before="0"/>
        <w:ind w:left="1824" w:right="0" w:firstLine="0"/>
        <w:jc w:val="left"/>
        <w:rPr>
          <w:rFonts w:ascii="Arial"/>
          <w:sz w:val="19"/>
        </w:rPr>
      </w:pPr>
      <w:r>
        <w:rPr>
          <w:rFonts w:ascii="Arial"/>
          <w:w w:val="105"/>
          <w:sz w:val="19"/>
        </w:rPr>
        <w:t>Bus Route</w:t>
      </w:r>
      <w:r>
        <w:rPr>
          <w:rFonts w:ascii="Arial"/>
          <w:spacing w:val="-7"/>
          <w:w w:val="105"/>
          <w:sz w:val="19"/>
        </w:rPr>
        <w:t> </w:t>
      </w:r>
      <w:r>
        <w:rPr>
          <w:rFonts w:ascii="Arial"/>
          <w:spacing w:val="-5"/>
          <w:w w:val="105"/>
          <w:sz w:val="19"/>
        </w:rPr>
        <w:t>110</w:t>
      </w:r>
    </w:p>
    <w:p>
      <w:pPr>
        <w:spacing w:before="137"/>
        <w:ind w:left="1824" w:right="0" w:firstLine="0"/>
        <w:jc w:val="left"/>
        <w:rPr>
          <w:rFonts w:ascii="Arial"/>
          <w:sz w:val="19"/>
        </w:rPr>
      </w:pPr>
      <w:r>
        <w:rPr>
          <w:rFonts w:ascii="Arial"/>
          <w:w w:val="105"/>
          <w:sz w:val="19"/>
        </w:rPr>
        <w:t>Bus Route</w:t>
      </w:r>
      <w:r>
        <w:rPr>
          <w:rFonts w:ascii="Arial"/>
          <w:spacing w:val="-8"/>
          <w:w w:val="105"/>
          <w:sz w:val="19"/>
        </w:rPr>
        <w:t> </w:t>
      </w:r>
      <w:r>
        <w:rPr>
          <w:rFonts w:ascii="Arial"/>
          <w:w w:val="105"/>
          <w:sz w:val="19"/>
        </w:rPr>
        <w:t>120</w:t>
      </w:r>
    </w:p>
    <w:p>
      <w:pPr>
        <w:spacing w:before="132"/>
        <w:ind w:left="1824" w:right="0" w:firstLine="0"/>
        <w:jc w:val="left"/>
        <w:rPr>
          <w:rFonts w:ascii="Arial"/>
          <w:sz w:val="19"/>
        </w:rPr>
      </w:pPr>
      <w:r>
        <w:rPr>
          <w:rFonts w:ascii="Arial"/>
          <w:w w:val="105"/>
          <w:sz w:val="19"/>
        </w:rPr>
        <w:t>Bus Route</w:t>
      </w:r>
      <w:r>
        <w:rPr>
          <w:rFonts w:ascii="Arial"/>
          <w:spacing w:val="-8"/>
          <w:w w:val="105"/>
          <w:sz w:val="19"/>
        </w:rPr>
        <w:t> </w:t>
      </w:r>
      <w:r>
        <w:rPr>
          <w:rFonts w:ascii="Arial"/>
          <w:w w:val="105"/>
          <w:sz w:val="19"/>
        </w:rPr>
        <w:t>225</w:t>
      </w:r>
    </w:p>
    <w:p>
      <w:pPr>
        <w:spacing w:before="137"/>
        <w:ind w:left="1824" w:right="0" w:firstLine="0"/>
        <w:jc w:val="left"/>
        <w:rPr>
          <w:rFonts w:ascii="Arial"/>
          <w:sz w:val="19"/>
        </w:rPr>
      </w:pPr>
      <w:r>
        <w:rPr>
          <w:rFonts w:ascii="Arial"/>
          <w:w w:val="105"/>
          <w:sz w:val="19"/>
        </w:rPr>
        <w:t>Bus Route</w:t>
      </w:r>
      <w:r>
        <w:rPr>
          <w:rFonts w:ascii="Arial"/>
          <w:spacing w:val="-8"/>
          <w:w w:val="105"/>
          <w:sz w:val="19"/>
        </w:rPr>
        <w:t> </w:t>
      </w:r>
      <w:r>
        <w:rPr>
          <w:rFonts w:ascii="Arial"/>
          <w:w w:val="105"/>
          <w:sz w:val="19"/>
        </w:rPr>
        <w:t>815</w:t>
      </w:r>
    </w:p>
    <w:p>
      <w:pPr>
        <w:pStyle w:val="BodyText"/>
        <w:rPr>
          <w:rFonts w:ascii="Arial"/>
          <w:sz w:val="40"/>
        </w:rPr>
      </w:pPr>
      <w:r>
        <w:rPr/>
        <w:br w:type="column"/>
      </w:r>
      <w:r>
        <w:rPr>
          <w:rFonts w:ascii="Arial"/>
          <w:sz w:val="40"/>
        </w:rPr>
      </w:r>
    </w:p>
    <w:p>
      <w:pPr>
        <w:pStyle w:val="BodyText"/>
        <w:rPr>
          <w:rFonts w:ascii="Arial"/>
          <w:sz w:val="40"/>
        </w:rPr>
      </w:pPr>
    </w:p>
    <w:p>
      <w:pPr>
        <w:pStyle w:val="BodyText"/>
        <w:rPr>
          <w:rFonts w:ascii="Arial"/>
          <w:sz w:val="40"/>
        </w:rPr>
      </w:pPr>
    </w:p>
    <w:p>
      <w:pPr>
        <w:pStyle w:val="BodyText"/>
        <w:rPr>
          <w:rFonts w:ascii="Arial"/>
          <w:sz w:val="40"/>
        </w:rPr>
      </w:pPr>
    </w:p>
    <w:p>
      <w:pPr>
        <w:pStyle w:val="BodyText"/>
        <w:rPr>
          <w:rFonts w:ascii="Arial"/>
          <w:sz w:val="40"/>
        </w:rPr>
      </w:pPr>
    </w:p>
    <w:p>
      <w:pPr>
        <w:pStyle w:val="BodyText"/>
        <w:spacing w:before="1"/>
        <w:rPr>
          <w:rFonts w:ascii="Arial"/>
          <w:sz w:val="51"/>
        </w:rPr>
      </w:pPr>
    </w:p>
    <w:p>
      <w:pPr>
        <w:spacing w:before="0"/>
        <w:ind w:left="0" w:right="38" w:firstLine="0"/>
        <w:jc w:val="right"/>
        <w:rPr>
          <w:rFonts w:ascii="Arial" w:hAnsi="Arial"/>
          <w:b/>
          <w:sz w:val="11"/>
        </w:rPr>
      </w:pPr>
      <w:r>
        <w:rPr/>
        <w:pict>
          <v:shape style="position:absolute;margin-left:509.750092pt;margin-top:-11.915743pt;width:28.8pt;height:6.5pt;mso-position-horizontal-relative:page;mso-position-vertical-relative:paragraph;z-index:252066816;rotation:1" type="#_x0000_t136" fillcolor="#4d4d4d" stroked="f">
            <o:extrusion v:ext="view" autorotationcenter="t"/>
            <v:textpath style="font-family:&quot;Century Gothic&quot;;font-size:6pt;v-text-kern:t;mso-text-shadow:auto;font-weight:bold" string="Reata Rd"/>
            <w10:wrap type="none"/>
          </v:shape>
        </w:pict>
      </w:r>
      <w:r>
        <w:rPr>
          <w:rFonts w:ascii="Arial" w:hAnsi="Arial"/>
          <w:color w:val="FF0000"/>
          <w:spacing w:val="-283"/>
          <w:w w:val="126"/>
          <w:sz w:val="40"/>
        </w:rPr>
        <w:t>§</w:t>
      </w:r>
      <w:r>
        <w:rPr>
          <w:rFonts w:ascii="Arial" w:hAnsi="Arial"/>
          <w:spacing w:val="-283"/>
          <w:w w:val="271"/>
          <w:sz w:val="40"/>
        </w:rPr>
        <w:t>¦</w:t>
      </w:r>
      <w:r>
        <w:rPr>
          <w:rFonts w:ascii="Arial" w:hAnsi="Arial"/>
          <w:color w:val="0000FF"/>
          <w:spacing w:val="-208"/>
          <w:w w:val="211"/>
          <w:sz w:val="40"/>
        </w:rPr>
        <w:t>¨</w:t>
      </w:r>
      <w:r>
        <w:rPr>
          <w:rFonts w:ascii="Arial" w:hAnsi="Arial"/>
          <w:b/>
          <w:color w:val="FFFFFF"/>
          <w:spacing w:val="-2"/>
          <w:w w:val="104"/>
          <w:position w:val="10"/>
          <w:sz w:val="11"/>
        </w:rPr>
        <w:t>8</w:t>
      </w:r>
      <w:r>
        <w:rPr>
          <w:rFonts w:ascii="Arial" w:hAnsi="Arial"/>
          <w:b/>
          <w:color w:val="FFFFFF"/>
          <w:w w:val="104"/>
          <w:position w:val="10"/>
          <w:sz w:val="11"/>
        </w:rPr>
        <w:t>2</w:t>
      </w:r>
    </w:p>
    <w:p>
      <w:pPr>
        <w:spacing w:before="261"/>
        <w:ind w:left="2736" w:right="0" w:firstLine="0"/>
        <w:jc w:val="left"/>
        <w:rPr>
          <w:rFonts w:ascii="Arial"/>
          <w:sz w:val="36"/>
        </w:rPr>
      </w:pPr>
      <w:r>
        <w:rPr/>
        <w:br w:type="column"/>
      </w:r>
      <w:r>
        <w:rPr>
          <w:rFonts w:ascii="Arial"/>
          <w:color w:val="FFFF00"/>
          <w:spacing w:val="-253"/>
          <w:w w:val="251"/>
          <w:sz w:val="36"/>
        </w:rPr>
        <w:t>!</w:t>
      </w:r>
      <w:r>
        <w:rPr>
          <w:rFonts w:ascii="Arial"/>
          <w:w w:val="89"/>
          <w:sz w:val="36"/>
        </w:rPr>
        <w:t>O</w:t>
      </w:r>
    </w:p>
    <w:p>
      <w:pPr>
        <w:pStyle w:val="BodyText"/>
        <w:rPr>
          <w:rFonts w:ascii="Arial"/>
          <w:sz w:val="36"/>
        </w:rPr>
      </w:pPr>
    </w:p>
    <w:p>
      <w:pPr>
        <w:pStyle w:val="BodyText"/>
        <w:spacing w:before="8"/>
        <w:rPr>
          <w:rFonts w:ascii="Arial"/>
          <w:sz w:val="47"/>
        </w:rPr>
      </w:pPr>
    </w:p>
    <w:p>
      <w:pPr>
        <w:spacing w:before="0"/>
        <w:ind w:left="1356" w:right="0" w:firstLine="0"/>
        <w:jc w:val="left"/>
        <w:rPr>
          <w:rFonts w:ascii="Arial"/>
          <w:sz w:val="24"/>
        </w:rPr>
      </w:pPr>
      <w:r>
        <w:rPr/>
        <w:pict>
          <v:shape style="position:absolute;margin-left:595.380884pt;margin-top:-58.051767pt;width:36.050pt;height:6.5pt;mso-position-horizontal-relative:page;mso-position-vertical-relative:paragraph;z-index:252077056;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616.787476pt;margin-top:-78.429909pt;width:11.25pt;height:68.4pt;mso-position-horizontal-relative:page;mso-position-vertical-relative:paragraph;z-index:252090368" type="#_x0000_t202" filled="false" stroked="false">
            <v:textbox inset="0,0,0,0" style="layout-flow:vertical;mso-layout-flow-alt:bottom-to-top">
              <w:txbxContent>
                <w:p>
                  <w:pPr>
                    <w:tabs>
                      <w:tab w:pos="1347" w:val="left" w:leader="none"/>
                    </w:tabs>
                    <w:spacing w:before="45"/>
                    <w:ind w:left="20" w:right="0" w:firstLine="0"/>
                    <w:jc w:val="left"/>
                    <w:rPr>
                      <w:rFonts w:ascii="Century Gothic"/>
                      <w:b/>
                      <w:sz w:val="13"/>
                    </w:rPr>
                  </w:pPr>
                  <w:r>
                    <w:rPr>
                      <w:rFonts w:ascii="Century Gothic"/>
                      <w:b/>
                      <w:color w:val="4D4D4D"/>
                      <w:w w:val="99"/>
                      <w:sz w:val="13"/>
                      <w:u w:val="single" w:color="B2B2B2"/>
                    </w:rPr>
                    <w:t> </w:t>
                  </w:r>
                  <w:r>
                    <w:rPr>
                      <w:rFonts w:ascii="Century Gothic"/>
                      <w:b/>
                      <w:color w:val="4D4D4D"/>
                      <w:sz w:val="13"/>
                      <w:u w:val="single" w:color="B2B2B2"/>
                    </w:rPr>
                    <w:tab/>
                  </w:r>
                </w:p>
              </w:txbxContent>
            </v:textbox>
            <w10:wrap type="none"/>
          </v:shape>
        </w:pict>
      </w:r>
      <w:r>
        <w:rPr>
          <w:rFonts w:ascii="Arial"/>
          <w:shadow/>
          <w:color w:val="6B6B6C"/>
          <w:sz w:val="24"/>
        </w:rPr>
        <w:t>K</w:t>
      </w:r>
      <w:r>
        <w:rPr>
          <w:rFonts w:ascii="Arial"/>
          <w:shadow w:val="0"/>
          <w:color w:val="6B6B6C"/>
          <w:spacing w:val="-11"/>
          <w:sz w:val="24"/>
        </w:rPr>
        <w:t> </w:t>
      </w:r>
      <w:r>
        <w:rPr>
          <w:rFonts w:ascii="Arial"/>
          <w:shadow/>
          <w:color w:val="6B6B6C"/>
          <w:sz w:val="24"/>
        </w:rPr>
        <w:t>e</w:t>
      </w:r>
      <w:r>
        <w:rPr>
          <w:rFonts w:ascii="Arial"/>
          <w:shadow w:val="0"/>
          <w:color w:val="6B6B6C"/>
          <w:spacing w:val="-4"/>
          <w:sz w:val="24"/>
        </w:rPr>
        <w:t> </w:t>
      </w:r>
      <w:r>
        <w:rPr>
          <w:rFonts w:ascii="Arial"/>
          <w:shadow/>
          <w:color w:val="6B6B6C"/>
          <w:sz w:val="24"/>
        </w:rPr>
        <w:t>n</w:t>
      </w:r>
      <w:r>
        <w:rPr>
          <w:rFonts w:ascii="Arial"/>
          <w:shadow w:val="0"/>
          <w:color w:val="6B6B6C"/>
          <w:spacing w:val="-9"/>
          <w:sz w:val="24"/>
        </w:rPr>
        <w:t> </w:t>
      </w:r>
      <w:r>
        <w:rPr>
          <w:rFonts w:ascii="Arial"/>
          <w:shadow/>
          <w:color w:val="6B6B6C"/>
          <w:sz w:val="24"/>
        </w:rPr>
        <w:t>n</w:t>
      </w:r>
      <w:r>
        <w:rPr>
          <w:rFonts w:ascii="Arial"/>
          <w:shadow w:val="0"/>
          <w:color w:val="6B6B6C"/>
          <w:spacing w:val="-9"/>
          <w:sz w:val="24"/>
        </w:rPr>
        <w:t> </w:t>
      </w:r>
      <w:r>
        <w:rPr>
          <w:rFonts w:ascii="Arial"/>
          <w:shadow/>
          <w:color w:val="6B6B6C"/>
          <w:sz w:val="24"/>
        </w:rPr>
        <w:t>e</w:t>
      </w:r>
      <w:r>
        <w:rPr>
          <w:rFonts w:ascii="Arial"/>
          <w:shadow w:val="0"/>
          <w:color w:val="6B6B6C"/>
          <w:spacing w:val="-9"/>
          <w:sz w:val="24"/>
        </w:rPr>
        <w:t> </w:t>
      </w:r>
      <w:r>
        <w:rPr>
          <w:rFonts w:ascii="Arial"/>
          <w:shadow/>
          <w:color w:val="6B6B6C"/>
          <w:sz w:val="24"/>
        </w:rPr>
        <w:t>w</w:t>
      </w:r>
      <w:r>
        <w:rPr>
          <w:rFonts w:ascii="Arial"/>
          <w:shadow w:val="0"/>
          <w:color w:val="6B6B6C"/>
          <w:spacing w:val="-5"/>
          <w:sz w:val="24"/>
        </w:rPr>
        <w:t> </w:t>
      </w:r>
      <w:r>
        <w:rPr>
          <w:rFonts w:ascii="Arial"/>
          <w:shadow/>
          <w:color w:val="6B6B6C"/>
          <w:sz w:val="24"/>
        </w:rPr>
        <w:t>i</w:t>
      </w:r>
      <w:r>
        <w:rPr>
          <w:rFonts w:ascii="Arial"/>
          <w:shadow w:val="0"/>
          <w:color w:val="6B6B6C"/>
          <w:spacing w:val="-10"/>
          <w:sz w:val="24"/>
        </w:rPr>
        <w:t> </w:t>
      </w:r>
      <w:r>
        <w:rPr>
          <w:rFonts w:ascii="Arial"/>
          <w:shadow/>
          <w:color w:val="6B6B6C"/>
          <w:sz w:val="24"/>
        </w:rPr>
        <w:t>c</w:t>
      </w:r>
      <w:r>
        <w:rPr>
          <w:rFonts w:ascii="Arial"/>
          <w:shadow w:val="0"/>
          <w:color w:val="6B6B6C"/>
          <w:spacing w:val="-5"/>
          <w:sz w:val="24"/>
        </w:rPr>
        <w:t> </w:t>
      </w:r>
      <w:r>
        <w:rPr>
          <w:rFonts w:ascii="Arial"/>
          <w:shadow/>
          <w:color w:val="6B6B6C"/>
          <w:sz w:val="24"/>
        </w:rPr>
        <w:t>k</w:t>
      </w: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5"/>
        <w:rPr>
          <w:rFonts w:ascii="Arial"/>
          <w:sz w:val="30"/>
        </w:rPr>
      </w:pPr>
    </w:p>
    <w:p>
      <w:pPr>
        <w:spacing w:before="0"/>
        <w:ind w:left="1341" w:right="0" w:firstLine="0"/>
        <w:jc w:val="left"/>
        <w:rPr>
          <w:rFonts w:ascii="Century Gothic"/>
          <w:sz w:val="24"/>
        </w:rPr>
      </w:pPr>
      <w:r>
        <w:rPr>
          <w:rFonts w:ascii="Century Gothic"/>
          <w:sz w:val="24"/>
        </w:rPr>
        <w:t>February 27, 2017</w:t>
      </w:r>
    </w:p>
    <w:p>
      <w:pPr>
        <w:spacing w:after="0"/>
        <w:jc w:val="left"/>
        <w:rPr>
          <w:rFonts w:ascii="Century Gothic"/>
          <w:sz w:val="24"/>
        </w:rPr>
        <w:sectPr>
          <w:type w:val="continuous"/>
          <w:pgSz w:w="15840" w:h="24480"/>
          <w:pgMar w:top="1480" w:bottom="1320" w:left="0" w:right="0"/>
          <w:cols w:num="3" w:equalWidth="0">
            <w:col w:w="5681" w:space="1611"/>
            <w:col w:w="1583" w:space="2816"/>
            <w:col w:w="4149"/>
          </w:cols>
        </w:sect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spacing w:before="8"/>
        <w:rPr>
          <w:rFonts w:ascii="Century Gothic"/>
          <w:sz w:val="15"/>
        </w:rPr>
      </w:pPr>
    </w:p>
    <w:p>
      <w:pPr>
        <w:spacing w:before="100"/>
        <w:ind w:left="5184" w:right="0" w:firstLine="0"/>
        <w:jc w:val="left"/>
        <w:rPr>
          <w:rFonts w:ascii="Century Gothic"/>
          <w:b/>
          <w:sz w:val="72"/>
        </w:rPr>
      </w:pPr>
      <w:r>
        <w:rPr>
          <w:rFonts w:ascii="Century Gothic"/>
          <w:b/>
          <w:color w:val="004CA7"/>
          <w:sz w:val="72"/>
        </w:rPr>
        <w:t>City of Richland</w:t>
      </w:r>
    </w:p>
    <w:p>
      <w:pPr>
        <w:pStyle w:val="ListParagraph"/>
        <w:numPr>
          <w:ilvl w:val="1"/>
          <w:numId w:val="6"/>
        </w:numPr>
        <w:tabs>
          <w:tab w:pos="6093" w:val="left" w:leader="none"/>
        </w:tabs>
        <w:spacing w:line="240" w:lineRule="auto" w:before="47" w:after="0"/>
        <w:ind w:left="6092" w:right="0" w:hanging="671"/>
        <w:jc w:val="left"/>
        <w:rPr>
          <w:rFonts w:ascii="Century Gothic"/>
          <w:b/>
          <w:sz w:val="40"/>
        </w:rPr>
      </w:pPr>
      <w:r>
        <w:rPr>
          <w:rFonts w:ascii="Century Gothic"/>
          <w:b/>
          <w:sz w:val="40"/>
        </w:rPr>
        <w:t>- Volume to Capacity</w:t>
      </w:r>
      <w:r>
        <w:rPr>
          <w:rFonts w:ascii="Century Gothic"/>
          <w:b/>
          <w:spacing w:val="8"/>
          <w:sz w:val="40"/>
        </w:rPr>
        <w:t> </w:t>
      </w:r>
      <w:r>
        <w:rPr>
          <w:rFonts w:ascii="Century Gothic"/>
          <w:b/>
          <w:sz w:val="40"/>
        </w:rPr>
        <w:t>Ratios</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5"/>
        <w:rPr>
          <w:rFonts w:ascii="Century Gothic"/>
          <w:b/>
        </w:rPr>
      </w:pPr>
    </w:p>
    <w:p>
      <w:pPr>
        <w:spacing w:after="0"/>
        <w:rPr>
          <w:rFonts w:ascii="Century Gothic"/>
        </w:rPr>
        <w:sectPr>
          <w:footerReference w:type="default" r:id="rId236"/>
          <w:pgSz w:w="15840" w:h="24480"/>
          <w:pgMar w:footer="0" w:header="0" w:top="0" w:bottom="280" w:left="0" w:right="0"/>
        </w:sectPr>
      </w:pPr>
    </w:p>
    <w:p>
      <w:pPr>
        <w:pStyle w:val="BodyText"/>
        <w:spacing w:before="7"/>
        <w:rPr>
          <w:rFonts w:ascii="Century Gothic"/>
          <w:b/>
          <w:sz w:val="35"/>
        </w:rPr>
      </w:pPr>
    </w:p>
    <w:p>
      <w:pPr>
        <w:spacing w:before="0"/>
        <w:ind w:left="0" w:right="0" w:firstLine="0"/>
        <w:jc w:val="right"/>
        <w:rPr>
          <w:rFonts w:ascii="Arial"/>
          <w:b/>
          <w:sz w:val="13"/>
        </w:rPr>
      </w:pPr>
      <w:r>
        <w:rPr/>
        <w:pict>
          <v:shape style="position:absolute;margin-left:105.871437pt;margin-top:-51.595379pt;width:19.25pt;height:5pt;mso-position-horizontal-relative:page;mso-position-vertical-relative:paragraph;z-index:252131328;rotation:37" type="#_x0000_t136" fillcolor="#000000" stroked="f">
            <o:extrusion v:ext="view" autorotationcenter="t"/>
            <v:textpath style="font-family:&quot;Arial Narrow&quot;;font-size:5pt;v-text-kern:t;mso-text-shadow:auto;font-weight:bold" string="380 / 1200"/>
            <w10:wrap type="none"/>
          </v:shape>
        </w:pict>
      </w:r>
      <w:r>
        <w:rPr>
          <w:rFonts w:ascii="Arial Black"/>
          <w:color w:val="FFFFFF"/>
          <w:spacing w:val="-271"/>
          <w:w w:val="101"/>
          <w:position w:val="-2"/>
          <w:sz w:val="32"/>
        </w:rPr>
        <w:t>U</w:t>
      </w:r>
      <w:r>
        <w:rPr>
          <w:rFonts w:ascii="Arial Black"/>
          <w:spacing w:val="-246"/>
          <w:w w:val="108"/>
          <w:position w:val="-2"/>
          <w:sz w:val="32"/>
        </w:rPr>
        <w:t>V</w:t>
      </w:r>
      <w:r>
        <w:rPr>
          <w:rFonts w:ascii="Arial"/>
          <w:b/>
          <w:spacing w:val="-2"/>
          <w:w w:val="102"/>
          <w:sz w:val="13"/>
        </w:rPr>
        <w:t>2</w:t>
      </w:r>
      <w:r>
        <w:rPr>
          <w:rFonts w:ascii="Arial"/>
          <w:b/>
          <w:spacing w:val="3"/>
          <w:w w:val="102"/>
          <w:sz w:val="13"/>
        </w:rPr>
        <w:t>4</w:t>
      </w:r>
      <w:r>
        <w:rPr>
          <w:rFonts w:ascii="Arial"/>
          <w:b/>
          <w:w w:val="102"/>
          <w:sz w:val="13"/>
        </w:rPr>
        <w:t>0</w:t>
      </w:r>
    </w:p>
    <w:p>
      <w:pPr>
        <w:pStyle w:val="BodyText"/>
        <w:rPr>
          <w:rFonts w:ascii="Arial"/>
          <w:b/>
          <w:sz w:val="12"/>
        </w:rPr>
      </w:pPr>
      <w:r>
        <w:rPr/>
        <w:br w:type="column"/>
      </w:r>
      <w:r>
        <w:rPr>
          <w:rFonts w:ascii="Arial"/>
          <w:b/>
          <w:sz w:val="12"/>
        </w:rPr>
      </w:r>
    </w:p>
    <w:p>
      <w:pPr>
        <w:pStyle w:val="BodyText"/>
        <w:spacing w:before="9"/>
        <w:rPr>
          <w:rFonts w:ascii="Arial"/>
          <w:b/>
          <w:sz w:val="13"/>
        </w:rPr>
      </w:pPr>
    </w:p>
    <w:p>
      <w:pPr>
        <w:spacing w:before="0"/>
        <w:ind w:left="0" w:right="0" w:firstLine="0"/>
        <w:jc w:val="right"/>
        <w:rPr>
          <w:rFonts w:ascii="Arial Narrow"/>
          <w:b/>
          <w:sz w:val="10"/>
        </w:rPr>
      </w:pPr>
      <w:r>
        <w:rPr/>
        <w:pict>
          <v:shape style="position:absolute;margin-left:308.026306pt;margin-top:-5.061597pt;width:14.85pt;height:5pt;mso-position-horizontal-relative:page;mso-position-vertical-relative:paragraph;z-index:252114944;rotation:16" type="#_x0000_t136" fillcolor="#000000" stroked="f">
            <o:extrusion v:ext="view" autorotationcenter="t"/>
            <v:textpath style="font-family:&quot;Arial Narrow&quot;;font-size:5pt;v-text-kern:t;mso-text-shadow:auto;font-weight:bold" string="26 / 800"/>
            <w10:wrap type="none"/>
          </v:shape>
        </w:pict>
      </w:r>
      <w:r>
        <w:rPr/>
        <w:pict>
          <v:shape style="position:absolute;margin-left:232.788712pt;margin-top:16.491728pt;width:19.95pt;height:55.05pt;mso-position-horizontal-relative:page;mso-position-vertical-relative:paragraph;z-index:252160000"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position w:val="1"/>
                      <w:sz w:val="13"/>
                    </w:rPr>
                    <w:t>Twin Br</w:t>
                  </w:r>
                  <w:r>
                    <w:rPr>
                      <w:rFonts w:ascii="Century Gothic"/>
                      <w:b/>
                      <w:color w:val="4D4D4D"/>
                      <w:sz w:val="13"/>
                    </w:rPr>
                    <w:t>idges Rd</w:t>
                  </w:r>
                </w:p>
                <w:p>
                  <w:pPr>
                    <w:spacing w:before="72"/>
                    <w:ind w:left="0" w:right="18" w:firstLine="0"/>
                    <w:jc w:val="right"/>
                    <w:rPr>
                      <w:rFonts w:ascii="Arial Narrow"/>
                      <w:b/>
                      <w:sz w:val="10"/>
                    </w:rPr>
                  </w:pPr>
                  <w:r>
                    <w:rPr>
                      <w:rFonts w:ascii="Arial Narrow"/>
                      <w:b/>
                      <w:sz w:val="10"/>
                    </w:rPr>
                    <w:t>190 / 800</w:t>
                  </w:r>
                </w:p>
              </w:txbxContent>
            </v:textbox>
            <w10:wrap type="none"/>
          </v:shape>
        </w:pict>
      </w:r>
      <w:r>
        <w:rPr/>
        <w:pict>
          <v:shape style="position:absolute;margin-left:345.243408pt;margin-top:8.838576pt;width:18pt;height:57.75pt;mso-position-horizontal-relative:page;mso-position-vertical-relative:paragraph;z-index:252164096"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Kin</w:t>
                  </w:r>
                  <w:r>
                    <w:rPr>
                      <w:rFonts w:ascii="Century Gothic"/>
                      <w:b/>
                      <w:color w:val="4D4D4D"/>
                      <w:position w:val="1"/>
                      <w:sz w:val="13"/>
                    </w:rPr>
                    <w:t>gsga</w:t>
                  </w:r>
                  <w:r>
                    <w:rPr>
                      <w:rFonts w:ascii="Century Gothic"/>
                      <w:b/>
                      <w:color w:val="4D4D4D"/>
                      <w:position w:val="2"/>
                      <w:sz w:val="13"/>
                    </w:rPr>
                    <w:t>te W</w:t>
                  </w:r>
                  <w:r>
                    <w:rPr>
                      <w:rFonts w:ascii="Century Gothic"/>
                      <w:b/>
                      <w:color w:val="4D4D4D"/>
                      <w:position w:val="3"/>
                      <w:sz w:val="13"/>
                    </w:rPr>
                    <w:t>ay</w:t>
                  </w:r>
                </w:p>
                <w:p>
                  <w:pPr>
                    <w:spacing w:before="10"/>
                    <w:ind w:left="0" w:right="18" w:firstLine="0"/>
                    <w:jc w:val="right"/>
                    <w:rPr>
                      <w:rFonts w:ascii="Arial Narrow"/>
                      <w:b/>
                      <w:sz w:val="10"/>
                    </w:rPr>
                  </w:pPr>
                  <w:r>
                    <w:rPr>
                      <w:rFonts w:ascii="Arial Narrow"/>
                      <w:b/>
                      <w:sz w:val="10"/>
                    </w:rPr>
                    <w:t>295 / 800</w:t>
                  </w:r>
                </w:p>
              </w:txbxContent>
            </v:textbox>
            <w10:wrap type="none"/>
          </v:shape>
        </w:pict>
      </w:r>
      <w:r>
        <w:rPr>
          <w:rFonts w:ascii="Arial Narrow"/>
          <w:b/>
          <w:sz w:val="10"/>
        </w:rPr>
        <w:t>46 / 800</w:t>
      </w:r>
    </w:p>
    <w:p>
      <w:pPr>
        <w:spacing w:before="106"/>
        <w:ind w:left="237" w:right="0" w:firstLine="0"/>
        <w:jc w:val="left"/>
        <w:rPr>
          <w:rFonts w:ascii="Century Gothic"/>
          <w:b/>
          <w:sz w:val="13"/>
        </w:rPr>
      </w:pPr>
      <w:r>
        <w:rPr/>
        <w:br w:type="column"/>
      </w:r>
      <w:r>
        <w:rPr>
          <w:rFonts w:ascii="Century Gothic"/>
          <w:b/>
          <w:color w:val="4D4D4D"/>
          <w:sz w:val="13"/>
        </w:rPr>
        <w:t>Horn Rapids Rd</w:t>
      </w:r>
    </w:p>
    <w:p>
      <w:pPr>
        <w:pStyle w:val="BodyText"/>
        <w:rPr>
          <w:rFonts w:ascii="Century Gothic"/>
          <w:b/>
          <w:sz w:val="16"/>
        </w:rPr>
      </w:pPr>
    </w:p>
    <w:p>
      <w:pPr>
        <w:pStyle w:val="BodyText"/>
        <w:rPr>
          <w:rFonts w:ascii="Century Gothic"/>
          <w:b/>
          <w:sz w:val="16"/>
        </w:rPr>
      </w:pPr>
    </w:p>
    <w:p>
      <w:pPr>
        <w:pStyle w:val="BodyText"/>
        <w:spacing w:before="5"/>
        <w:rPr>
          <w:rFonts w:ascii="Century Gothic"/>
          <w:b/>
          <w:sz w:val="14"/>
        </w:rPr>
      </w:pPr>
    </w:p>
    <w:p>
      <w:pPr>
        <w:spacing w:before="0"/>
        <w:ind w:left="550" w:right="0" w:firstLine="0"/>
        <w:jc w:val="center"/>
        <w:rPr>
          <w:rFonts w:ascii="Century Gothic"/>
          <w:b/>
          <w:sz w:val="13"/>
        </w:rPr>
      </w:pPr>
      <w:r>
        <w:rPr>
          <w:rFonts w:ascii="Century Gothic"/>
          <w:b/>
          <w:color w:val="4D4D4D"/>
          <w:sz w:val="13"/>
        </w:rPr>
        <w:t>Battelle B</w:t>
      </w:r>
      <w:r>
        <w:rPr>
          <w:rFonts w:ascii="Century Gothic"/>
          <w:b/>
          <w:color w:val="4D4D4D"/>
          <w:position w:val="1"/>
          <w:sz w:val="13"/>
        </w:rPr>
        <w:t>lvd</w:t>
      </w:r>
    </w:p>
    <w:p>
      <w:pPr>
        <w:spacing w:before="51"/>
        <w:ind w:left="636" w:right="0" w:firstLine="0"/>
        <w:jc w:val="center"/>
        <w:rPr>
          <w:rFonts w:ascii="Arial Narrow"/>
          <w:b/>
          <w:sz w:val="10"/>
        </w:rPr>
      </w:pPr>
      <w:r>
        <w:rPr/>
        <w:pict>
          <v:shape style="position:absolute;margin-left:473.303741pt;margin-top:13.605562pt;width:7.95pt;height:23.75pt;mso-position-horizontal-relative:page;mso-position-vertical-relative:paragraph;z-index:252175360" type="#_x0000_t202" filled="false" stroked="false">
            <v:textbox inset="0,0,0,0" style="layout-flow:vertical;mso-layout-flow-alt:bottom-to-top">
              <w:txbxContent>
                <w:p>
                  <w:pPr>
                    <w:spacing w:before="23"/>
                    <w:ind w:left="20" w:right="0" w:firstLine="0"/>
                    <w:jc w:val="left"/>
                    <w:rPr>
                      <w:rFonts w:ascii="Arial Narrow"/>
                      <w:b/>
                      <w:sz w:val="10"/>
                    </w:rPr>
                  </w:pPr>
                  <w:r>
                    <w:rPr>
                      <w:rFonts w:ascii="Arial Narrow"/>
                      <w:b/>
                      <w:sz w:val="10"/>
                    </w:rPr>
                    <w:t>1258 / 2400</w:t>
                  </w:r>
                </w:p>
              </w:txbxContent>
            </v:textbox>
            <w10:wrap type="none"/>
          </v:shape>
        </w:pict>
      </w:r>
      <w:r>
        <w:rPr>
          <w:rFonts w:ascii="Arial Narrow"/>
          <w:b/>
          <w:sz w:val="10"/>
        </w:rPr>
        <w:t>76 / 800</w:t>
      </w:r>
    </w:p>
    <w:p>
      <w:pPr>
        <w:pStyle w:val="BodyText"/>
        <w:rPr>
          <w:rFonts w:ascii="Arial Narrow"/>
          <w:b/>
          <w:sz w:val="12"/>
        </w:rPr>
      </w:pPr>
      <w:r>
        <w:rPr/>
        <w:br w:type="column"/>
      </w:r>
      <w:r>
        <w:rPr>
          <w:rFonts w:ascii="Arial Narrow"/>
          <w:b/>
          <w:sz w:val="12"/>
        </w:rPr>
      </w:r>
    </w:p>
    <w:p>
      <w:pPr>
        <w:pStyle w:val="BodyText"/>
        <w:spacing w:before="10"/>
        <w:rPr>
          <w:rFonts w:ascii="Arial Narrow"/>
          <w:b/>
          <w:sz w:val="12"/>
        </w:rPr>
      </w:pPr>
    </w:p>
    <w:p>
      <w:pPr>
        <w:spacing w:before="0"/>
        <w:ind w:left="530" w:right="0" w:firstLine="0"/>
        <w:jc w:val="left"/>
        <w:rPr>
          <w:rFonts w:ascii="Arial Narrow"/>
          <w:b/>
          <w:sz w:val="10"/>
        </w:rPr>
      </w:pPr>
      <w:r>
        <w:rPr/>
        <w:pict>
          <v:shape style="position:absolute;margin-left:457.442542pt;margin-top:16.040974pt;width:21.7pt;height:5pt;mso-position-horizontal-relative:page;mso-position-vertical-relative:paragraph;z-index:252156928;rotation:86" type="#_x0000_t136" fillcolor="#000000" stroked="f">
            <o:extrusion v:ext="view" autorotationcenter="t"/>
            <v:textpath style="font-family:&quot;Arial Narrow&quot;;font-size:5pt;v-text-kern:t;mso-text-shadow:auto;font-weight:bold" string="1545 / 2400"/>
            <w10:wrap type="none"/>
          </v:shape>
        </w:pict>
      </w:r>
      <w:r>
        <w:rPr>
          <w:rFonts w:ascii="Arial Narrow"/>
          <w:b/>
          <w:sz w:val="10"/>
        </w:rPr>
        <w:t>87 / 800</w:t>
      </w:r>
    </w:p>
    <w:p>
      <w:pPr>
        <w:spacing w:after="0"/>
        <w:jc w:val="left"/>
        <w:rPr>
          <w:rFonts w:ascii="Arial Narrow"/>
          <w:sz w:val="10"/>
        </w:rPr>
        <w:sectPr>
          <w:type w:val="continuous"/>
          <w:pgSz w:w="15840" w:h="24480"/>
          <w:pgMar w:top="1480" w:bottom="1320" w:left="0" w:right="0"/>
          <w:cols w:num="4" w:equalWidth="0">
            <w:col w:w="4168" w:space="40"/>
            <w:col w:w="3449" w:space="39"/>
            <w:col w:w="1338" w:space="39"/>
            <w:col w:w="6767"/>
          </w:cols>
        </w:sectPr>
      </w:pPr>
    </w:p>
    <w:p>
      <w:pPr>
        <w:pStyle w:val="BodyText"/>
        <w:rPr>
          <w:rFonts w:ascii="Arial Narrow"/>
          <w:b/>
          <w:sz w:val="20"/>
        </w:rPr>
      </w:pPr>
    </w:p>
    <w:p>
      <w:pPr>
        <w:pStyle w:val="BodyText"/>
        <w:rPr>
          <w:rFonts w:ascii="Arial Narrow"/>
          <w:b/>
          <w:sz w:val="20"/>
        </w:rPr>
      </w:pPr>
    </w:p>
    <w:p>
      <w:pPr>
        <w:pStyle w:val="BodyText"/>
        <w:spacing w:before="10"/>
        <w:rPr>
          <w:rFonts w:ascii="Arial Narrow"/>
          <w:b/>
          <w:sz w:val="20"/>
        </w:rPr>
      </w:pPr>
    </w:p>
    <w:p>
      <w:pPr>
        <w:spacing w:before="104"/>
        <w:ind w:left="7746" w:right="3862" w:firstLine="0"/>
        <w:jc w:val="center"/>
        <w:rPr>
          <w:rFonts w:ascii="Century Gothic"/>
          <w:b/>
          <w:sz w:val="13"/>
        </w:rPr>
      </w:pPr>
      <w:r>
        <w:rPr/>
        <w:pict>
          <v:shape style="position:absolute;margin-left:410.595154pt;margin-top:103.762985pt;width:19.3pt;height:5pt;mso-position-horizontal-relative:page;mso-position-vertical-relative:paragraph;z-index:252129280;rotation:34" type="#_x0000_t136" fillcolor="#000000" stroked="f">
            <o:extrusion v:ext="view" autorotationcenter="t"/>
            <v:textpath style="font-family:&quot;Arial Narrow&quot;;font-size:5pt;v-text-kern:t;mso-text-shadow:auto;font-weight:bold" string="810 / 1200"/>
            <w10:wrap type="none"/>
          </v:shape>
        </w:pict>
      </w:r>
      <w:r>
        <w:rPr/>
        <w:pict>
          <v:shape style="position:absolute;margin-left:367.431702pt;margin-top:73.595787pt;width:19.2pt;height:5pt;mso-position-horizontal-relative:page;mso-position-vertical-relative:paragraph;z-index:252130304;rotation:35" type="#_x0000_t136" fillcolor="#000000" stroked="f">
            <o:extrusion v:ext="view" autorotationcenter="t"/>
            <v:textpath style="font-family:&quot;Arial Narrow&quot;;font-size:5pt;v-text-kern:t;mso-text-shadow:auto;font-weight:bold" string="810 / 1200"/>
            <w10:wrap type="none"/>
          </v:shape>
        </w:pict>
      </w:r>
      <w:r>
        <w:rPr/>
        <w:pict>
          <v:shape style="position:absolute;margin-left:274.813263pt;margin-top:5.84762pt;width:19.2pt;height:5pt;mso-position-horizontal-relative:page;mso-position-vertical-relative:paragraph;z-index:252132352;rotation:37" type="#_x0000_t136" fillcolor="#000000" stroked="f">
            <o:extrusion v:ext="view" autorotationcenter="t"/>
            <v:textpath style="font-family:&quot;Arial Narrow&quot;;font-size:5pt;v-text-kern:t;mso-text-shadow:auto;font-weight:bold" string="600 / 1200"/>
            <w10:wrap type="none"/>
          </v:shape>
        </w:pict>
      </w:r>
      <w:r>
        <w:rPr/>
        <w:pict>
          <v:shape style="position:absolute;margin-left:240.108514pt;margin-top:-7.296855pt;width:16.8pt;height:5pt;mso-position-horizontal-relative:page;mso-position-vertical-relative:paragraph;z-index:252186624;rotation:272" type="#_x0000_t136" fillcolor="#000000" stroked="f">
            <o:extrusion v:ext="view" autorotationcenter="t"/>
            <v:textpath style="font-family:&quot;Arial Narrow&quot;;font-size:5pt;v-text-kern:t;mso-text-shadow:auto;font-weight:bold" string="311 / 800"/>
            <w10:wrap type="none"/>
          </v:shape>
        </w:pict>
      </w:r>
      <w:r>
        <w:rPr/>
        <w:pict>
          <v:shape style="position:absolute;margin-left:448.586078pt;margin-top:45.065177pt;width:33.25pt;height:6.65pt;mso-position-horizontal-relative:page;mso-position-vertical-relative:paragraph;z-index:252187648;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65.900757pt;margin-top:61.085491pt;width:21.75pt;height:5pt;mso-position-horizontal-relative:page;mso-position-vertical-relative:paragraph;z-index:252188672;rotation:272" type="#_x0000_t136" fillcolor="#000000" stroked="f">
            <o:extrusion v:ext="view" autorotationcenter="t"/>
            <v:textpath style="font-family:&quot;Arial Narrow&quot;;font-size:5pt;v-text-kern:t;mso-text-shadow:auto;font-weight:bold" string="1357 / 2400"/>
            <w10:wrap type="none"/>
          </v:shape>
        </w:pict>
      </w:r>
      <w:r>
        <w:rPr/>
        <w:pict>
          <v:shape style="position:absolute;margin-left:465.069946pt;margin-top:108.71579pt;width:21.75pt;height:5pt;mso-position-horizontal-relative:page;mso-position-vertical-relative:paragraph;z-index:252190720;rotation:272" type="#_x0000_t136" fillcolor="#000000" stroked="f">
            <o:extrusion v:ext="view" autorotationcenter="t"/>
            <v:textpath style="font-family:&quot;Arial Narrow&quot;;font-size:5pt;v-text-kern:t;mso-text-shadow:auto;font-weight:bold" string="1557 / 2400"/>
            <w10:wrap type="none"/>
          </v:shape>
        </w:pict>
      </w:r>
      <w:r>
        <w:rPr/>
        <w:pict>
          <v:shape style="position:absolute;margin-left:466.730322pt;margin-top:72.683145pt;width:80.6pt;height:6.65pt;mso-position-horizontal-relative:page;mso-position-vertical-relative:paragraph;z-index:252191744;rotation:272" type="#_x0000_t136" fillcolor="#4d4d4d" stroked="f">
            <o:extrusion v:ext="view" autorotationcenter="t"/>
            <v:textpath style="font-family:&quot;Century Gothic&quot;;font-size:6pt;v-text-kern:t;mso-text-shadow:auto;font-weight:bold" string="George Washington Way"/>
            <w10:wrap type="none"/>
          </v:shape>
        </w:pict>
      </w:r>
      <w:r>
        <w:rPr/>
        <w:pict>
          <v:shape style="position:absolute;margin-left:504.383984pt;margin-top:107.983852pt;width:21.4pt;height:5pt;mso-position-horizontal-relative:page;mso-position-vertical-relative:paragraph;z-index:252192768;rotation:272" type="#_x0000_t136" fillcolor="#000000" stroked="f">
            <o:extrusion v:ext="view" autorotationcenter="t"/>
            <v:textpath style="font-family:&quot;Arial Narrow&quot;;font-size:5pt;v-text-kern:t;mso-text-shadow:auto;font-weight:bold" string="1137 / 1600"/>
            <w10:wrap type="none"/>
          </v:shape>
        </w:pict>
      </w:r>
      <w:r>
        <w:rPr/>
        <w:pict>
          <v:shape style="position:absolute;margin-left:506.741333pt;margin-top:60.664906pt;width:19.25pt;height:5pt;mso-position-horizontal-relative:page;mso-position-vertical-relative:paragraph;z-index:252193792;rotation:272" type="#_x0000_t136" fillcolor="#000000" stroked="f">
            <o:extrusion v:ext="view" autorotationcenter="t"/>
            <v:textpath style="font-family:&quot;Arial Narrow&quot;;font-size:5pt;v-text-kern:t;mso-text-shadow:auto;font-weight:bold" string="812 / 1600"/>
            <w10:wrap type="none"/>
          </v:shape>
        </w:pict>
      </w:r>
      <w:r>
        <w:rPr/>
        <w:pict>
          <v:shape style="position:absolute;margin-left:412.456348pt;margin-top:80.666508pt;width:40.75pt;height:6.65pt;mso-position-horizontal-relative:page;mso-position-vertical-relative:paragraph;z-index:252198912;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351.572968pt;margin-top:12.263587pt;width:17pt;height:5pt;mso-position-horizontal-relative:page;mso-position-vertical-relative:paragraph;z-index:252200960;rotation:284" type="#_x0000_t136" fillcolor="#000000" stroked="f">
            <o:extrusion v:ext="view" autorotationcenter="t"/>
            <v:textpath style="font-family:&quot;Arial Narrow&quot;;font-size:5pt;v-text-kern:t;mso-text-shadow:auto;font-weight:bold" string="350 / 800"/>
            <w10:wrap type="none"/>
          </v:shape>
        </w:pict>
      </w:r>
      <w:r>
        <w:rPr/>
        <w:pict>
          <v:shape style="position:absolute;margin-left:345.637323pt;margin-top:58.196394pt;width:17.05pt;height:5pt;mso-position-horizontal-relative:page;mso-position-vertical-relative:paragraph;z-index:252203008;rotation:287" type="#_x0000_t136" fillcolor="#000000" stroked="f">
            <o:extrusion v:ext="view" autorotationcenter="t"/>
            <v:textpath style="font-family:&quot;Arial Narrow&quot;;font-size:5pt;v-text-kern:t;mso-text-shadow:auto;font-weight:bold" string="325 / 800"/>
            <w10:wrap type="none"/>
          </v:shape>
        </w:pict>
      </w:r>
      <w:r>
        <w:rPr/>
        <w:pict>
          <v:shape style="position:absolute;margin-left:434.335272pt;margin-top:108.691972pt;width:16.7pt;height:5pt;mso-position-horizontal-relative:page;mso-position-vertical-relative:paragraph;z-index:252204032;rotation:288" type="#_x0000_t136" fillcolor="#000000" stroked="f">
            <o:extrusion v:ext="view" autorotationcenter="t"/>
            <v:textpath style="font-family:&quot;Arial Narrow&quot;;font-size:5pt;v-text-kern:t;mso-text-shadow:auto;font-weight:bold" string="115 / 800"/>
            <w10:wrap type="none"/>
          </v:shape>
        </w:pict>
      </w:r>
      <w:r>
        <w:rPr/>
        <w:pict>
          <v:shape style="position:absolute;margin-left:393.600909pt;margin-top:68.168305pt;width:40.25pt;height:6.65pt;mso-position-horizontal-relative:page;mso-position-vertical-relative:paragraph;z-index:252211200;rotation:306" type="#_x0000_t136" fillcolor="#4d4d4d" stroked="f">
            <o:extrusion v:ext="view" autorotationcenter="t"/>
            <v:textpath style="font-family:&quot;Century Gothic&quot;;font-size:6pt;v-text-kern:t;mso-text-shadow:auto;font-weight:bold" string="Logston Blvd"/>
            <w10:wrap type="none"/>
          </v:shape>
        </w:pict>
      </w:r>
      <w:r>
        <w:rPr/>
        <w:pict>
          <v:shape style="position:absolute;margin-left:405.294269pt;margin-top:86.993298pt;width:14.85pt;height:5pt;mso-position-horizontal-relative:page;mso-position-vertical-relative:paragraph;z-index:252212224;rotation:306" type="#_x0000_t136" fillcolor="#000000" stroked="f">
            <o:extrusion v:ext="view" autorotationcenter="t"/>
            <v:textpath style="font-family:&quot;Arial Narrow&quot;;font-size:5pt;v-text-kern:t;mso-text-shadow:auto;font-weight:bold" string="55 / 800"/>
            <w10:wrap type="none"/>
          </v:shape>
        </w:pict>
      </w:r>
      <w:r>
        <w:rPr>
          <w:rFonts w:ascii="Century Gothic"/>
          <w:b/>
          <w:color w:val="4D4D4D"/>
          <w:sz w:val="13"/>
        </w:rPr>
        <w:t>Univer</w:t>
      </w:r>
      <w:r>
        <w:rPr>
          <w:rFonts w:ascii="Century Gothic"/>
          <w:b/>
          <w:color w:val="4D4D4D"/>
          <w:position w:val="1"/>
          <w:sz w:val="13"/>
        </w:rPr>
        <w:t>sity 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0"/>
        <w:rPr>
          <w:rFonts w:ascii="Century Gothic"/>
          <w:b/>
          <w:sz w:val="21"/>
        </w:rPr>
      </w:pPr>
    </w:p>
    <w:p>
      <w:pPr>
        <w:spacing w:after="0"/>
        <w:rPr>
          <w:rFonts w:ascii="Century Gothic"/>
          <w:sz w:val="21"/>
        </w:rPr>
        <w:sectPr>
          <w:type w:val="continuous"/>
          <w:pgSz w:w="15840" w:h="24480"/>
          <w:pgMar w:top="1480" w:bottom="1320" w:left="0" w:right="0"/>
        </w:sectPr>
      </w:pPr>
    </w:p>
    <w:p>
      <w:pPr>
        <w:pStyle w:val="BodyText"/>
        <w:spacing w:before="4"/>
        <w:rPr>
          <w:rFonts w:ascii="Century Gothic"/>
          <w:b/>
          <w:sz w:val="23"/>
        </w:rPr>
      </w:pPr>
    </w:p>
    <w:p>
      <w:pPr>
        <w:spacing w:before="0"/>
        <w:ind w:left="2470" w:right="0" w:firstLine="0"/>
        <w:jc w:val="left"/>
        <w:rPr>
          <w:rFonts w:ascii="Arial"/>
          <w:sz w:val="20"/>
        </w:rPr>
      </w:pPr>
      <w:r>
        <w:rPr/>
        <w:pict>
          <v:shape style="position:absolute;margin-left:314.69425pt;margin-top:-13.382353pt;width:21.7pt;height:5pt;mso-position-horizontal-relative:page;mso-position-vertical-relative:paragraph;z-index:252139520;rotation:50" type="#_x0000_t136" fillcolor="#000000" stroked="f">
            <o:extrusion v:ext="view" autorotationcenter="t"/>
            <v:textpath style="font-family:&quot;Arial Narrow&quot;;font-size:5pt;v-text-kern:t;mso-text-shadow:auto;font-weight:bold" string="1080 / 1600"/>
            <w10:wrap type="none"/>
          </v:shape>
        </w:pict>
      </w:r>
      <w:r>
        <w:rPr/>
        <w:pict>
          <v:shape style="position:absolute;margin-left:328.539368pt;margin-top:-46.262264pt;width:10.25pt;height:30.8pt;mso-position-horizontal-relative:page;mso-position-vertical-relative:paragraph;z-index:252163072"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Jones Rd</w:t>
                  </w:r>
                </w:p>
              </w:txbxContent>
            </v:textbox>
            <w10:wrap type="none"/>
          </v:shape>
        </w:pict>
      </w:r>
      <w:r>
        <w:rPr>
          <w:rFonts w:ascii="Arial"/>
          <w:shadow/>
          <w:color w:val="6B6B6C"/>
          <w:sz w:val="20"/>
        </w:rPr>
        <w:t>W</w:t>
      </w:r>
      <w:r>
        <w:rPr>
          <w:rFonts w:ascii="Arial"/>
          <w:shadow w:val="0"/>
          <w:color w:val="6B6B6C"/>
          <w:sz w:val="20"/>
        </w:rPr>
        <w:t> </w:t>
      </w:r>
      <w:r>
        <w:rPr>
          <w:rFonts w:ascii="Arial"/>
          <w:shadow/>
          <w:color w:val="6B6B6C"/>
          <w:sz w:val="20"/>
        </w:rPr>
        <w:t>e</w:t>
      </w:r>
      <w:r>
        <w:rPr>
          <w:rFonts w:ascii="Arial"/>
          <w:shadow w:val="0"/>
          <w:color w:val="6B6B6C"/>
          <w:sz w:val="20"/>
        </w:rPr>
        <w:t> </w:t>
      </w:r>
      <w:r>
        <w:rPr>
          <w:rFonts w:ascii="Arial"/>
          <w:shadow/>
          <w:color w:val="6B6B6C"/>
          <w:sz w:val="20"/>
        </w:rPr>
        <w:t>s</w:t>
      </w:r>
      <w:r>
        <w:rPr>
          <w:rFonts w:ascii="Arial"/>
          <w:shadow w:val="0"/>
          <w:color w:val="6B6B6C"/>
          <w:sz w:val="20"/>
        </w:rPr>
        <w:t> </w:t>
      </w:r>
      <w:r>
        <w:rPr>
          <w:rFonts w:ascii="Arial"/>
          <w:shadow/>
          <w:color w:val="6B6B6C"/>
          <w:sz w:val="20"/>
        </w:rPr>
        <w:t>t</w:t>
      </w:r>
      <w:r>
        <w:rPr>
          <w:rFonts w:ascii="Arial"/>
          <w:shadow w:val="0"/>
          <w:color w:val="6B6B6C"/>
          <w:sz w:val="20"/>
        </w:rPr>
        <w:t> </w:t>
      </w:r>
      <w:r>
        <w:rPr>
          <w:rFonts w:ascii="Arial"/>
          <w:shadow/>
          <w:color w:val="6B6B6C"/>
          <w:sz w:val="20"/>
        </w:rPr>
        <w:t>R</w:t>
      </w:r>
      <w:r>
        <w:rPr>
          <w:rFonts w:ascii="Arial"/>
          <w:shadow w:val="0"/>
          <w:color w:val="6B6B6C"/>
          <w:sz w:val="20"/>
        </w:rPr>
        <w:t> </w:t>
      </w:r>
      <w:r>
        <w:rPr>
          <w:rFonts w:ascii="Arial"/>
          <w:shadow/>
          <w:color w:val="6B6B6C"/>
          <w:sz w:val="20"/>
        </w:rPr>
        <w:t>i</w:t>
      </w:r>
      <w:r>
        <w:rPr>
          <w:rFonts w:ascii="Arial"/>
          <w:shadow w:val="0"/>
          <w:color w:val="6B6B6C"/>
          <w:sz w:val="20"/>
        </w:rPr>
        <w:t> </w:t>
      </w:r>
      <w:r>
        <w:rPr>
          <w:rFonts w:ascii="Arial"/>
          <w:shadow/>
          <w:color w:val="6B6B6C"/>
          <w:sz w:val="20"/>
        </w:rPr>
        <w:t>c</w:t>
      </w:r>
      <w:r>
        <w:rPr>
          <w:rFonts w:ascii="Arial"/>
          <w:shadow w:val="0"/>
          <w:color w:val="6B6B6C"/>
          <w:sz w:val="20"/>
        </w:rPr>
        <w:t> </w:t>
      </w:r>
      <w:r>
        <w:rPr>
          <w:rFonts w:ascii="Arial"/>
          <w:shadow/>
          <w:color w:val="6B6B6C"/>
          <w:sz w:val="20"/>
        </w:rPr>
        <w:t>h</w:t>
      </w:r>
      <w:r>
        <w:rPr>
          <w:rFonts w:ascii="Arial"/>
          <w:shadow w:val="0"/>
          <w:color w:val="6B6B6C"/>
          <w:sz w:val="20"/>
        </w:rPr>
        <w:t> </w:t>
      </w:r>
      <w:r>
        <w:rPr>
          <w:rFonts w:ascii="Arial"/>
          <w:shadow/>
          <w:color w:val="6B6B6C"/>
          <w:sz w:val="20"/>
        </w:rPr>
        <w:t>l</w:t>
      </w:r>
      <w:r>
        <w:rPr>
          <w:rFonts w:ascii="Arial"/>
          <w:shadow w:val="0"/>
          <w:color w:val="6B6B6C"/>
          <w:sz w:val="20"/>
        </w:rPr>
        <w:t> </w:t>
      </w:r>
      <w:r>
        <w:rPr>
          <w:rFonts w:ascii="Arial"/>
          <w:shadow/>
          <w:color w:val="6B6B6C"/>
          <w:sz w:val="20"/>
        </w:rPr>
        <w:t>a</w:t>
      </w:r>
      <w:r>
        <w:rPr>
          <w:rFonts w:ascii="Arial"/>
          <w:shadow w:val="0"/>
          <w:color w:val="6B6B6C"/>
          <w:sz w:val="20"/>
        </w:rPr>
        <w:t> </w:t>
      </w:r>
      <w:r>
        <w:rPr>
          <w:rFonts w:ascii="Arial"/>
          <w:shadow/>
          <w:color w:val="6B6B6C"/>
          <w:sz w:val="20"/>
        </w:rPr>
        <w:t>n</w:t>
      </w:r>
      <w:r>
        <w:rPr>
          <w:rFonts w:ascii="Arial"/>
          <w:shadow w:val="0"/>
          <w:color w:val="6B6B6C"/>
          <w:sz w:val="20"/>
        </w:rPr>
        <w:t> </w:t>
      </w:r>
      <w:r>
        <w:rPr>
          <w:rFonts w:ascii="Arial"/>
          <w:shadow/>
          <w:color w:val="6B6B6C"/>
          <w:sz w:val="20"/>
        </w:rPr>
        <w:t>d</w:t>
      </w:r>
    </w:p>
    <w:p>
      <w:pPr>
        <w:pStyle w:val="BodyText"/>
        <w:rPr>
          <w:rFonts w:ascii="Arial"/>
          <w:sz w:val="12"/>
        </w:rPr>
      </w:pPr>
      <w:r>
        <w:rPr/>
        <w:br w:type="column"/>
      </w:r>
      <w:r>
        <w:rPr>
          <w:rFonts w:ascii="Arial"/>
          <w:sz w:val="12"/>
        </w:rPr>
      </w:r>
    </w:p>
    <w:p>
      <w:pPr>
        <w:pStyle w:val="BodyText"/>
        <w:spacing w:before="8"/>
        <w:rPr>
          <w:rFonts w:ascii="Arial"/>
          <w:sz w:val="14"/>
        </w:rPr>
      </w:pPr>
    </w:p>
    <w:p>
      <w:pPr>
        <w:spacing w:before="0"/>
        <w:ind w:left="0" w:right="0" w:firstLine="0"/>
        <w:jc w:val="right"/>
        <w:rPr>
          <w:rFonts w:ascii="Arial Narrow"/>
          <w:b/>
          <w:sz w:val="10"/>
        </w:rPr>
      </w:pPr>
      <w:r>
        <w:rPr>
          <w:rFonts w:ascii="Arial Narrow"/>
          <w:b/>
          <w:sz w:val="10"/>
        </w:rPr>
        <w:t>1080 / 1600</w:t>
      </w:r>
    </w:p>
    <w:p>
      <w:pPr>
        <w:spacing w:before="106"/>
        <w:ind w:left="113" w:right="0" w:firstLine="0"/>
        <w:jc w:val="left"/>
        <w:rPr>
          <w:rFonts w:ascii="Century Gothic"/>
          <w:b/>
          <w:sz w:val="13"/>
        </w:rPr>
      </w:pPr>
      <w:r>
        <w:rPr/>
        <w:br w:type="column"/>
      </w:r>
      <w:r>
        <w:rPr>
          <w:rFonts w:ascii="Century Gothic"/>
          <w:b/>
          <w:color w:val="4D4D4D"/>
          <w:sz w:val="13"/>
        </w:rPr>
        <w:t>Van Giesen St</w:t>
      </w:r>
    </w:p>
    <w:p>
      <w:pPr>
        <w:pStyle w:val="BodyText"/>
        <w:rPr>
          <w:rFonts w:ascii="Century Gothic"/>
          <w:b/>
          <w:sz w:val="12"/>
        </w:rPr>
      </w:pPr>
      <w:r>
        <w:rPr/>
        <w:br w:type="column"/>
      </w:r>
      <w:r>
        <w:rPr>
          <w:rFonts w:ascii="Century Gothic"/>
          <w:b/>
          <w:sz w:val="12"/>
        </w:rPr>
      </w:r>
    </w:p>
    <w:p>
      <w:pPr>
        <w:pStyle w:val="BodyText"/>
        <w:spacing w:before="2"/>
        <w:rPr>
          <w:rFonts w:ascii="Century Gothic"/>
          <w:b/>
          <w:sz w:val="12"/>
        </w:rPr>
      </w:pPr>
    </w:p>
    <w:p>
      <w:pPr>
        <w:spacing w:before="0"/>
        <w:ind w:left="-15" w:right="0" w:firstLine="0"/>
        <w:jc w:val="left"/>
        <w:rPr>
          <w:rFonts w:ascii="Arial Narrow"/>
          <w:b/>
          <w:sz w:val="10"/>
        </w:rPr>
      </w:pPr>
      <w:r>
        <w:rPr/>
        <w:pict>
          <v:shape style="position:absolute;margin-left:465.891089pt;margin-top:-54.965079pt;width:19.2pt;height:5pt;mso-position-horizontal-relative:page;mso-position-vertical-relative:paragraph;z-index:252140544;rotation:52" type="#_x0000_t136" fillcolor="#000000" stroked="f">
            <o:extrusion v:ext="view" autorotationcenter="t"/>
            <v:textpath style="font-family:&quot;Arial Narrow&quot;;font-size:5pt;v-text-kern:t;mso-text-shadow:auto;font-weight:bold" string="531 / 1600"/>
            <w10:wrap type="none"/>
          </v:shape>
        </w:pict>
      </w:r>
      <w:r>
        <w:rPr/>
        <w:pict>
          <v:shape style="position:absolute;margin-left:448.181555pt;margin-top:-90.805914pt;width:21.7pt;height:5pt;mso-position-horizontal-relative:page;mso-position-vertical-relative:paragraph;z-index:252143616;rotation:59" type="#_x0000_t136" fillcolor="#000000" stroked="f">
            <o:extrusion v:ext="view" autorotationcenter="t"/>
            <v:textpath style="font-family:&quot;Arial Narrow&quot;;font-size:5pt;v-text-kern:t;mso-text-shadow:auto;font-weight:bold" string="1060 / 1200"/>
            <w10:wrap type="none"/>
          </v:shape>
        </w:pict>
      </w:r>
      <w:r>
        <w:rPr/>
        <w:pict>
          <v:shape style="position:absolute;margin-left:478.482635pt;margin-top:-7.749556pt;width:37.9pt;height:6.65pt;mso-position-horizontal-relative:page;mso-position-vertical-relative:paragraph;z-index:252148736;rotation:69" type="#_x0000_t136" fillcolor="#4d4d4d" stroked="f">
            <o:extrusion v:ext="view" autorotationcenter="t"/>
            <v:textpath style="font-family:&quot;Century Gothic&quot;;font-size:6pt;v-text-kern:t;mso-text-shadow:auto;font-weight:bold" string="Jadwin Ave"/>
            <w10:wrap type="none"/>
          </v:shape>
        </w:pict>
      </w:r>
      <w:r>
        <w:rPr/>
        <w:pict>
          <v:shape style="position:absolute;margin-left:481.394073pt;margin-top:3.138288pt;width:19.25pt;height:5pt;mso-position-horizontal-relative:page;mso-position-vertical-relative:paragraph;z-index:252149760;rotation:70" type="#_x0000_t136" fillcolor="#000000" stroked="f">
            <o:extrusion v:ext="view" autorotationcenter="t"/>
            <v:textpath style="font-family:&quot;Arial Narrow&quot;;font-size:5pt;v-text-kern:t;mso-text-shadow:auto;font-weight:bold" string="655 / 1600"/>
            <w10:wrap type="none"/>
          </v:shape>
        </w:pict>
      </w:r>
      <w:r>
        <w:rPr/>
        <w:pict>
          <v:shape style="position:absolute;margin-left:452.050201pt;margin-top:-23.407305pt;width:19.55pt;height:86.75pt;mso-position-horizontal-relative:page;mso-position-vertical-relative:paragraph;z-index:-267869184" type="#_x0000_t202" filled="false" stroked="false">
            <v:textbox inset="0,0,0,0" style="layout-flow:vertical;mso-layout-flow-alt:bottom-to-top">
              <w:txbxContent>
                <w:p>
                  <w:pPr>
                    <w:tabs>
                      <w:tab w:pos="823" w:val="left" w:leader="none"/>
                    </w:tabs>
                    <w:spacing w:before="17"/>
                    <w:ind w:left="20" w:right="0" w:firstLine="0"/>
                    <w:jc w:val="left"/>
                    <w:rPr>
                      <w:rFonts w:ascii="Arial Narrow"/>
                      <w:b/>
                      <w:sz w:val="10"/>
                    </w:rPr>
                  </w:pPr>
                  <w:r>
                    <w:rPr>
                      <w:rFonts w:ascii="Arial Narrow"/>
                      <w:b/>
                      <w:sz w:val="10"/>
                    </w:rPr>
                    <w:t>229</w:t>
                  </w:r>
                  <w:r>
                    <w:rPr>
                      <w:rFonts w:ascii="Arial Narrow"/>
                      <w:b/>
                      <w:spacing w:val="-7"/>
                      <w:sz w:val="10"/>
                    </w:rPr>
                    <w:t> </w:t>
                  </w:r>
                  <w:r>
                    <w:rPr>
                      <w:rFonts w:ascii="Arial Narrow"/>
                      <w:b/>
                      <w:sz w:val="10"/>
                    </w:rPr>
                    <w:t>/</w:t>
                  </w:r>
                  <w:r>
                    <w:rPr>
                      <w:rFonts w:ascii="Arial Narrow"/>
                      <w:b/>
                      <w:spacing w:val="-1"/>
                      <w:sz w:val="10"/>
                    </w:rPr>
                    <w:t> </w:t>
                  </w:r>
                  <w:r>
                    <w:rPr>
                      <w:rFonts w:ascii="Arial Narrow"/>
                      <w:b/>
                      <w:sz w:val="10"/>
                    </w:rPr>
                    <w:t>800</w:t>
                    <w:tab/>
                  </w:r>
                  <w:r>
                    <w:rPr>
                      <w:rFonts w:ascii="Arial Narrow"/>
                      <w:b/>
                      <w:position w:val="1"/>
                      <w:sz w:val="10"/>
                    </w:rPr>
                    <w:t>105 / 800</w:t>
                  </w:r>
                </w:p>
                <w:p>
                  <w:pPr>
                    <w:spacing w:before="59"/>
                    <w:ind w:left="1049" w:right="0" w:firstLine="0"/>
                    <w:jc w:val="left"/>
                    <w:rPr>
                      <w:rFonts w:ascii="Century Gothic"/>
                      <w:b/>
                      <w:sz w:val="13"/>
                    </w:rPr>
                  </w:pPr>
                  <w:r>
                    <w:rPr>
                      <w:rFonts w:ascii="Century Gothic"/>
                      <w:b/>
                      <w:color w:val="4D4D4D"/>
                      <w:sz w:val="13"/>
                    </w:rPr>
                    <w:t>Steven</w:t>
                  </w:r>
                  <w:r>
                    <w:rPr>
                      <w:rFonts w:ascii="Century Gothic"/>
                      <w:b/>
                      <w:color w:val="4D4D4D"/>
                      <w:position w:val="1"/>
                      <w:sz w:val="13"/>
                    </w:rPr>
                    <w:t>s Dr</w:t>
                  </w:r>
                </w:p>
              </w:txbxContent>
            </v:textbox>
            <w10:wrap type="none"/>
          </v:shape>
        </w:pict>
      </w:r>
      <w:r>
        <w:rPr/>
        <w:pict>
          <v:shape style="position:absolute;margin-left:469.626862pt;margin-top:-38.231491pt;width:8pt;height:19.05pt;mso-position-horizontal-relative:page;mso-position-vertical-relative:paragraph;z-index:252173312" type="#_x0000_t202" filled="false" stroked="false">
            <v:textbox inset="0,0,0,0" style="layout-flow:vertical;mso-layout-flow-alt:bottom-to-top">
              <w:txbxContent>
                <w:p>
                  <w:pPr>
                    <w:spacing w:before="25"/>
                    <w:ind w:left="20" w:right="0" w:firstLine="0"/>
                    <w:jc w:val="left"/>
                    <w:rPr>
                      <w:rFonts w:ascii="Arial Narrow"/>
                      <w:b/>
                      <w:sz w:val="10"/>
                    </w:rPr>
                  </w:pPr>
                  <w:r>
                    <w:rPr>
                      <w:rFonts w:ascii="Arial Narrow"/>
                      <w:b/>
                      <w:sz w:val="10"/>
                    </w:rPr>
                    <w:t>278 / 800</w:t>
                  </w:r>
                </w:p>
              </w:txbxContent>
            </v:textbox>
            <w10:wrap type="none"/>
          </v:shape>
        </w:pict>
      </w:r>
      <w:r>
        <w:rPr/>
        <w:pict>
          <v:shape style="position:absolute;margin-left:471.683228pt;margin-top:4.962780pt;width:7.9pt;height:19pt;mso-position-horizontal-relative:page;mso-position-vertical-relative:paragraph;z-index:252174336" type="#_x0000_t202" filled="false" stroked="false">
            <v:textbox inset="0,0,0,0" style="layout-flow:vertical;mso-layout-flow-alt:bottom-to-top">
              <w:txbxContent>
                <w:p>
                  <w:pPr>
                    <w:spacing w:before="22"/>
                    <w:ind w:left="20" w:right="0" w:firstLine="0"/>
                    <w:jc w:val="left"/>
                    <w:rPr>
                      <w:rFonts w:ascii="Arial Narrow"/>
                      <w:b/>
                      <w:sz w:val="10"/>
                    </w:rPr>
                  </w:pPr>
                  <w:r>
                    <w:rPr>
                      <w:rFonts w:ascii="Arial Narrow"/>
                      <w:b/>
                      <w:sz w:val="10"/>
                    </w:rPr>
                    <w:t>301 / 800</w:t>
                  </w:r>
                </w:p>
              </w:txbxContent>
            </v:textbox>
            <w10:wrap type="none"/>
          </v:shape>
        </w:pict>
      </w:r>
      <w:r>
        <w:rPr/>
        <w:pict>
          <v:shape style="position:absolute;margin-left:509.122101pt;margin-top:-8.321738pt;width:8.65pt;height:46.5pt;mso-position-horizontal-relative:page;mso-position-vertical-relative:paragraph;z-index:252177408" type="#_x0000_t202" filled="false" stroked="false">
            <v:textbox inset="0,0,0,0" style="layout-flow:vertical;mso-layout-flow-alt:bottom-to-top">
              <w:txbxContent>
                <w:p>
                  <w:pPr>
                    <w:spacing w:before="18"/>
                    <w:ind w:left="20" w:right="0" w:firstLine="0"/>
                    <w:jc w:val="left"/>
                    <w:rPr>
                      <w:rFonts w:ascii="Arial Narrow"/>
                      <w:b/>
                      <w:sz w:val="10"/>
                    </w:rPr>
                  </w:pPr>
                  <w:r>
                    <w:rPr>
                      <w:rFonts w:ascii="Arial Narrow"/>
                      <w:b/>
                      <w:sz w:val="10"/>
                    </w:rPr>
                    <w:t>1140 / 1</w:t>
                  </w:r>
                  <w:r>
                    <w:rPr>
                      <w:rFonts w:ascii="Arial Narrow"/>
                      <w:b/>
                      <w:position w:val="1"/>
                      <w:sz w:val="10"/>
                    </w:rPr>
                    <w:t>600 1140 / </w:t>
                  </w:r>
                  <w:r>
                    <w:rPr>
                      <w:rFonts w:ascii="Arial Narrow"/>
                      <w:b/>
                      <w:position w:val="2"/>
                      <w:sz w:val="10"/>
                    </w:rPr>
                    <w:t>1600</w:t>
                  </w:r>
                </w:p>
              </w:txbxContent>
            </v:textbox>
            <w10:wrap type="none"/>
          </v:shape>
        </w:pict>
      </w:r>
      <w:r>
        <w:rPr/>
        <w:pict>
          <v:shape style="position:absolute;margin-left:508.568237pt;margin-top:-35.459927pt;width:8.1pt;height:23.5pt;mso-position-horizontal-relative:page;mso-position-vertical-relative:paragraph;z-index:252178432" type="#_x0000_t202" filled="false" stroked="false">
            <v:textbox inset="0,0,0,0" style="layout-flow:vertical;mso-layout-flow-alt:bottom-to-top">
              <w:txbxContent>
                <w:p>
                  <w:pPr>
                    <w:spacing w:before="17"/>
                    <w:ind w:left="20" w:right="0" w:firstLine="0"/>
                    <w:jc w:val="left"/>
                    <w:rPr>
                      <w:rFonts w:ascii="Arial Narrow"/>
                      <w:b/>
                      <w:sz w:val="10"/>
                    </w:rPr>
                  </w:pPr>
                  <w:r>
                    <w:rPr>
                      <w:rFonts w:ascii="Arial Narrow"/>
                      <w:b/>
                      <w:sz w:val="10"/>
                    </w:rPr>
                    <w:t>1137 / 1</w:t>
                  </w:r>
                  <w:r>
                    <w:rPr>
                      <w:rFonts w:ascii="Arial Narrow"/>
                      <w:b/>
                      <w:position w:val="1"/>
                      <w:sz w:val="10"/>
                    </w:rPr>
                    <w:t>600</w:t>
                  </w:r>
                </w:p>
              </w:txbxContent>
            </v:textbox>
            <w10:wrap type="none"/>
          </v:shape>
        </w:pict>
      </w:r>
      <w:r>
        <w:rPr/>
        <w:pict>
          <v:shape style="position:absolute;margin-left:502.728912pt;margin-top:-70.137566pt;width:21.5pt;height:5pt;mso-position-horizontal-relative:page;mso-position-vertical-relative:paragraph;z-index:252195840;rotation:273" type="#_x0000_t136" fillcolor="#000000" stroked="f">
            <o:extrusion v:ext="view" autorotationcenter="t"/>
            <v:textpath style="font-family:&quot;Arial Narrow&quot;;font-size:5pt;v-text-kern:t;mso-text-shadow:auto;font-weight:bold" string="1137 / 1600"/>
            <w10:wrap type="none"/>
          </v:shape>
        </w:pict>
      </w:r>
      <w:r>
        <w:rPr/>
        <w:pict>
          <v:shape style="position:absolute;margin-left:409.565027pt;margin-top:-95.929079pt;width:31.7pt;height:6.65pt;mso-position-horizontal-relative:page;mso-position-vertical-relative:paragraph;z-index:252199936;rotation:282" type="#_x0000_t136" fillcolor="#4d4d4d" stroked="f">
            <o:extrusion v:ext="view" autorotationcenter="t"/>
            <v:textpath style="font-family:&quot;Century Gothic&quot;;font-size:6pt;v-text-kern:t;mso-text-shadow:auto;font-weight:bold" string="Hagen Rd"/>
            <w10:wrap type="none"/>
          </v:shape>
        </w:pict>
      </w:r>
      <w:r>
        <w:rPr/>
        <w:pict>
          <v:shape style="position:absolute;margin-left:463.238379pt;margin-top:-89.185332pt;width:21.7pt;height:5pt;mso-position-horizontal-relative:page;mso-position-vertical-relative:paragraph;z-index:252207104;rotation:293" type="#_x0000_t136" fillcolor="#000000" stroked="f">
            <o:extrusion v:ext="view" autorotationcenter="t"/>
            <v:textpath style="font-family:&quot;Arial Narrow&quot;;font-size:5pt;v-text-kern:t;mso-text-shadow:auto;font-weight:bold" string="1736 / 2400"/>
            <w10:wrap type="none"/>
          </v:shape>
        </w:pict>
      </w:r>
      <w:r>
        <w:rPr/>
        <w:pict>
          <v:shape style="position:absolute;margin-left:422.251764pt;margin-top:-66.659113pt;width:40.7pt;height:6.65pt;mso-position-horizontal-relative:page;mso-position-vertical-relative:paragraph;z-index:252214272;rotation:312" type="#_x0000_t136" fillcolor="#4d4d4d" stroked="f">
            <o:extrusion v:ext="view" autorotationcenter="t"/>
            <v:textpath style="font-family:&quot;Century Gothic&quot;;font-size:6pt;v-text-kern:t;mso-text-shadow:auto;font-weight:bold" string="By-pass Hwy"/>
            <w10:wrap type="none"/>
          </v:shape>
        </w:pict>
      </w:r>
      <w:r>
        <w:rPr/>
        <w:pict>
          <v:shape style="position:absolute;margin-left:413.849365pt;margin-top:-32.599564pt;width:21.75pt;height:5pt;mso-position-horizontal-relative:page;mso-position-vertical-relative:paragraph;z-index:252215296;rotation:312" type="#_x0000_t136" fillcolor="#000000" stroked="f">
            <o:extrusion v:ext="view" autorotationcenter="t"/>
            <v:textpath style="font-family:&quot;Arial Narrow&quot;;font-size:5pt;v-text-kern:t;mso-text-shadow:auto;font-weight:bold" string="2280 / 3600"/>
            <w10:wrap type="none"/>
          </v:shape>
        </w:pict>
      </w:r>
      <w:r>
        <w:rPr/>
        <w:pict>
          <v:shape style="position:absolute;margin-left:435.810791pt;margin-top:-24.320728pt;width:17pt;height:5pt;mso-position-horizontal-relative:page;mso-position-vertical-relative:paragraph;z-index:252217344;rotation:314" type="#_x0000_t136" fillcolor="#000000" stroked="f">
            <o:extrusion v:ext="view" autorotationcenter="t"/>
            <v:textpath style="font-family:&quot;Arial Narrow&quot;;font-size:5pt;v-text-kern:t;mso-text-shadow:auto;font-weight:bold" string="290 / 800"/>
            <w10:wrap type="none"/>
          </v:shape>
        </w:pict>
      </w:r>
      <w:r>
        <w:rPr>
          <w:rFonts w:ascii="Arial Narrow"/>
          <w:b/>
          <w:sz w:val="10"/>
        </w:rPr>
        <w:t>428 / 800</w:t>
      </w:r>
    </w:p>
    <w:p>
      <w:pPr>
        <w:spacing w:after="0"/>
        <w:jc w:val="left"/>
        <w:rPr>
          <w:rFonts w:ascii="Arial Narrow"/>
          <w:sz w:val="10"/>
        </w:rPr>
        <w:sectPr>
          <w:type w:val="continuous"/>
          <w:pgSz w:w="15840" w:h="24480"/>
          <w:pgMar w:top="1480" w:bottom="1320" w:left="0" w:right="0"/>
          <w:cols w:num="4" w:equalWidth="0">
            <w:col w:w="4388" w:space="308"/>
            <w:col w:w="2904" w:space="40"/>
            <w:col w:w="1013" w:space="40"/>
            <w:col w:w="7147"/>
          </w:cols>
        </w:sectPr>
      </w:pPr>
    </w:p>
    <w:p>
      <w:pPr>
        <w:pStyle w:val="BodyText"/>
        <w:spacing w:before="4"/>
        <w:rPr>
          <w:rFonts w:ascii="Arial Narrow"/>
          <w:b/>
          <w:sz w:val="19"/>
        </w:rPr>
      </w:pPr>
    </w:p>
    <w:p>
      <w:pPr>
        <w:spacing w:before="104"/>
        <w:ind w:left="3842" w:right="1153" w:firstLine="0"/>
        <w:jc w:val="center"/>
        <w:rPr>
          <w:rFonts w:ascii="Century Gothic"/>
          <w:b/>
          <w:sz w:val="13"/>
        </w:rPr>
      </w:pPr>
      <w:r>
        <w:rPr/>
        <w:pict>
          <v:shape style="position:absolute;margin-left:414.476715pt;margin-top:-1.361538pt;width:18.55pt;height:44.85pt;mso-position-horizontal-relative:page;mso-position-vertical-relative:paragraph;z-index:-267871232" type="#_x0000_t202" filled="false" stroked="false">
            <v:textbox inset="0,0,0,0" style="layout-flow:vertical;mso-layout-flow-alt:bottom-to-top">
              <w:txbxContent>
                <w:p>
                  <w:pPr>
                    <w:spacing w:before="22"/>
                    <w:ind w:left="179" w:right="0" w:firstLine="0"/>
                    <w:jc w:val="left"/>
                    <w:rPr>
                      <w:rFonts w:ascii="Century Gothic"/>
                      <w:b/>
                      <w:sz w:val="13"/>
                    </w:rPr>
                  </w:pPr>
                  <w:r>
                    <w:rPr>
                      <w:rFonts w:ascii="Century Gothic"/>
                      <w:b/>
                      <w:color w:val="4D4D4D"/>
                      <w:sz w:val="13"/>
                    </w:rPr>
                    <w:t>Wrigh</w:t>
                  </w:r>
                  <w:r>
                    <w:rPr>
                      <w:rFonts w:ascii="Century Gothic"/>
                      <w:b/>
                      <w:color w:val="4D4D4D"/>
                      <w:position w:val="1"/>
                      <w:sz w:val="13"/>
                    </w:rPr>
                    <w:t>t Ave</w:t>
                  </w:r>
                </w:p>
                <w:p>
                  <w:pPr>
                    <w:spacing w:before="44"/>
                    <w:ind w:left="20" w:right="0" w:firstLine="0"/>
                    <w:jc w:val="left"/>
                    <w:rPr>
                      <w:rFonts w:ascii="Arial Narrow"/>
                      <w:b/>
                      <w:sz w:val="10"/>
                    </w:rPr>
                  </w:pPr>
                  <w:r>
                    <w:rPr>
                      <w:rFonts w:ascii="Arial Narrow"/>
                      <w:b/>
                      <w:sz w:val="10"/>
                    </w:rPr>
                    <w:t>203 / 800</w:t>
                  </w:r>
                </w:p>
              </w:txbxContent>
            </v:textbox>
            <w10:wrap type="none"/>
          </v:shape>
        </w:pict>
      </w:r>
      <w:r>
        <w:rPr/>
        <w:pict>
          <v:shape style="position:absolute;margin-left:419.70639pt;margin-top:-14.712475pt;width:17pt;height:5pt;mso-position-horizontal-relative:page;mso-position-vertical-relative:paragraph;z-index:252194816;rotation:273" type="#_x0000_t136" fillcolor="#000000" stroked="f">
            <o:extrusion v:ext="view" autorotationcenter="t"/>
            <v:textpath style="font-family:&quot;Arial Narrow&quot;;font-size:5pt;v-text-kern:t;mso-text-shadow:auto;font-weight:bold" string="221 / 800"/>
            <w10:wrap type="none"/>
          </v:shape>
        </w:pict>
      </w:r>
      <w:r>
        <w:rPr/>
        <w:pict>
          <v:shape style="position:absolute;margin-left:492.944312pt;margin-top:4.015248pt;width:19.2pt;height:5pt;mso-position-horizontal-relative:page;mso-position-vertical-relative:paragraph;z-index:252196864;rotation:275" type="#_x0000_t136" fillcolor="#000000" stroked="f">
            <o:extrusion v:ext="view" autorotationcenter="t"/>
            <v:textpath style="font-family:&quot;Arial Narrow&quot;;font-size:5pt;v-text-kern:t;mso-text-shadow:auto;font-weight:bold" string="655 / 1600"/>
            <w10:wrap type="none"/>
          </v:shape>
        </w:pict>
      </w:r>
      <w:r>
        <w:rPr/>
        <w:pict>
          <v:shape style="position:absolute;margin-left:389.038123pt;margin-top:-11.063967pt;width:21.7pt;height:5pt;mso-position-horizontal-relative:page;mso-position-vertical-relative:paragraph;z-index:252201984;rotation:285" type="#_x0000_t136" fillcolor="#000000" stroked="f">
            <o:extrusion v:ext="view" autorotationcenter="t"/>
            <v:textpath style="font-family:&quot;Arial Narrow&quot;;font-size:5pt;v-text-kern:t;mso-text-shadow:auto;font-weight:bold" string="2940 / 3600"/>
            <w10:wrap type="none"/>
          </v:shape>
        </w:pict>
      </w:r>
      <w:r>
        <w:rPr>
          <w:rFonts w:ascii="Century Gothic"/>
          <w:b/>
          <w:color w:val="4D4D4D"/>
          <w:sz w:val="13"/>
        </w:rPr>
        <w:t>William</w:t>
      </w:r>
      <w:r>
        <w:rPr>
          <w:rFonts w:ascii="Century Gothic"/>
          <w:b/>
          <w:color w:val="4D4D4D"/>
          <w:position w:val="1"/>
          <w:sz w:val="13"/>
        </w:rPr>
        <w:t>s Blvd</w:t>
      </w:r>
    </w:p>
    <w:p>
      <w:pPr>
        <w:spacing w:before="43"/>
        <w:ind w:left="3842" w:right="458" w:firstLine="0"/>
        <w:jc w:val="center"/>
        <w:rPr>
          <w:rFonts w:ascii="Arial Narrow"/>
          <w:b/>
          <w:sz w:val="10"/>
        </w:rPr>
      </w:pPr>
      <w:r>
        <w:rPr/>
        <w:pict>
          <v:shape style="position:absolute;margin-left:487.637939pt;margin-top:10.495518pt;width:19.25pt;height:5pt;mso-position-horizontal-relative:page;mso-position-vertical-relative:paragraph;z-index:252147712;rotation:65" type="#_x0000_t136" fillcolor="#000000" stroked="f">
            <o:extrusion v:ext="view" autorotationcenter="t"/>
            <v:textpath style="font-family:&quot;Arial Narrow&quot;;font-size:5pt;v-text-kern:t;mso-text-shadow:auto;font-weight:bold" string="744 / 1600"/>
            <w10:wrap type="none"/>
          </v:shape>
        </w:pict>
      </w:r>
      <w:r>
        <w:rPr/>
        <w:pict>
          <v:shape style="position:absolute;margin-left:463.429559pt;margin-top:16.549064pt;width:17.05pt;height:5pt;mso-position-horizontal-relative:page;mso-position-vertical-relative:paragraph;z-index:-267885568;rotation:71" type="#_x0000_t136" fillcolor="#000000" stroked="f">
            <o:extrusion v:ext="view" autorotationcenter="t"/>
            <v:textpath style="font-family:&quot;Arial Narrow&quot;;font-size:5pt;v-text-kern:t;mso-text-shadow:auto;font-weight:bold" string="379 / 800"/>
            <w10:wrap type="none"/>
          </v:shape>
        </w:pict>
      </w:r>
      <w:r>
        <w:rPr/>
        <w:pict>
          <v:shape style="position:absolute;margin-left:442.228058pt;margin-top:14.049811pt;width:10.55pt;height:32.2pt;mso-position-horizontal-relative:page;mso-position-vertical-relative:paragraph;z-index:252167168" type="#_x0000_t202" filled="false" stroked="false">
            <v:textbox inset="0,0,0,0" style="layout-flow:vertical;mso-layout-flow-alt:bottom-to-top">
              <w:txbxContent>
                <w:p>
                  <w:pPr>
                    <w:spacing w:before="20"/>
                    <w:ind w:left="20" w:right="0" w:firstLine="0"/>
                    <w:jc w:val="left"/>
                    <w:rPr>
                      <w:rFonts w:ascii="Century Gothic"/>
                      <w:b/>
                      <w:sz w:val="13"/>
                    </w:rPr>
                  </w:pPr>
                  <w:r>
                    <w:rPr>
                      <w:rFonts w:ascii="Century Gothic"/>
                      <w:b/>
                      <w:color w:val="4D4D4D"/>
                      <w:sz w:val="13"/>
                    </w:rPr>
                    <w:t>Thayer </w:t>
                  </w:r>
                  <w:r>
                    <w:rPr>
                      <w:rFonts w:ascii="Century Gothic"/>
                      <w:b/>
                      <w:color w:val="4D4D4D"/>
                      <w:position w:val="1"/>
                      <w:sz w:val="13"/>
                    </w:rPr>
                    <w:t>Dr</w:t>
                  </w:r>
                </w:p>
              </w:txbxContent>
            </v:textbox>
            <w10:wrap type="none"/>
          </v:shape>
        </w:pict>
      </w:r>
      <w:r>
        <w:rPr>
          <w:rFonts w:ascii="Arial Narrow"/>
          <w:b/>
          <w:sz w:val="10"/>
        </w:rPr>
        <w:t>330 / 800</w:t>
      </w:r>
    </w:p>
    <w:p>
      <w:pPr>
        <w:pStyle w:val="BodyText"/>
        <w:spacing w:before="9"/>
        <w:rPr>
          <w:rFonts w:ascii="Arial Narrow"/>
          <w:b/>
          <w:sz w:val="23"/>
        </w:rPr>
      </w:pPr>
    </w:p>
    <w:p>
      <w:pPr>
        <w:spacing w:after="0"/>
        <w:rPr>
          <w:rFonts w:ascii="Arial Narrow"/>
          <w:sz w:val="23"/>
        </w:rPr>
        <w:sectPr>
          <w:type w:val="continuous"/>
          <w:pgSz w:w="15840" w:h="24480"/>
          <w:pgMar w:top="1480" w:bottom="1320" w:left="0" w:right="0"/>
        </w:sectPr>
      </w:pPr>
    </w:p>
    <w:p>
      <w:pPr>
        <w:spacing w:before="102"/>
        <w:ind w:left="7903" w:right="0" w:firstLine="0"/>
        <w:jc w:val="center"/>
        <w:rPr>
          <w:rFonts w:ascii="Century Gothic"/>
          <w:b/>
          <w:sz w:val="13"/>
        </w:rPr>
      </w:pPr>
      <w:r>
        <w:rPr/>
        <w:pict>
          <v:shape style="position:absolute;margin-left:382.898438pt;margin-top:-11.98078pt;width:18.850pt;height:57.05pt;mso-position-horizontal-relative:page;mso-position-vertical-relative:paragraph;z-index:-267872256" type="#_x0000_t202" filled="false" stroked="false">
            <v:textbox inset="0,0,0,0" style="layout-flow:vertical;mso-layout-flow-alt:bottom-to-top">
              <w:txbxContent>
                <w:p>
                  <w:pPr>
                    <w:spacing w:before="23"/>
                    <w:ind w:left="304" w:right="0" w:firstLine="0"/>
                    <w:jc w:val="left"/>
                    <w:rPr>
                      <w:rFonts w:ascii="Century Gothic"/>
                      <w:b/>
                      <w:sz w:val="13"/>
                    </w:rPr>
                  </w:pPr>
                  <w:r>
                    <w:rPr>
                      <w:rFonts w:ascii="Century Gothic"/>
                      <w:b/>
                      <w:color w:val="4D4D4D"/>
                      <w:sz w:val="13"/>
                    </w:rPr>
                    <w:t>By-pas</w:t>
                  </w:r>
                  <w:r>
                    <w:rPr>
                      <w:rFonts w:ascii="Century Gothic"/>
                      <w:b/>
                      <w:color w:val="4D4D4D"/>
                      <w:position w:val="1"/>
                      <w:sz w:val="13"/>
                    </w:rPr>
                    <w:t>s Hwy</w:t>
                  </w:r>
                </w:p>
                <w:p>
                  <w:pPr>
                    <w:spacing w:before="39"/>
                    <w:ind w:left="20" w:right="0" w:firstLine="0"/>
                    <w:jc w:val="left"/>
                    <w:rPr>
                      <w:rFonts w:ascii="Arial Narrow"/>
                      <w:b/>
                      <w:sz w:val="10"/>
                    </w:rPr>
                  </w:pPr>
                  <w:r>
                    <w:rPr>
                      <w:rFonts w:ascii="Arial Narrow"/>
                      <w:b/>
                      <w:sz w:val="10"/>
                    </w:rPr>
                    <w:t>2940 / 360</w:t>
                  </w:r>
                  <w:r>
                    <w:rPr>
                      <w:rFonts w:ascii="Arial Narrow"/>
                      <w:b/>
                      <w:position w:val="1"/>
                      <w:sz w:val="10"/>
                    </w:rPr>
                    <w:t>0</w:t>
                  </w:r>
                </w:p>
              </w:txbxContent>
            </v:textbox>
            <w10:wrap type="none"/>
          </v:shape>
        </w:pict>
      </w:r>
      <w:r>
        <w:rPr>
          <w:rFonts w:ascii="Century Gothic"/>
          <w:b/>
          <w:color w:val="4D4D4D"/>
          <w:sz w:val="13"/>
        </w:rPr>
        <w:t>Swift </w:t>
      </w:r>
      <w:r>
        <w:rPr>
          <w:rFonts w:ascii="Century Gothic"/>
          <w:b/>
          <w:color w:val="4D4D4D"/>
          <w:position w:val="1"/>
          <w:sz w:val="13"/>
        </w:rPr>
        <w:t>Blvd</w:t>
      </w:r>
    </w:p>
    <w:p>
      <w:pPr>
        <w:spacing w:before="72"/>
        <w:ind w:left="7879" w:right="0" w:firstLine="0"/>
        <w:jc w:val="center"/>
        <w:rPr>
          <w:rFonts w:ascii="Arial Narrow"/>
          <w:b/>
          <w:sz w:val="10"/>
        </w:rPr>
      </w:pPr>
      <w:r>
        <w:rPr/>
        <w:pict>
          <v:shape style="position:absolute;margin-left:421.602173pt;margin-top:3.695437pt;width:17.05pt;height:5pt;mso-position-horizontal-relative:page;mso-position-vertical-relative:paragraph;z-index:252223488;rotation:359" type="#_x0000_t136" fillcolor="#000000" stroked="f">
            <o:extrusion v:ext="view" autorotationcenter="t"/>
            <v:textpath style="font-family:&quot;Arial Narrow&quot;;font-size:5pt;v-text-kern:t;mso-text-shadow:auto;font-weight:bold" string="379 / 800"/>
            <w10:wrap type="none"/>
          </v:shape>
        </w:pict>
      </w:r>
      <w:r>
        <w:rPr>
          <w:rFonts w:ascii="Arial Narrow"/>
          <w:b/>
          <w:sz w:val="10"/>
        </w:rPr>
        <w:t>385 / 800</w:t>
      </w:r>
    </w:p>
    <w:p>
      <w:pPr>
        <w:pStyle w:val="BodyText"/>
        <w:rPr>
          <w:rFonts w:ascii="Arial Narrow"/>
          <w:b/>
          <w:sz w:val="12"/>
        </w:rPr>
      </w:pPr>
      <w:r>
        <w:rPr/>
        <w:br w:type="column"/>
      </w:r>
      <w:r>
        <w:rPr>
          <w:rFonts w:ascii="Arial Narrow"/>
          <w:b/>
          <w:sz w:val="12"/>
        </w:rPr>
      </w:r>
    </w:p>
    <w:p>
      <w:pPr>
        <w:pStyle w:val="BodyText"/>
        <w:rPr>
          <w:rFonts w:ascii="Arial Narrow"/>
          <w:b/>
          <w:sz w:val="12"/>
        </w:rPr>
      </w:pPr>
    </w:p>
    <w:p>
      <w:pPr>
        <w:pStyle w:val="BodyText"/>
        <w:rPr>
          <w:rFonts w:ascii="Arial Narrow"/>
          <w:b/>
          <w:sz w:val="12"/>
        </w:rPr>
      </w:pPr>
    </w:p>
    <w:p>
      <w:pPr>
        <w:pStyle w:val="BodyText"/>
        <w:rPr>
          <w:rFonts w:ascii="Arial Narrow"/>
          <w:b/>
          <w:sz w:val="12"/>
        </w:rPr>
      </w:pPr>
    </w:p>
    <w:p>
      <w:pPr>
        <w:pStyle w:val="BodyText"/>
        <w:rPr>
          <w:rFonts w:ascii="Arial Narrow"/>
          <w:b/>
          <w:sz w:val="12"/>
        </w:rPr>
      </w:pPr>
    </w:p>
    <w:p>
      <w:pPr>
        <w:spacing w:before="71"/>
        <w:ind w:left="84" w:right="0" w:firstLine="0"/>
        <w:jc w:val="left"/>
        <w:rPr>
          <w:rFonts w:ascii="Arial Narrow"/>
          <w:b/>
          <w:sz w:val="10"/>
        </w:rPr>
      </w:pPr>
      <w:r>
        <w:rPr>
          <w:rFonts w:ascii="Arial Narrow"/>
          <w:b/>
          <w:sz w:val="10"/>
        </w:rPr>
        <w:t>168 /</w:t>
      </w:r>
      <w:r>
        <w:rPr>
          <w:rFonts w:ascii="Arial Narrow"/>
          <w:b/>
          <w:spacing w:val="-12"/>
          <w:sz w:val="10"/>
        </w:rPr>
        <w:t> </w:t>
      </w:r>
      <w:r>
        <w:rPr>
          <w:rFonts w:ascii="Arial Narrow"/>
          <w:b/>
          <w:sz w:val="10"/>
        </w:rPr>
        <w:t>800</w:t>
      </w:r>
    </w:p>
    <w:p>
      <w:pPr>
        <w:pStyle w:val="BodyText"/>
        <w:rPr>
          <w:rFonts w:ascii="Arial Narrow"/>
          <w:b/>
          <w:sz w:val="16"/>
        </w:rPr>
      </w:pPr>
      <w:r>
        <w:rPr/>
        <w:br w:type="column"/>
      </w:r>
      <w:r>
        <w:rPr>
          <w:rFonts w:ascii="Arial Narrow"/>
          <w:b/>
          <w:sz w:val="16"/>
        </w:rPr>
      </w:r>
    </w:p>
    <w:p>
      <w:pPr>
        <w:pStyle w:val="BodyText"/>
        <w:rPr>
          <w:rFonts w:ascii="Arial Narrow"/>
          <w:b/>
          <w:sz w:val="16"/>
        </w:rPr>
      </w:pPr>
    </w:p>
    <w:p>
      <w:pPr>
        <w:pStyle w:val="BodyText"/>
        <w:spacing w:before="1"/>
        <w:rPr>
          <w:rFonts w:ascii="Arial Narrow"/>
          <w:b/>
          <w:sz w:val="18"/>
        </w:rPr>
      </w:pPr>
    </w:p>
    <w:p>
      <w:pPr>
        <w:spacing w:before="1"/>
        <w:ind w:left="104" w:right="0" w:firstLine="0"/>
        <w:jc w:val="left"/>
        <w:rPr>
          <w:rFonts w:ascii="Century Gothic"/>
          <w:b/>
          <w:sz w:val="13"/>
        </w:rPr>
      </w:pPr>
      <w:r>
        <w:rPr/>
        <w:pict>
          <v:shape style="position:absolute;margin-left:415.470306pt;margin-top:15.916443pt;width:17pt;height:5pt;mso-position-horizontal-relative:page;mso-position-vertical-relative:paragraph;z-index:252154880;rotation:81" type="#_x0000_t136" fillcolor="#000000" stroked="f">
            <o:extrusion v:ext="view" autorotationcenter="t"/>
            <v:textpath style="font-family:&quot;Arial Narrow&quot;;font-size:5pt;v-text-kern:t;mso-text-shadow:auto;font-weight:bold" string="244 / 800"/>
            <w10:wrap type="none"/>
          </v:shape>
        </w:pict>
      </w:r>
      <w:r>
        <w:rPr/>
        <w:pict>
          <v:shape style="position:absolute;margin-left:453.316986pt;margin-top:14.764813pt;width:8pt;height:19.05pt;mso-position-horizontal-relative:page;mso-position-vertical-relative:paragraph;z-index:252169216" type="#_x0000_t202" filled="false" stroked="false">
            <v:textbox inset="0,0,0,0" style="layout-flow:vertical;mso-layout-flow-alt:bottom-to-top">
              <w:txbxContent>
                <w:p>
                  <w:pPr>
                    <w:spacing w:before="24"/>
                    <w:ind w:left="20" w:right="0" w:firstLine="0"/>
                    <w:jc w:val="left"/>
                    <w:rPr>
                      <w:rFonts w:ascii="Arial Narrow"/>
                      <w:b/>
                      <w:sz w:val="10"/>
                    </w:rPr>
                  </w:pPr>
                  <w:r>
                    <w:rPr>
                      <w:rFonts w:ascii="Arial Narrow"/>
                      <w:b/>
                      <w:sz w:val="10"/>
                    </w:rPr>
                    <w:t>245 / 800</w:t>
                  </w:r>
                </w:p>
              </w:txbxContent>
            </v:textbox>
            <w10:wrap type="none"/>
          </v:shape>
        </w:pict>
      </w:r>
      <w:r>
        <w:rPr/>
        <w:pict>
          <v:shape style="position:absolute;margin-left:452.733704pt;margin-top:-20.125746pt;width:8pt;height:19.05pt;mso-position-horizontal-relative:page;mso-position-vertical-relative:paragraph;z-index:252170240" type="#_x0000_t202" filled="false" stroked="false">
            <v:textbox inset="0,0,0,0" style="layout-flow:vertical;mso-layout-flow-alt:bottom-to-top">
              <w:txbxContent>
                <w:p>
                  <w:pPr>
                    <w:spacing w:before="25"/>
                    <w:ind w:left="20" w:right="0" w:firstLine="0"/>
                    <w:jc w:val="left"/>
                    <w:rPr>
                      <w:rFonts w:ascii="Arial Narrow"/>
                      <w:b/>
                      <w:sz w:val="10"/>
                    </w:rPr>
                  </w:pPr>
                  <w:r>
                    <w:rPr>
                      <w:rFonts w:ascii="Arial Narrow"/>
                      <w:b/>
                      <w:sz w:val="10"/>
                    </w:rPr>
                    <w:t>278 / 800</w:t>
                  </w:r>
                </w:p>
              </w:txbxContent>
            </v:textbox>
            <w10:wrap type="none"/>
          </v:shape>
        </w:pict>
      </w:r>
      <w:r>
        <w:rPr/>
        <w:pict>
          <v:shape style="position:absolute;margin-left:481.82348pt;margin-top:16.374039pt;width:17.05pt;height:5pt;mso-position-horizontal-relative:page;mso-position-vertical-relative:paragraph;z-index:252206080;rotation:292" type="#_x0000_t136" fillcolor="#000000" stroked="f">
            <o:extrusion v:ext="view" autorotationcenter="t"/>
            <v:textpath style="font-family:&quot;Arial Narrow&quot;;font-size:5pt;v-text-kern:t;mso-text-shadow:auto;font-weight:bold" string="177 / 800"/>
            <w10:wrap type="none"/>
          </v:shape>
        </w:pict>
      </w:r>
      <w:r>
        <w:rPr>
          <w:rFonts w:ascii="Century Gothic"/>
          <w:b/>
          <w:color w:val="4D4D4D"/>
          <w:sz w:val="13"/>
        </w:rPr>
        <w:t>Lee Blvd</w:t>
      </w:r>
    </w:p>
    <w:p>
      <w:pPr>
        <w:pStyle w:val="BodyText"/>
        <w:spacing w:before="2"/>
        <w:rPr>
          <w:rFonts w:ascii="Century Gothic"/>
          <w:b/>
          <w:sz w:val="13"/>
        </w:rPr>
      </w:pPr>
      <w:r>
        <w:rPr/>
        <w:br w:type="column"/>
      </w:r>
      <w:r>
        <w:rPr>
          <w:rFonts w:ascii="Century Gothic"/>
          <w:b/>
          <w:sz w:val="13"/>
        </w:rPr>
      </w:r>
    </w:p>
    <w:p>
      <w:pPr>
        <w:spacing w:before="0"/>
        <w:ind w:left="61" w:right="0" w:firstLine="0"/>
        <w:jc w:val="left"/>
        <w:rPr>
          <w:rFonts w:ascii="Arial Narrow"/>
          <w:b/>
          <w:sz w:val="10"/>
        </w:rPr>
      </w:pPr>
      <w:r>
        <w:rPr>
          <w:rFonts w:ascii="Arial Narrow"/>
          <w:b/>
          <w:sz w:val="10"/>
        </w:rPr>
        <w:t>412 / 1600</w:t>
      </w:r>
    </w:p>
    <w:p>
      <w:pPr>
        <w:spacing w:before="103"/>
        <w:ind w:left="41" w:right="0" w:firstLine="0"/>
        <w:jc w:val="left"/>
        <w:rPr>
          <w:rFonts w:ascii="Century Gothic"/>
          <w:b/>
          <w:sz w:val="13"/>
        </w:rPr>
      </w:pPr>
      <w:r>
        <w:rPr/>
        <w:pict>
          <v:shape style="position:absolute;margin-left:460.332336pt;margin-top:-5.404916pt;width:17.05pt;height:5pt;mso-position-horizontal-relative:page;mso-position-vertical-relative:paragraph;z-index:-267932672;rotation:1" type="#_x0000_t136" fillcolor="#000000" stroked="f">
            <o:extrusion v:ext="view" autorotationcenter="t"/>
            <v:textpath style="font-family:&quot;Arial Narrow&quot;;font-size:5pt;v-text-kern:t;mso-text-shadow:auto;font-weight:bold" string="358 / 800"/>
            <w10:wrap type="none"/>
          </v:shape>
        </w:pict>
      </w:r>
      <w:r>
        <w:rPr/>
        <w:pict>
          <v:shape style="position:absolute;margin-left:496.100153pt;margin-top:24.711884pt;width:17.05pt;height:5pt;mso-position-horizontal-relative:page;mso-position-vertical-relative:paragraph;z-index:252155904;rotation:84" type="#_x0000_t136" fillcolor="#000000" stroked="f">
            <o:extrusion v:ext="view" autorotationcenter="t"/>
            <v:textpath style="font-family:&quot;Arial Narrow&quot;;font-size:5pt;v-text-kern:t;mso-text-shadow:auto;font-weight:bold" string="550 / 800"/>
            <w10:wrap type="none"/>
          </v:shape>
        </w:pict>
      </w:r>
      <w:r>
        <w:rPr/>
        <w:pict>
          <v:shape style="position:absolute;margin-left:479.072144pt;margin-top:-1.080316pt;width:8pt;height:19.05pt;mso-position-horizontal-relative:page;mso-position-vertical-relative:paragraph;z-index:-267860992" type="#_x0000_t202" filled="false" stroked="false">
            <v:textbox inset="0,0,0,0" style="layout-flow:vertical;mso-layout-flow-alt:bottom-to-top">
              <w:txbxContent>
                <w:p>
                  <w:pPr>
                    <w:spacing w:before="24"/>
                    <w:ind w:left="20" w:right="0" w:firstLine="0"/>
                    <w:jc w:val="left"/>
                    <w:rPr>
                      <w:rFonts w:ascii="Arial Narrow"/>
                      <w:b/>
                      <w:sz w:val="10"/>
                    </w:rPr>
                  </w:pPr>
                  <w:r>
                    <w:rPr>
                      <w:rFonts w:ascii="Arial Narrow"/>
                      <w:b/>
                      <w:sz w:val="10"/>
                    </w:rPr>
                    <w:t>618 / 800</w:t>
                  </w:r>
                </w:p>
              </w:txbxContent>
            </v:textbox>
            <w10:wrap type="none"/>
          </v:shape>
        </w:pict>
      </w:r>
      <w:r>
        <w:rPr/>
        <w:pict>
          <v:shape style="position:absolute;margin-left:512.242676pt;margin-top:-27.110155pt;width:8.0500pt;height:23.5pt;mso-position-horizontal-relative:page;mso-position-vertical-relative:paragraph;z-index:252179456" type="#_x0000_t202" filled="false" stroked="false">
            <v:textbox inset="0,0,0,0" style="layout-flow:vertical;mso-layout-flow-alt:bottom-to-top">
              <w:txbxContent>
                <w:p>
                  <w:pPr>
                    <w:spacing w:before="15"/>
                    <w:ind w:left="20" w:right="0" w:firstLine="0"/>
                    <w:jc w:val="left"/>
                    <w:rPr>
                      <w:rFonts w:ascii="Arial Narrow"/>
                      <w:b/>
                      <w:sz w:val="10"/>
                    </w:rPr>
                  </w:pPr>
                  <w:r>
                    <w:rPr>
                      <w:rFonts w:ascii="Arial Narrow"/>
                      <w:b/>
                      <w:sz w:val="10"/>
                    </w:rPr>
                    <w:t>1140 / 160</w:t>
                  </w:r>
                  <w:r>
                    <w:rPr>
                      <w:rFonts w:ascii="Arial Narrow"/>
                      <w:b/>
                      <w:position w:val="1"/>
                      <w:sz w:val="10"/>
                    </w:rPr>
                    <w:t>0</w:t>
                  </w:r>
                </w:p>
              </w:txbxContent>
            </v:textbox>
            <w10:wrap type="none"/>
          </v:shape>
        </w:pict>
      </w:r>
      <w:r>
        <w:rPr>
          <w:rFonts w:ascii="Century Gothic"/>
          <w:b/>
          <w:color w:val="4D4D4D"/>
          <w:sz w:val="13"/>
        </w:rPr>
        <w:t>Knigh</w:t>
      </w:r>
      <w:r>
        <w:rPr>
          <w:rFonts w:ascii="Century Gothic"/>
          <w:b/>
          <w:color w:val="4D4D4D"/>
          <w:position w:val="1"/>
          <w:sz w:val="13"/>
        </w:rPr>
        <w:t>t St</w:t>
      </w:r>
    </w:p>
    <w:p>
      <w:pPr>
        <w:pStyle w:val="BodyText"/>
        <w:rPr>
          <w:rFonts w:ascii="Century Gothic"/>
          <w:b/>
          <w:sz w:val="40"/>
        </w:rPr>
      </w:pPr>
      <w:r>
        <w:rPr/>
        <w:br w:type="column"/>
      </w:r>
      <w:r>
        <w:rPr>
          <w:rFonts w:ascii="Century Gothic"/>
          <w:b/>
          <w:sz w:val="40"/>
        </w:rPr>
      </w:r>
    </w:p>
    <w:p>
      <w:pPr>
        <w:pStyle w:val="BodyText"/>
        <w:spacing w:before="9"/>
        <w:rPr>
          <w:rFonts w:ascii="Century Gothic"/>
          <w:b/>
          <w:sz w:val="57"/>
        </w:rPr>
      </w:pPr>
    </w:p>
    <w:p>
      <w:pPr>
        <w:spacing w:before="0"/>
        <w:ind w:left="2416" w:right="2826" w:firstLine="0"/>
        <w:jc w:val="center"/>
        <w:rPr>
          <w:rFonts w:ascii="Arial" w:hAnsi="Arial"/>
          <w:b/>
          <w:sz w:val="11"/>
        </w:rPr>
      </w:pPr>
      <w:r>
        <w:rPr/>
        <w:pict>
          <v:shape style="position:absolute;margin-left:507.875037pt;margin-top:-1.557907pt;width:21.7pt;height:5pt;mso-position-horizontal-relative:page;mso-position-vertical-relative:paragraph;z-index:252145664;rotation:64" type="#_x0000_t136" fillcolor="#000000" stroked="f">
            <o:extrusion v:ext="view" autorotationcenter="t"/>
            <v:textpath style="font-family:&quot;Arial Narrow&quot;;font-size:5pt;v-text-kern:t;mso-text-shadow:auto;font-weight:bold" string="1564 / 2400"/>
            <w10:wrap type="none"/>
          </v:shape>
        </w:pict>
      </w:r>
      <w:r>
        <w:rPr/>
        <w:pict>
          <v:shape style="position:absolute;margin-left:492.68277pt;margin-top:19.237522pt;width:40.25pt;height:6.65pt;mso-position-horizontal-relative:page;mso-position-vertical-relative:paragraph;z-index:252221440;rotation:354" type="#_x0000_t136" fillcolor="#4d4d4d" stroked="f">
            <o:extrusion v:ext="view" autorotationcenter="t"/>
            <v:textpath style="font-family:&quot;Century Gothic&quot;;font-size:6pt;v-text-kern:t;mso-text-shadow:auto;font-weight:bold" string="Comstock St"/>
            <w10:wrap type="none"/>
          </v:shape>
        </w:pict>
      </w:r>
      <w:r>
        <w:rPr>
          <w:rFonts w:ascii="Arial" w:hAnsi="Arial"/>
          <w:color w:val="FF0000"/>
          <w:spacing w:val="-284"/>
          <w:w w:val="127"/>
          <w:position w:val="-8"/>
          <w:sz w:val="40"/>
        </w:rPr>
        <w:t>§</w:t>
      </w:r>
      <w:r>
        <w:rPr>
          <w:rFonts w:ascii="Arial" w:hAnsi="Arial"/>
          <w:spacing w:val="-284"/>
          <w:w w:val="272"/>
          <w:position w:val="-9"/>
          <w:sz w:val="40"/>
        </w:rPr>
        <w:t>¦</w:t>
      </w:r>
      <w:r>
        <w:rPr>
          <w:rFonts w:ascii="Arial" w:hAnsi="Arial"/>
          <w:color w:val="0000FF"/>
          <w:spacing w:val="-236"/>
          <w:w w:val="21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spacing w:after="0"/>
        <w:jc w:val="center"/>
        <w:rPr>
          <w:rFonts w:ascii="Arial" w:hAnsi="Arial"/>
          <w:sz w:val="11"/>
        </w:rPr>
        <w:sectPr>
          <w:type w:val="continuous"/>
          <w:pgSz w:w="15840" w:h="24480"/>
          <w:pgMar w:top="1480" w:bottom="1320" w:left="0" w:right="0"/>
          <w:cols w:num="5" w:equalWidth="0">
            <w:col w:w="8499" w:space="40"/>
            <w:col w:w="425" w:space="39"/>
            <w:col w:w="643" w:space="39"/>
            <w:col w:w="594" w:space="39"/>
            <w:col w:w="5522"/>
          </w:cols>
        </w:sectPr>
      </w:pPr>
    </w:p>
    <w:p>
      <w:pPr>
        <w:spacing w:before="5"/>
        <w:ind w:left="3842" w:right="1730" w:firstLine="0"/>
        <w:jc w:val="center"/>
        <w:rPr>
          <w:rFonts w:ascii="Arial Narrow"/>
          <w:b/>
          <w:sz w:val="10"/>
        </w:rPr>
      </w:pPr>
      <w:r>
        <w:rPr/>
        <w:pict>
          <v:shape style="position:absolute;margin-left:426.548492pt;margin-top:-18.840115pt;width:17.05pt;height:5pt;mso-position-horizontal-relative:page;mso-position-vertical-relative:paragraph;z-index:252119040;rotation:20" type="#_x0000_t136" fillcolor="#000000" stroked="f">
            <o:extrusion v:ext="view" autorotationcenter="t"/>
            <v:textpath style="font-family:&quot;Arial Narrow&quot;;font-size:5pt;v-text-kern:t;mso-text-shadow:auto;font-weight:bold" string="101 / 800"/>
            <w10:wrap type="none"/>
          </v:shape>
        </w:pict>
      </w:r>
      <w:r>
        <w:rPr/>
        <w:pict>
          <v:shape style="position:absolute;margin-left:423.758606pt;margin-top:12.511492pt;width:21.7pt;height:5pt;mso-position-horizontal-relative:page;mso-position-vertical-relative:paragraph;z-index:252133376;rotation:38" type="#_x0000_t136" fillcolor="#000000" stroked="f">
            <o:extrusion v:ext="view" autorotationcenter="t"/>
            <v:textpath style="font-family:&quot;Arial Narrow&quot;;font-size:5pt;v-text-kern:t;mso-text-shadow:auto;font-weight:bold" string="3510 / 3600"/>
            <w10:wrap type="none"/>
          </v:shape>
        </w:pict>
      </w:r>
      <w:r>
        <w:rPr/>
        <w:pict>
          <v:shape style="position:absolute;margin-left:462.055511pt;margin-top:-38.318722pt;width:28.2pt;height:51.55pt;mso-position-horizontal-relative:page;mso-position-vertical-relative:paragraph;z-index:252171264" type="#_x0000_t202" filled="false" stroked="false">
            <v:textbox inset="0,0,0,0" style="layout-flow:vertical;mso-layout-flow-alt:bottom-to-top">
              <w:txbxContent>
                <w:p>
                  <w:pPr>
                    <w:spacing w:before="24"/>
                    <w:ind w:left="161" w:right="0" w:firstLine="0"/>
                    <w:jc w:val="left"/>
                    <w:rPr>
                      <w:rFonts w:ascii="Century Gothic"/>
                      <w:b/>
                      <w:sz w:val="13"/>
                    </w:rPr>
                  </w:pPr>
                  <w:r>
                    <w:rPr>
                      <w:rFonts w:ascii="Century Gothic"/>
                      <w:b/>
                      <w:color w:val="4D4D4D"/>
                      <w:sz w:val="13"/>
                    </w:rPr>
                    <w:t>Wellsi</w:t>
                  </w:r>
                  <w:r>
                    <w:rPr>
                      <w:rFonts w:ascii="Century Gothic"/>
                      <w:b/>
                      <w:color w:val="4D4D4D"/>
                      <w:position w:val="1"/>
                      <w:sz w:val="13"/>
                    </w:rPr>
                    <w:t>an Way</w:t>
                  </w:r>
                </w:p>
                <w:p>
                  <w:pPr>
                    <w:spacing w:before="44"/>
                    <w:ind w:left="220" w:right="0" w:firstLine="0"/>
                    <w:jc w:val="left"/>
                    <w:rPr>
                      <w:rFonts w:ascii="Arial Narrow"/>
                      <w:b/>
                      <w:sz w:val="10"/>
                    </w:rPr>
                  </w:pPr>
                  <w:r>
                    <w:rPr>
                      <w:rFonts w:ascii="Arial Narrow"/>
                      <w:b/>
                      <w:sz w:val="10"/>
                    </w:rPr>
                    <w:t>536 / 1600</w:t>
                  </w:r>
                </w:p>
                <w:p>
                  <w:pPr>
                    <w:spacing w:before="21"/>
                    <w:ind w:left="20" w:right="0" w:firstLine="0"/>
                    <w:jc w:val="left"/>
                    <w:rPr>
                      <w:rFonts w:ascii="Century Gothic"/>
                      <w:b/>
                      <w:sz w:val="13"/>
                    </w:rPr>
                  </w:pPr>
                  <w:r>
                    <w:rPr>
                      <w:rFonts w:ascii="Century Gothic"/>
                      <w:b/>
                      <w:color w:val="4D4D4D"/>
                      <w:sz w:val="13"/>
                    </w:rPr>
                    <w:t>Goeth</w:t>
                  </w:r>
                  <w:r>
                    <w:rPr>
                      <w:rFonts w:ascii="Century Gothic"/>
                      <w:b/>
                      <w:color w:val="4D4D4D"/>
                      <w:position w:val="1"/>
                      <w:sz w:val="13"/>
                    </w:rPr>
                    <w:t>als Dr</w:t>
                  </w:r>
                </w:p>
              </w:txbxContent>
            </v:textbox>
            <w10:wrap type="none"/>
          </v:shape>
        </w:pict>
      </w:r>
      <w:r>
        <w:rPr/>
        <w:pict>
          <v:shape style="position:absolute;margin-left:399.432861pt;margin-top:-2.353112pt;width:16.75pt;height:5pt;mso-position-horizontal-relative:page;mso-position-vertical-relative:paragraph;z-index:252213248;rotation:310" type="#_x0000_t136" fillcolor="#000000" stroked="f">
            <o:extrusion v:ext="view" autorotationcenter="t"/>
            <v:textpath style="font-family:&quot;Arial Narrow&quot;;font-size:5pt;v-text-kern:t;mso-text-shadow:auto;font-weight:bold" string="112 / 800"/>
            <w10:wrap type="none"/>
          </v:shape>
        </w:pict>
      </w:r>
      <w:r>
        <w:rPr/>
        <w:pict>
          <v:shape style="position:absolute;margin-left:388.879413pt;margin-top:-17.07706pt;width:36.5pt;height:6.65pt;mso-position-horizontal-relative:page;mso-position-vertical-relative:paragraph;z-index:252216320;rotation:312" type="#_x0000_t136" fillcolor="#4d4d4d" stroked="f">
            <o:extrusion v:ext="view" autorotationcenter="t"/>
            <v:textpath style="font-family:&quot;Century Gothic&quot;;font-size:6pt;v-text-kern:t;mso-text-shadow:auto;font-weight:bold" string="Duportail St"/>
            <w10:wrap type="none"/>
          </v:shape>
        </w:pict>
      </w:r>
      <w:r>
        <w:rPr>
          <w:rFonts w:ascii="Arial Narrow"/>
          <w:b/>
          <w:sz w:val="10"/>
        </w:rPr>
        <w:t>49 / 800</w:t>
      </w:r>
    </w:p>
    <w:p>
      <w:pPr>
        <w:pStyle w:val="BodyText"/>
        <w:spacing w:before="1"/>
        <w:rPr>
          <w:rFonts w:ascii="Arial Narrow"/>
          <w:b/>
          <w:sz w:val="16"/>
        </w:rPr>
      </w:pPr>
    </w:p>
    <w:p>
      <w:pPr>
        <w:spacing w:before="101"/>
        <w:ind w:left="8128" w:right="3862" w:firstLine="0"/>
        <w:jc w:val="center"/>
        <w:rPr>
          <w:rFonts w:ascii="Century Gothic"/>
          <w:b/>
          <w:sz w:val="13"/>
        </w:rPr>
      </w:pPr>
      <w:r>
        <w:rPr/>
        <w:pict>
          <v:shape style="position:absolute;margin-left:530.010767pt;margin-top:7.577897pt;width:21.8pt;height:5pt;mso-position-horizontal-relative:page;mso-position-vertical-relative:paragraph;z-index:252142592;rotation:57" type="#_x0000_t136" fillcolor="#000000" stroked="f">
            <o:extrusion v:ext="view" autorotationcenter="t"/>
            <v:textpath style="font-family:&quot;Arial Narrow&quot;;font-size:5pt;v-text-kern:t;mso-text-shadow:auto;font-weight:bold" string="1396 / 1600"/>
            <w10:wrap type="none"/>
          </v:shape>
        </w:pict>
      </w:r>
      <w:r>
        <w:rPr/>
        <w:pict>
          <v:shape style="position:absolute;margin-left:473.69873pt;margin-top:7.322503pt;width:17pt;height:5pt;mso-position-horizontal-relative:page;mso-position-vertical-relative:paragraph;z-index:252157952;rotation:86" type="#_x0000_t136" fillcolor="#000000" stroked="f">
            <o:extrusion v:ext="view" autorotationcenter="t"/>
            <v:textpath style="font-family:&quot;Arial Narrow&quot;;font-size:5pt;v-text-kern:t;mso-text-shadow:auto;font-weight:bold" string="387 / 800"/>
            <w10:wrap type="none"/>
          </v:shape>
        </w:pict>
      </w:r>
      <w:r>
        <w:rPr/>
        <w:pict>
          <v:shape style="position:absolute;margin-left:465.74823pt;margin-top:-6.122386pt;width:8pt;height:21.25pt;mso-position-horizontal-relative:page;mso-position-vertical-relative:paragraph;z-index:252172288" type="#_x0000_t202" filled="false" stroked="false">
            <v:textbox inset="0,0,0,0" style="layout-flow:vertical;mso-layout-flow-alt:bottom-to-top">
              <w:txbxContent>
                <w:p>
                  <w:pPr>
                    <w:spacing w:before="25"/>
                    <w:ind w:left="20" w:right="0" w:firstLine="0"/>
                    <w:jc w:val="left"/>
                    <w:rPr>
                      <w:rFonts w:ascii="Arial Narrow"/>
                      <w:b/>
                      <w:sz w:val="10"/>
                    </w:rPr>
                  </w:pPr>
                  <w:r>
                    <w:rPr>
                      <w:rFonts w:ascii="Arial Narrow"/>
                      <w:b/>
                      <w:sz w:val="10"/>
                    </w:rPr>
                    <w:t>613 / 1600</w:t>
                  </w:r>
                </w:p>
              </w:txbxContent>
            </v:textbox>
            <w10:wrap type="none"/>
          </v:shape>
        </w:pict>
      </w:r>
      <w:r>
        <w:rPr>
          <w:rFonts w:ascii="Century Gothic"/>
          <w:b/>
          <w:color w:val="4D4D4D"/>
          <w:sz w:val="13"/>
        </w:rPr>
        <w:t>Aaron </w:t>
      </w:r>
      <w:r>
        <w:rPr>
          <w:rFonts w:ascii="Century Gothic"/>
          <w:b/>
          <w:color w:val="4D4D4D"/>
          <w:position w:val="1"/>
          <w:sz w:val="13"/>
        </w:rPr>
        <w:t>Dr</w:t>
      </w:r>
    </w:p>
    <w:p>
      <w:pPr>
        <w:spacing w:before="28"/>
        <w:ind w:left="8443" w:right="3862" w:firstLine="0"/>
        <w:jc w:val="center"/>
        <w:rPr>
          <w:rFonts w:ascii="Arial Narrow"/>
          <w:b/>
          <w:sz w:val="10"/>
        </w:rPr>
      </w:pPr>
      <w:r>
        <w:rPr/>
        <w:pict>
          <v:shape style="position:absolute;margin-left:324.798889pt;margin-top:18.151396pt;width:17.05pt;height:5pt;mso-position-horizontal-relative:page;mso-position-vertical-relative:paragraph;z-index:252111872;rotation:12" type="#_x0000_t136" fillcolor="#000000" stroked="f">
            <o:extrusion v:ext="view" autorotationcenter="t"/>
            <v:textpath style="font-family:&quot;Arial Narrow&quot;;font-size:5pt;v-text-kern:t;mso-text-shadow:auto;font-weight:bold" string="124 / 800"/>
            <w10:wrap type="none"/>
          </v:shape>
        </w:pict>
      </w:r>
      <w:r>
        <w:rPr/>
        <w:pict>
          <v:shape style="position:absolute;margin-left:319.687775pt;margin-top:7.766879pt;width:39.050pt;height:6.65pt;mso-position-horizontal-relative:page;mso-position-vertical-relative:paragraph;z-index:252113920;rotation:13" type="#_x0000_t136" fillcolor="#4d4d4d" stroked="f">
            <o:extrusion v:ext="view" autorotationcenter="t"/>
            <v:textpath style="font-family:&quot;Century Gothic&quot;;font-size:6pt;v-text-kern:t;mso-text-shadow:auto;font-weight:bold" string="Kennedy Rd"/>
            <w10:wrap type="none"/>
          </v:shape>
        </w:pict>
      </w:r>
      <w:r>
        <w:rPr/>
        <w:pict>
          <v:shape style="position:absolute;margin-left:364.694305pt;margin-top:7.330652pt;width:19.25pt;height:5pt;mso-position-horizontal-relative:page;mso-position-vertical-relative:paragraph;z-index:252122112;rotation:23" type="#_x0000_t136" fillcolor="#000000" stroked="f">
            <o:extrusion v:ext="view" autorotationcenter="t"/>
            <v:textpath style="font-family:&quot;Arial Narrow&quot;;font-size:5pt;v-text-kern:t;mso-text-shadow:auto;font-weight:bold" string="267 / 1600"/>
            <w10:wrap type="none"/>
          </v:shape>
        </w:pict>
      </w:r>
      <w:r>
        <w:rPr/>
        <w:pict>
          <v:shape style="position:absolute;margin-left:320.535614pt;margin-top:31.353741pt;width:19.25pt;height:5pt;mso-position-horizontal-relative:page;mso-position-vertical-relative:paragraph;z-index:252128256;rotation:29" type="#_x0000_t136" fillcolor="#000000" stroked="f">
            <o:extrusion v:ext="view" autorotationcenter="t"/>
            <v:textpath style="font-family:&quot;Arial Narrow&quot;;font-size:5pt;v-text-kern:t;mso-text-shadow:auto;font-weight:bold" string="956 / 1600"/>
            <w10:wrap type="none"/>
          </v:shape>
        </w:pict>
      </w:r>
      <w:r>
        <w:rPr/>
        <w:pict>
          <v:shape style="position:absolute;margin-left:549.249121pt;margin-top:18.274089pt;width:21.7pt;height:5pt;mso-position-horizontal-relative:page;mso-position-vertical-relative:paragraph;z-index:252138496;rotation:50" type="#_x0000_t136" fillcolor="#000000" stroked="f">
            <o:extrusion v:ext="view" autorotationcenter="t"/>
            <v:textpath style="font-family:&quot;Arial Narrow&quot;;font-size:5pt;v-text-kern:t;mso-text-shadow:auto;font-weight:bold" string="3089 / 3600"/>
            <w10:wrap type="none"/>
          </v:shape>
        </w:pict>
      </w:r>
      <w:r>
        <w:rPr/>
        <w:pict>
          <v:shape style="position:absolute;margin-left:392.424957pt;margin-top:33.633469pt;width:21.75pt;height:5pt;mso-position-horizontal-relative:page;mso-position-vertical-relative:paragraph;z-index:252144640;rotation:63" type="#_x0000_t136" fillcolor="#000000" stroked="f">
            <o:extrusion v:ext="view" autorotationcenter="t"/>
            <v:textpath style="font-family:&quot;Arial Narrow&quot;;font-size:5pt;v-text-kern:t;mso-text-shadow:auto;font-weight:bold" string="1488 / 1600"/>
            <w10:wrap type="none"/>
          </v:shape>
        </w:pict>
      </w:r>
      <w:r>
        <w:rPr/>
        <w:pict>
          <v:shape style="position:absolute;margin-left:388.109027pt;margin-top:29.435647pt;width:48.75pt;height:6.65pt;mso-position-horizontal-relative:page;mso-position-vertical-relative:paragraph;z-index:252146688;rotation:64" type="#_x0000_t136" fillcolor="#4d4d4d" stroked="f">
            <o:extrusion v:ext="view" autorotationcenter="t"/>
            <v:textpath style="font-family:&quot;Century Gothic&quot;;font-size:6pt;v-text-kern:t;mso-text-shadow:auto;font-weight:bold" string="Queensgate Dr"/>
            <w10:wrap type="none"/>
          </v:shape>
        </w:pict>
      </w:r>
      <w:r>
        <w:rPr/>
        <w:pict>
          <v:shape style="position:absolute;margin-left:384.914612pt;margin-top:7.985695pt;width:17pt;height:5pt;mso-position-horizontal-relative:page;mso-position-vertical-relative:paragraph;z-index:252208128;rotation:293" type="#_x0000_t136" fillcolor="#000000" stroked="f">
            <o:extrusion v:ext="view" autorotationcenter="t"/>
            <v:textpath style="font-family:&quot;Arial Narrow&quot;;font-size:5pt;v-text-kern:t;mso-text-shadow:auto;font-weight:bold" string="42 / 1600"/>
            <w10:wrap type="none"/>
          </v:shape>
        </w:pict>
      </w:r>
      <w:r>
        <w:rPr/>
        <w:pict>
          <v:shape style="position:absolute;margin-left:369.613464pt;margin-top:22.252625pt;width:19.2pt;height:5pt;mso-position-horizontal-relative:page;mso-position-vertical-relative:paragraph;z-index:252218368;rotation:329" type="#_x0000_t136" fillcolor="#000000" stroked="f">
            <o:extrusion v:ext="view" autorotationcenter="t"/>
            <v:textpath style="font-family:&quot;Arial Narrow&quot;;font-size:5pt;v-text-kern:t;mso-text-shadow:auto;font-weight:bold" string="760 / 1600"/>
            <w10:wrap type="none"/>
          </v:shape>
        </w:pict>
      </w:r>
      <w:r>
        <w:rPr/>
        <w:pict>
          <v:shape style="position:absolute;margin-left:340.231781pt;margin-top:21.99123pt;width:36.450pt;height:6.65pt;mso-position-horizontal-relative:page;mso-position-vertical-relative:paragraph;z-index:252219392;rotation:334" type="#_x0000_t136" fillcolor="#4d4d4d" stroked="f">
            <o:extrusion v:ext="view" autorotationcenter="t"/>
            <v:textpath style="font-family:&quot;Century Gothic&quot;;font-size:6pt;v-text-kern:t;mso-text-shadow:auto;font-weight:bold" string="Duportail St"/>
            <w10:wrap type="none"/>
          </v:shape>
        </w:pict>
      </w:r>
      <w:r>
        <w:rPr>
          <w:rFonts w:ascii="Arial Narrow"/>
          <w:b/>
          <w:sz w:val="10"/>
        </w:rPr>
        <w:t>290 / 1600</w:t>
      </w: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spacing w:before="2"/>
        <w:rPr>
          <w:rFonts w:ascii="Arial Narrow"/>
          <w:b/>
          <w:sz w:val="19"/>
        </w:rPr>
      </w:pPr>
    </w:p>
    <w:p>
      <w:pPr>
        <w:spacing w:after="0"/>
        <w:rPr>
          <w:rFonts w:ascii="Arial Narrow"/>
          <w:sz w:val="19"/>
        </w:rPr>
        <w:sectPr>
          <w:type w:val="continuous"/>
          <w:pgSz w:w="15840" w:h="24480"/>
          <w:pgMar w:top="1480" w:bottom="1320" w:left="0" w:right="0"/>
        </w:sectPr>
      </w:pPr>
    </w:p>
    <w:p>
      <w:pPr>
        <w:spacing w:before="258"/>
        <w:ind w:left="0" w:right="47" w:firstLine="0"/>
        <w:jc w:val="right"/>
        <w:rPr>
          <w:rFonts w:ascii="Arial" w:hAnsi="Arial"/>
          <w:b/>
          <w:sz w:val="11"/>
        </w:rPr>
      </w:pPr>
      <w:r>
        <w:rPr/>
        <w:pict>
          <v:shape style="position:absolute;margin-left:560.044678pt;margin-top:40.878242pt;width:56.3pt;height:6.65pt;mso-position-horizontal-relative:page;mso-position-vertical-relative:paragraph;z-index:-267921408;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532.573914pt;margin-top:35.788960pt;width:17.05pt;height:5pt;mso-position-horizontal-relative:page;mso-position-vertical-relative:paragraph;z-index:252118016;rotation:16" type="#_x0000_t136" fillcolor="#000000" stroked="f">
            <o:extrusion v:ext="view" autorotationcenter="t"/>
            <v:textpath style="font-family:&quot;Arial Narrow&quot;;font-size:5pt;v-text-kern:t;mso-text-shadow:auto;font-weight:bold" string="179 / 800"/>
            <w10:wrap type="none"/>
          </v:shape>
        </w:pict>
      </w:r>
      <w:r>
        <w:rPr/>
        <w:pict>
          <v:shape style="position:absolute;margin-left:452.888763pt;margin-top:.836486pt;width:17pt;height:5pt;mso-position-horizontal-relative:page;mso-position-vertical-relative:paragraph;z-index:252120064;rotation:20" type="#_x0000_t136" fillcolor="#000000" stroked="f">
            <o:extrusion v:ext="view" autorotationcenter="t"/>
            <v:textpath style="font-family:&quot;Arial Narrow&quot;;font-size:5pt;v-text-kern:t;mso-text-shadow:auto;font-weight:bold" string="286 / 800"/>
            <w10:wrap type="none"/>
          </v:shape>
        </w:pict>
      </w:r>
      <w:r>
        <w:rPr/>
        <w:pict>
          <v:shape style="position:absolute;margin-left:372.734497pt;margin-top:4.323454pt;width:19.3pt;height:5pt;mso-position-horizontal-relative:page;mso-position-vertical-relative:paragraph;z-index:252121088;rotation:21" type="#_x0000_t136" fillcolor="#000000" stroked="f">
            <o:extrusion v:ext="view" autorotationcenter="t"/>
            <v:textpath style="font-family:&quot;Arial Narrow&quot;;font-size:5pt;v-text-kern:t;mso-text-shadow:auto;font-weight:bold" string="794 / 1600"/>
            <w10:wrap type="none"/>
          </v:shape>
        </w:pict>
      </w:r>
      <w:r>
        <w:rPr>
          <w:rFonts w:ascii="Arial" w:hAnsi="Arial"/>
          <w:color w:val="FF0000"/>
          <w:spacing w:val="-284"/>
          <w:w w:val="127"/>
          <w:position w:val="-8"/>
          <w:sz w:val="40"/>
        </w:rPr>
        <w:t>§</w:t>
      </w:r>
      <w:r>
        <w:rPr>
          <w:rFonts w:ascii="Arial" w:hAnsi="Arial"/>
          <w:color w:val="0000FF"/>
          <w:spacing w:val="-284"/>
          <w:w w:val="212"/>
          <w:position w:val="-9"/>
          <w:sz w:val="40"/>
        </w:rPr>
        <w:t>¨</w:t>
      </w:r>
      <w:r>
        <w:rPr>
          <w:rFonts w:ascii="Arial" w:hAnsi="Arial"/>
          <w:spacing w:val="-242"/>
          <w:w w:val="27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pStyle w:val="BodyText"/>
        <w:rPr>
          <w:rFonts w:ascii="Arial"/>
          <w:b/>
          <w:sz w:val="16"/>
        </w:rPr>
      </w:pPr>
      <w:r>
        <w:rPr/>
        <w:br w:type="column"/>
      </w:r>
      <w:r>
        <w:rPr>
          <w:rFonts w:ascii="Arial"/>
          <w:b/>
          <w:sz w:val="16"/>
        </w:rPr>
      </w:r>
    </w:p>
    <w:p>
      <w:pPr>
        <w:pStyle w:val="BodyText"/>
        <w:rPr>
          <w:rFonts w:ascii="Arial"/>
          <w:b/>
          <w:sz w:val="16"/>
        </w:rPr>
      </w:pPr>
    </w:p>
    <w:p>
      <w:pPr>
        <w:pStyle w:val="BodyText"/>
        <w:rPr>
          <w:rFonts w:ascii="Arial"/>
          <w:b/>
          <w:sz w:val="16"/>
        </w:rPr>
      </w:pPr>
    </w:p>
    <w:p>
      <w:pPr>
        <w:pStyle w:val="BodyText"/>
        <w:spacing w:before="5"/>
        <w:rPr>
          <w:rFonts w:ascii="Arial"/>
          <w:b/>
          <w:sz w:val="14"/>
        </w:rPr>
      </w:pPr>
    </w:p>
    <w:p>
      <w:pPr>
        <w:spacing w:before="1"/>
        <w:ind w:left="0" w:right="0" w:firstLine="0"/>
        <w:jc w:val="right"/>
        <w:rPr>
          <w:rFonts w:ascii="Century Gothic"/>
          <w:b/>
          <w:sz w:val="13"/>
        </w:rPr>
      </w:pPr>
      <w:r>
        <w:rPr/>
        <w:pict>
          <v:shape style="position:absolute;margin-left:585.191956pt;margin-top:16.78923pt;width:17.05pt;height:5pt;mso-position-horizontal-relative:page;mso-position-vertical-relative:paragraph;z-index:252116992;rotation:16" type="#_x0000_t136" fillcolor="#000000" stroked="f">
            <o:extrusion v:ext="view" autorotationcenter="t"/>
            <v:textpath style="font-family:&quot;Arial Narrow&quot;;font-size:5pt;v-text-kern:t;mso-text-shadow:auto;font-weight:bold" string="896 / 800"/>
            <w10:wrap type="none"/>
          </v:shape>
        </w:pict>
      </w:r>
      <w:r>
        <w:rPr/>
        <w:pict>
          <v:shape style="position:absolute;margin-left:495.446625pt;margin-top:-15.797945pt;width:17.05pt;height:5pt;mso-position-horizontal-relative:page;mso-position-vertical-relative:paragraph;z-index:252126208;rotation:27" type="#_x0000_t136" fillcolor="#000000" stroked="f">
            <o:extrusion v:ext="view" autorotationcenter="t"/>
            <v:textpath style="font-family:&quot;Arial Narrow&quot;;font-size:5pt;v-text-kern:t;mso-text-shadow:auto;font-weight:bold" string="286 / 800"/>
            <w10:wrap type="none"/>
          </v:shape>
        </w:pict>
      </w:r>
      <w:r>
        <w:rPr/>
        <w:pict>
          <v:shape style="position:absolute;margin-left:446.434021pt;margin-top:7.29241pt;width:31.05pt;height:6.65pt;mso-position-horizontal-relative:page;mso-position-vertical-relative:paragraph;z-index:252134400;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640.673523pt;margin-top:35.172724pt;width:17pt;height:5pt;mso-position-horizontal-relative:page;mso-position-vertical-relative:paragraph;z-index:252136448;rotation:46" type="#_x0000_t136" fillcolor="#000000" stroked="f">
            <o:extrusion v:ext="view" autorotationcenter="t"/>
            <v:textpath style="font-family:&quot;Arial Narrow&quot;;font-size:5pt;v-text-kern:t;mso-text-shadow:auto;font-weight:bold" string="190 / 800"/>
            <w10:wrap type="none"/>
          </v:shape>
        </w:pict>
      </w:r>
      <w:r>
        <w:rPr/>
        <w:pict>
          <v:shape style="position:absolute;margin-left:404.438849pt;margin-top:-26.87007pt;width:19.2pt;height:5pt;mso-position-horizontal-relative:page;mso-position-vertical-relative:paragraph;z-index:252209152;rotation:296" type="#_x0000_t136" fillcolor="#000000" stroked="f">
            <o:extrusion v:ext="view" autorotationcenter="t"/>
            <v:textpath style="font-family:&quot;Arial Narrow&quot;;font-size:5pt;v-text-kern:t;mso-text-shadow:auto;font-weight:bold" string="1100 / 800"/>
            <w10:wrap type="none"/>
          </v:shape>
        </w:pict>
      </w:r>
      <w:r>
        <w:rPr/>
        <w:pict>
          <v:shape style="position:absolute;margin-left:482.537903pt;margin-top:16.981998pt;width:44.65pt;height:6.65pt;mso-position-horizontal-relative:page;mso-position-vertical-relative:paragraph;z-index:252222464;rotation:358" type="#_x0000_t136" fillcolor="#4d4d4d" stroked="f">
            <o:extrusion v:ext="view" autorotationcenter="t"/>
            <v:textpath style="font-family:&quot;Century Gothic&quot;;font-size:6pt;v-text-kern:t;mso-text-shadow:auto;font-weight:bold" string="Englewood Dr"/>
            <w10:wrap type="none"/>
          </v:shape>
        </w:pict>
      </w:r>
      <w:r>
        <w:rPr>
          <w:rFonts w:ascii="Century Gothic"/>
          <w:b/>
          <w:color w:val="4D4D4D"/>
          <w:sz w:val="13"/>
        </w:rPr>
        <w:t>Shockl</w:t>
      </w:r>
      <w:r>
        <w:rPr>
          <w:rFonts w:ascii="Century Gothic"/>
          <w:b/>
          <w:color w:val="4D4D4D"/>
          <w:position w:val="1"/>
          <w:sz w:val="13"/>
        </w:rPr>
        <w:t>ey Rd</w:t>
      </w:r>
    </w:p>
    <w:p>
      <w:pPr>
        <w:spacing w:before="59"/>
        <w:ind w:left="2916" w:right="3782" w:firstLine="0"/>
        <w:jc w:val="center"/>
        <w:rPr>
          <w:rFonts w:ascii="Arial"/>
          <w:b/>
          <w:sz w:val="13"/>
        </w:rPr>
      </w:pPr>
      <w:r>
        <w:rPr/>
        <w:br w:type="column"/>
      </w:r>
      <w:r>
        <w:rPr>
          <w:rFonts w:ascii="Arial Black"/>
          <w:spacing w:val="-271"/>
          <w:w w:val="108"/>
          <w:position w:val="-2"/>
          <w:sz w:val="32"/>
        </w:rPr>
        <w:t>V</w:t>
      </w:r>
      <w:r>
        <w:rPr>
          <w:rFonts w:ascii="Arial Black"/>
          <w:color w:val="FFFFFF"/>
          <w:spacing w:val="-252"/>
          <w:w w:val="101"/>
          <w:position w:val="-2"/>
          <w:sz w:val="32"/>
        </w:rPr>
        <w:t>U</w:t>
      </w:r>
      <w:r>
        <w:rPr>
          <w:rFonts w:ascii="Arial"/>
          <w:b/>
          <w:spacing w:val="-2"/>
          <w:w w:val="102"/>
          <w:sz w:val="13"/>
        </w:rPr>
        <w:t>2</w:t>
      </w:r>
      <w:r>
        <w:rPr>
          <w:rFonts w:ascii="Arial"/>
          <w:b/>
          <w:spacing w:val="3"/>
          <w:w w:val="102"/>
          <w:sz w:val="13"/>
        </w:rPr>
        <w:t>4</w:t>
      </w:r>
      <w:r>
        <w:rPr>
          <w:rFonts w:ascii="Arial"/>
          <w:b/>
          <w:w w:val="102"/>
          <w:sz w:val="13"/>
        </w:rPr>
        <w:t>0</w:t>
      </w:r>
    </w:p>
    <w:p>
      <w:pPr>
        <w:spacing w:after="0"/>
        <w:jc w:val="center"/>
        <w:rPr>
          <w:rFonts w:ascii="Arial"/>
          <w:sz w:val="13"/>
        </w:rPr>
        <w:sectPr>
          <w:type w:val="continuous"/>
          <w:pgSz w:w="15840" w:h="24480"/>
          <w:pgMar w:top="1480" w:bottom="1320" w:left="0" w:right="0"/>
          <w:cols w:num="3" w:equalWidth="0">
            <w:col w:w="5919" w:space="40"/>
            <w:col w:w="2861" w:space="39"/>
            <w:col w:w="6981"/>
          </w:cols>
        </w:sectPr>
      </w:pPr>
    </w:p>
    <w:p>
      <w:pPr>
        <w:pStyle w:val="BodyText"/>
        <w:spacing w:before="6"/>
        <w:rPr>
          <w:rFonts w:ascii="Arial"/>
          <w:b/>
          <w:sz w:val="23"/>
        </w:rPr>
      </w:pPr>
    </w:p>
    <w:p>
      <w:pPr>
        <w:spacing w:after="0"/>
        <w:rPr>
          <w:rFonts w:ascii="Arial"/>
          <w:sz w:val="23"/>
        </w:rPr>
        <w:sectPr>
          <w:type w:val="continuous"/>
          <w:pgSz w:w="15840" w:h="24480"/>
          <w:pgMar w:top="1480" w:bottom="1320" w:left="0" w:right="0"/>
        </w:sectPr>
      </w:pPr>
    </w:p>
    <w:p>
      <w:pPr>
        <w:pStyle w:val="BodyText"/>
        <w:spacing w:before="3"/>
        <w:rPr>
          <w:rFonts w:ascii="Arial"/>
          <w:b/>
          <w:sz w:val="14"/>
        </w:rPr>
      </w:pPr>
    </w:p>
    <w:p>
      <w:pPr>
        <w:spacing w:before="1"/>
        <w:ind w:left="0" w:right="0" w:firstLine="0"/>
        <w:jc w:val="right"/>
        <w:rPr>
          <w:rFonts w:ascii="Century Gothic"/>
          <w:b/>
          <w:sz w:val="13"/>
        </w:rPr>
      </w:pPr>
      <w:r>
        <w:rPr/>
        <w:pict>
          <v:shape style="position:absolute;margin-left:627.705933pt;margin-top:12.911469pt;width:14.8pt;height:5pt;mso-position-horizontal-relative:page;mso-position-vertical-relative:paragraph;z-index:252123136;rotation:25" type="#_x0000_t136" fillcolor="#000000" stroked="f">
            <o:extrusion v:ext="view" autorotationcenter="t"/>
            <v:textpath style="font-family:&quot;Arial Narrow&quot;;font-size:5pt;v-text-kern:t;mso-text-shadow:auto;font-weight:bold" string="70 / 800"/>
            <w10:wrap type="none"/>
          </v:shape>
        </w:pict>
      </w:r>
      <w:r>
        <w:rPr/>
        <w:pict>
          <v:shape style="position:absolute;margin-left:479.814789pt;margin-top:16.727188pt;width:19.25pt;height:5pt;mso-position-horizontal-relative:page;mso-position-vertical-relative:paragraph;z-index:252135424;rotation:40" type="#_x0000_t136" fillcolor="#000000" stroked="f">
            <o:extrusion v:ext="view" autorotationcenter="t"/>
            <v:textpath style="font-family:&quot;Arial Narrow&quot;;font-size:5pt;v-text-kern:t;mso-text-shadow:auto;font-weight:bold" string="877 / 1600"/>
            <w10:wrap type="none"/>
          </v:shape>
        </w:pict>
      </w:r>
      <w:r>
        <w:rPr/>
        <w:pict>
          <v:shape style="position:absolute;margin-left:438.859766pt;margin-top:-14.169891pt;width:22.2pt;height:6.65pt;mso-position-horizontal-relative:page;mso-position-vertical-relative:paragraph;z-index:252137472;rotation:48" type="#_x0000_t136" fillcolor="#4d4d4d" stroked="f">
            <o:extrusion v:ext="view" autorotationcenter="t"/>
            <v:textpath style="font-family:&quot;Century Gothic&quot;;font-size:6pt;v-text-kern:t;mso-text-shadow:auto;font-weight:bold" string="Fuji Wy"/>
            <w10:wrap type="none"/>
          </v:shape>
        </w:pict>
      </w:r>
      <w:r>
        <w:rPr/>
        <w:pict>
          <v:shape style="position:absolute;margin-left:592.924866pt;margin-top:-35.563148pt;width:21.75pt;height:5pt;mso-position-horizontal-relative:page;mso-position-vertical-relative:paragraph;z-index:-267895808;rotation:55" type="#_x0000_t136" fillcolor="#000000" stroked="f">
            <o:extrusion v:ext="view" autorotationcenter="t"/>
            <v:textpath style="font-family:&quot;Arial Narrow&quot;;font-size:5pt;v-text-kern:t;mso-text-shadow:auto;font-weight:bold" string="4440 / 4800"/>
            <w10:wrap type="none"/>
          </v:shape>
        </w:pict>
      </w:r>
      <w:r>
        <w:rPr/>
        <w:pict>
          <v:shape style="position:absolute;margin-left:615.745056pt;margin-top:8.305576pt;width:10.8pt;height:34.050pt;mso-position-horizontal-relative:page;mso-position-vertical-relative:paragraph;z-index:252184576"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Step</w:t>
                  </w:r>
                  <w:r>
                    <w:rPr>
                      <w:rFonts w:ascii="Century Gothic"/>
                      <w:b/>
                      <w:color w:val="4D4D4D"/>
                      <w:position w:val="1"/>
                      <w:sz w:val="13"/>
                    </w:rPr>
                    <w:t>toe St</w:t>
                  </w:r>
                </w:p>
              </w:txbxContent>
            </v:textbox>
            <w10:wrap type="none"/>
          </v:shape>
        </w:pict>
      </w:r>
      <w:r>
        <w:rPr/>
        <w:pict>
          <v:shape style="position:absolute;margin-left:448.014178pt;margin-top:19.615708pt;width:27.75pt;height:6.65pt;mso-position-horizontal-relative:page;mso-position-vertical-relative:paragraph;z-index:252189696;rotation:272" type="#_x0000_t136" fillcolor="#4d4d4d" stroked="f">
            <o:extrusion v:ext="view" autorotationcenter="t"/>
            <v:textpath style="font-family:&quot;Century Gothic&quot;;font-size:6pt;v-text-kern:t;mso-text-shadow:auto;font-weight:bold" string="Gala Wy"/>
            <w10:wrap type="none"/>
          </v:shape>
        </w:pict>
      </w:r>
      <w:r>
        <w:rPr/>
        <w:pict>
          <v:shape style="position:absolute;margin-left:562.386255pt;margin-top:-11.267299pt;width:17.05pt;height:5pt;mso-position-horizontal-relative:page;mso-position-vertical-relative:paragraph;z-index:252205056;rotation:290" type="#_x0000_t136" fillcolor="#000000" stroked="f">
            <o:extrusion v:ext="view" autorotationcenter="t"/>
            <v:textpath style="font-family:&quot;Arial Narrow&quot;;font-size:5pt;v-text-kern:t;mso-text-shadow:auto;font-weight:bold" string="786 / 800"/>
            <w10:wrap type="none"/>
          </v:shape>
        </w:pict>
      </w:r>
      <w:r>
        <w:rPr>
          <w:rFonts w:ascii="Century Gothic"/>
          <w:b/>
          <w:color w:val="4D4D4D"/>
          <w:sz w:val="13"/>
        </w:rPr>
        <w:t>Westcliffe Blvd</w:t>
      </w:r>
    </w:p>
    <w:p>
      <w:pPr>
        <w:spacing w:before="95"/>
        <w:ind w:left="0" w:right="0" w:firstLine="0"/>
        <w:jc w:val="right"/>
        <w:rPr>
          <w:rFonts w:ascii="Arial Narrow"/>
          <w:b/>
          <w:sz w:val="10"/>
        </w:rPr>
      </w:pPr>
      <w:r>
        <w:rPr/>
        <w:br w:type="column"/>
      </w:r>
      <w:r>
        <w:rPr>
          <w:rFonts w:ascii="Arial Narrow"/>
          <w:b/>
          <w:position w:val="1"/>
          <w:sz w:val="10"/>
        </w:rPr>
        <w:t>3</w:t>
      </w:r>
      <w:r>
        <w:rPr>
          <w:rFonts w:ascii="Arial Narrow"/>
          <w:b/>
          <w:sz w:val="10"/>
        </w:rPr>
        <w:t>46 / 1600</w:t>
      </w:r>
    </w:p>
    <w:p>
      <w:pPr>
        <w:pStyle w:val="BodyText"/>
        <w:rPr>
          <w:rFonts w:ascii="Arial Narrow"/>
          <w:b/>
          <w:sz w:val="12"/>
        </w:rPr>
      </w:pPr>
      <w:r>
        <w:rPr/>
        <w:br w:type="column"/>
      </w:r>
      <w:r>
        <w:rPr>
          <w:rFonts w:ascii="Arial Narrow"/>
          <w:b/>
          <w:sz w:val="12"/>
        </w:rPr>
      </w:r>
    </w:p>
    <w:p>
      <w:pPr>
        <w:pStyle w:val="BodyText"/>
        <w:rPr>
          <w:rFonts w:ascii="Arial Narrow"/>
          <w:b/>
          <w:sz w:val="12"/>
        </w:rPr>
      </w:pPr>
    </w:p>
    <w:p>
      <w:pPr>
        <w:pStyle w:val="BodyText"/>
        <w:spacing w:before="1"/>
        <w:rPr>
          <w:rFonts w:ascii="Arial Narrow"/>
          <w:b/>
          <w:sz w:val="14"/>
        </w:rPr>
      </w:pPr>
    </w:p>
    <w:p>
      <w:pPr>
        <w:spacing w:before="0"/>
        <w:ind w:left="300" w:right="0" w:firstLine="0"/>
        <w:jc w:val="left"/>
        <w:rPr>
          <w:rFonts w:ascii="Arial Narrow"/>
          <w:b/>
          <w:sz w:val="10"/>
        </w:rPr>
      </w:pPr>
      <w:r>
        <w:rPr/>
        <w:pict>
          <v:shape style="position:absolute;margin-left:706.252136pt;margin-top:11.57719pt;width:21.75pt;height:5pt;mso-position-horizontal-relative:page;mso-position-vertical-relative:paragraph;z-index:252105728;rotation:1" type="#_x0000_t136" fillcolor="#000000" stroked="f">
            <o:extrusion v:ext="view" autorotationcenter="t"/>
            <v:textpath style="font-family:&quot;Arial Narrow&quot;;font-size:5pt;v-text-kern:t;mso-text-shadow:auto;font-weight:bold" string="2640 / 2400"/>
            <w10:wrap type="none"/>
          </v:shape>
        </w:pict>
      </w:r>
      <w:r>
        <w:rPr/>
        <w:pict>
          <v:shape style="position:absolute;margin-left:663.933105pt;margin-top:-8.374093pt;width:28.1pt;height:6.65pt;mso-position-horizontal-relative:page;mso-position-vertical-relative:paragraph;z-index:252107776;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702.018433pt;margin-top:-14.760578pt;width:19.2pt;height:5pt;mso-position-horizontal-relative:page;mso-position-vertical-relative:paragraph;z-index:252108800;rotation:5" type="#_x0000_t136" fillcolor="#000000" stroked="f">
            <o:extrusion v:ext="view" autorotationcenter="t"/>
            <v:textpath style="font-family:&quot;Arial Narrow&quot;;font-size:5pt;v-text-kern:t;mso-text-shadow:auto;font-weight:bold" string="116 / 1600"/>
            <w10:wrap type="none"/>
          </v:shape>
        </w:pict>
      </w:r>
      <w:r>
        <w:rPr/>
        <w:pict>
          <v:shape style="position:absolute;margin-left:675.975037pt;margin-top:10.17057pt;width:21.8pt;height:5pt;mso-position-horizontal-relative:page;mso-position-vertical-relative:paragraph;z-index:252109824;rotation:5" type="#_x0000_t136" fillcolor="#000000" stroked="f">
            <o:extrusion v:ext="view" autorotationcenter="t"/>
            <v:textpath style="font-family:&quot;Arial Narrow&quot;;font-size:5pt;v-text-kern:t;mso-text-shadow:auto;font-weight:bold" string="3180 / 3600"/>
            <w10:wrap type="none"/>
          </v:shape>
        </w:pict>
      </w:r>
      <w:r>
        <w:rPr/>
        <w:pict>
          <v:shape style="position:absolute;margin-left:619.846436pt;margin-top:-17.39209pt;width:19.25pt;height:5pt;mso-position-horizontal-relative:page;mso-position-vertical-relative:paragraph;z-index:252110848;rotation:7" type="#_x0000_t136" fillcolor="#000000" stroked="f">
            <o:extrusion v:ext="view" autorotationcenter="t"/>
            <v:textpath style="font-family:&quot;Arial Narrow&quot;;font-size:5pt;v-text-kern:t;mso-text-shadow:auto;font-weight:bold" string="346 / 1600"/>
            <w10:wrap type="none"/>
          </v:shape>
        </w:pict>
      </w:r>
      <w:r>
        <w:rPr/>
        <w:pict>
          <v:shape style="position:absolute;margin-left:639.650818pt;margin-top:15.664467pt;width:32.7pt;height:6.65pt;mso-position-horizontal-relative:page;mso-position-vertical-relative:paragraph;z-index:252124160;rotation:25" type="#_x0000_t136" fillcolor="#4d4d4d" stroked="f">
            <o:extrusion v:ext="view" autorotationcenter="t"/>
            <v:textpath style="font-family:&quot;Century Gothic&quot;;font-size:6pt;v-text-kern:t;mso-text-shadow:auto;font-weight:bold" string="Tapteal Dr"/>
            <w10:wrap type="none"/>
          </v:shape>
        </w:pict>
      </w:r>
      <w:r>
        <w:rPr/>
        <w:pict>
          <v:shape style="position:absolute;margin-left:588.676721pt;margin-top:45.695475pt;width:17.05pt;height:5pt;mso-position-horizontal-relative:page;mso-position-vertical-relative:paragraph;z-index:252158976;rotation:87" type="#_x0000_t136" fillcolor="#000000" stroked="f">
            <o:extrusion v:ext="view" autorotationcenter="t"/>
            <v:textpath style="font-family:&quot;Arial Narrow&quot;;font-size:5pt;v-text-kern:t;mso-text-shadow:auto;font-weight:bold" string="296 / 800"/>
            <w10:wrap type="none"/>
          </v:shape>
        </w:pict>
      </w:r>
      <w:r>
        <w:rPr/>
        <w:pict>
          <v:shape style="position:absolute;margin-left:549.373718pt;margin-top:11.574434pt;width:7.95pt;height:19.05pt;mso-position-horizontal-relative:page;mso-position-vertical-relative:paragraph;z-index:252181504" type="#_x0000_t202" filled="false" stroked="false">
            <v:textbox inset="0,0,0,0" style="layout-flow:vertical;mso-layout-flow-alt:bottom-to-top">
              <w:txbxContent>
                <w:p>
                  <w:pPr>
                    <w:spacing w:before="23"/>
                    <w:ind w:left="20" w:right="0" w:firstLine="0"/>
                    <w:jc w:val="left"/>
                    <w:rPr>
                      <w:rFonts w:ascii="Arial Narrow"/>
                      <w:b/>
                      <w:sz w:val="10"/>
                    </w:rPr>
                  </w:pPr>
                  <w:r>
                    <w:rPr>
                      <w:rFonts w:ascii="Arial Narrow"/>
                      <w:b/>
                      <w:sz w:val="10"/>
                    </w:rPr>
                    <w:t>696 / 800</w:t>
                  </w:r>
                </w:p>
              </w:txbxContent>
            </v:textbox>
            <w10:wrap type="none"/>
          </v:shape>
        </w:pict>
      </w:r>
      <w:r>
        <w:rPr/>
        <w:pict>
          <v:shape style="position:absolute;margin-left:599.776001pt;margin-top:24.334007pt;width:7.9pt;height:19pt;mso-position-horizontal-relative:page;mso-position-vertical-relative:paragraph;z-index:252183552" type="#_x0000_t202" filled="false" stroked="false">
            <v:textbox inset="0,0,0,0" style="layout-flow:vertical;mso-layout-flow-alt:bottom-to-top">
              <w:txbxContent>
                <w:p>
                  <w:pPr>
                    <w:spacing w:before="22"/>
                    <w:ind w:left="20" w:right="0" w:firstLine="0"/>
                    <w:jc w:val="left"/>
                    <w:rPr>
                      <w:rFonts w:ascii="Arial Narrow"/>
                      <w:b/>
                      <w:sz w:val="10"/>
                    </w:rPr>
                  </w:pPr>
                  <w:r>
                    <w:rPr>
                      <w:rFonts w:ascii="Arial Narrow"/>
                      <w:b/>
                      <w:sz w:val="10"/>
                    </w:rPr>
                    <w:t>141 / 800</w:t>
                  </w:r>
                </w:p>
              </w:txbxContent>
            </v:textbox>
            <w10:wrap type="none"/>
          </v:shape>
        </w:pict>
      </w:r>
      <w:r>
        <w:rPr/>
        <w:pict>
          <v:shape style="position:absolute;margin-left:486.506195pt;margin-top:-14.957182pt;width:17pt;height:5pt;mso-position-horizontal-relative:page;mso-position-vertical-relative:paragraph;z-index:252224512;rotation:359" type="#_x0000_t136" fillcolor="#000000" stroked="f">
            <o:extrusion v:ext="view" autorotationcenter="t"/>
            <v:textpath style="font-family:&quot;Arial Narrow&quot;;font-size:5pt;v-text-kern:t;mso-text-shadow:auto;font-weight:bold" string="190 / 800"/>
            <w10:wrap type="none"/>
          </v:shape>
        </w:pict>
      </w:r>
      <w:r>
        <w:rPr/>
        <w:pict>
          <v:shape style="position:absolute;margin-left:564.014343pt;margin-top:43.371544pt;width:21.7pt;height:5pt;mso-position-horizontal-relative:page;mso-position-vertical-relative:paragraph;z-index:252226560;rotation:359" type="#_x0000_t136" fillcolor="#000000" stroked="f">
            <o:extrusion v:ext="view" autorotationcenter="t"/>
            <v:textpath style="font-family:&quot;Arial Narrow&quot;;font-size:5pt;v-text-kern:t;mso-text-shadow:auto;font-weight:bold" string="1014 / 1600"/>
            <w10:wrap type="none"/>
          </v:shape>
        </w:pict>
      </w:r>
      <w:r>
        <w:rPr/>
        <w:pict>
          <v:shape style="position:absolute;margin-left:604.447083pt;margin-top:42.817703pt;width:21.7pt;height:5pt;mso-position-horizontal-relative:page;mso-position-vertical-relative:paragraph;z-index:252227584;rotation:359" type="#_x0000_t136" fillcolor="#000000" stroked="f">
            <o:extrusion v:ext="view" autorotationcenter="t"/>
            <v:textpath style="font-family:&quot;Arial Narrow&quot;;font-size:5pt;v-text-kern:t;mso-text-shadow:auto;font-weight:bold" string="1231 / 1600"/>
            <w10:wrap type="none"/>
          </v:shape>
        </w:pict>
      </w:r>
      <w:r>
        <w:rPr>
          <w:rFonts w:ascii="Arial Narrow"/>
          <w:b/>
          <w:sz w:val="10"/>
        </w:rPr>
        <w:t>190 / 800</w:t>
      </w:r>
    </w:p>
    <w:p>
      <w:pPr>
        <w:spacing w:after="0"/>
        <w:jc w:val="left"/>
        <w:rPr>
          <w:rFonts w:ascii="Arial Narrow"/>
          <w:sz w:val="10"/>
        </w:rPr>
        <w:sectPr>
          <w:type w:val="continuous"/>
          <w:pgSz w:w="15840" w:h="24480"/>
          <w:pgMar w:top="1480" w:bottom="1320" w:left="0" w:right="0"/>
          <w:cols w:num="3" w:equalWidth="0">
            <w:col w:w="9238" w:space="40"/>
            <w:col w:w="4368" w:space="39"/>
            <w:col w:w="2155"/>
          </w:cols>
        </w:sectPr>
      </w:pPr>
    </w:p>
    <w:p>
      <w:pPr>
        <w:pStyle w:val="BodyText"/>
        <w:rPr>
          <w:rFonts w:ascii="Arial Narrow"/>
          <w:b/>
          <w:sz w:val="20"/>
        </w:rPr>
      </w:pPr>
    </w:p>
    <w:p>
      <w:pPr>
        <w:pStyle w:val="BodyText"/>
        <w:rPr>
          <w:rFonts w:ascii="Arial Narrow"/>
          <w:b/>
          <w:sz w:val="20"/>
        </w:rPr>
      </w:pPr>
    </w:p>
    <w:p>
      <w:pPr>
        <w:spacing w:after="0"/>
        <w:rPr>
          <w:rFonts w:ascii="Arial Narrow"/>
          <w:sz w:val="20"/>
        </w:rPr>
        <w:sectPr>
          <w:type w:val="continuous"/>
          <w:pgSz w:w="15840" w:h="24480"/>
          <w:pgMar w:top="1480" w:bottom="1320" w:left="0" w:right="0"/>
        </w:sectPr>
      </w:pPr>
    </w:p>
    <w:p>
      <w:pPr>
        <w:pStyle w:val="BodyText"/>
        <w:rPr>
          <w:rFonts w:ascii="Arial Narrow"/>
          <w:b/>
          <w:sz w:val="12"/>
        </w:rPr>
      </w:pPr>
    </w:p>
    <w:p>
      <w:pPr>
        <w:pStyle w:val="BodyText"/>
        <w:spacing w:before="10"/>
        <w:rPr>
          <w:rFonts w:ascii="Arial Narrow"/>
          <w:b/>
          <w:sz w:val="11"/>
        </w:rPr>
      </w:pPr>
    </w:p>
    <w:p>
      <w:pPr>
        <w:spacing w:before="1"/>
        <w:ind w:left="0" w:right="0" w:firstLine="0"/>
        <w:jc w:val="right"/>
        <w:rPr>
          <w:rFonts w:ascii="Arial Narrow"/>
          <w:b/>
          <w:sz w:val="10"/>
        </w:rPr>
      </w:pPr>
      <w:r>
        <w:rPr/>
        <w:pict>
          <v:shape style="position:absolute;margin-left:448.654663pt;margin-top:-11.094798pt;width:31.25pt;height:6.65pt;mso-position-horizontal-relative:page;mso-position-vertical-relative:paragraph;z-index:252127232;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233.99942pt;margin-top:-1.49014pt;width:10.5pt;height:31.7pt;mso-position-horizontal-relative:page;mso-position-vertical-relative:paragraph;z-index:252162048" type="#_x0000_t202" filled="false" stroked="false">
            <v:textbox inset="0,0,0,0" style="layout-flow:vertical;mso-layout-flow-alt:bottom-to-top">
              <w:txbxContent>
                <w:p>
                  <w:pPr>
                    <w:spacing w:before="18"/>
                    <w:ind w:left="20" w:right="0" w:firstLine="0"/>
                    <w:jc w:val="left"/>
                    <w:rPr>
                      <w:rFonts w:ascii="Century Gothic"/>
                      <w:b/>
                      <w:sz w:val="13"/>
                    </w:rPr>
                  </w:pPr>
                  <w:r>
                    <w:rPr>
                      <w:rFonts w:ascii="Century Gothic"/>
                      <w:b/>
                      <w:color w:val="4D4D4D"/>
                      <w:position w:val="1"/>
                      <w:sz w:val="13"/>
                    </w:rPr>
                    <w:t>D</w:t>
                  </w:r>
                  <w:r>
                    <w:rPr>
                      <w:rFonts w:ascii="Century Gothic"/>
                      <w:b/>
                      <w:color w:val="4D4D4D"/>
                      <w:sz w:val="13"/>
                    </w:rPr>
                    <w:t>allas Rd</w:t>
                  </w:r>
                </w:p>
              </w:txbxContent>
            </v:textbox>
            <w10:wrap type="none"/>
          </v:shape>
        </w:pict>
      </w:r>
      <w:r>
        <w:rPr/>
        <w:pict>
          <v:shape style="position:absolute;margin-left:624.977173pt;margin-top:27.948589pt;width:7.9pt;height:21.25pt;mso-position-horizontal-relative:page;mso-position-vertical-relative:paragraph;z-index:252185600" type="#_x0000_t202" filled="false" stroked="false">
            <v:textbox inset="0,0,0,0" style="layout-flow:vertical;mso-layout-flow-alt:bottom-to-top">
              <w:txbxContent>
                <w:p>
                  <w:pPr>
                    <w:spacing w:before="22"/>
                    <w:ind w:left="20" w:right="0" w:firstLine="0"/>
                    <w:jc w:val="left"/>
                    <w:rPr>
                      <w:rFonts w:ascii="Arial Narrow"/>
                      <w:b/>
                      <w:sz w:val="10"/>
                    </w:rPr>
                  </w:pPr>
                  <w:r>
                    <w:rPr>
                      <w:rFonts w:ascii="Arial Narrow"/>
                      <w:b/>
                      <w:sz w:val="10"/>
                    </w:rPr>
                    <w:t>717 / 1600</w:t>
                  </w:r>
                </w:p>
              </w:txbxContent>
            </v:textbox>
            <w10:wrap type="none"/>
          </v:shape>
        </w:pict>
      </w:r>
      <w:r>
        <w:rPr>
          <w:rFonts w:ascii="Arial Narrow"/>
          <w:b/>
          <w:sz w:val="10"/>
        </w:rPr>
        <w:t>382 / 800</w:t>
      </w:r>
    </w:p>
    <w:p>
      <w:pPr>
        <w:pStyle w:val="BodyText"/>
        <w:rPr>
          <w:rFonts w:ascii="Arial Narrow"/>
          <w:b/>
          <w:sz w:val="12"/>
        </w:rPr>
      </w:pPr>
      <w:r>
        <w:rPr/>
        <w:br w:type="column"/>
      </w:r>
      <w:r>
        <w:rPr>
          <w:rFonts w:ascii="Arial Narrow"/>
          <w:b/>
          <w:sz w:val="12"/>
        </w:rPr>
      </w:r>
    </w:p>
    <w:p>
      <w:pPr>
        <w:pStyle w:val="BodyText"/>
        <w:spacing w:before="3"/>
        <w:rPr>
          <w:rFonts w:ascii="Arial Narrow"/>
          <w:b/>
          <w:sz w:val="12"/>
        </w:rPr>
      </w:pPr>
    </w:p>
    <w:p>
      <w:pPr>
        <w:spacing w:before="0"/>
        <w:ind w:left="108" w:right="0" w:firstLine="0"/>
        <w:jc w:val="left"/>
        <w:rPr>
          <w:rFonts w:ascii="Arial Narrow"/>
          <w:b/>
          <w:sz w:val="10"/>
        </w:rPr>
      </w:pPr>
      <w:r>
        <w:rPr/>
        <w:pict>
          <v:shape style="position:absolute;margin-left:516.451660pt;margin-top:-13.503621pt;width:19.2pt;height:5pt;mso-position-horizontal-relative:page;mso-position-vertical-relative:paragraph;z-index:252125184;rotation:26" type="#_x0000_t136" fillcolor="#000000" stroked="f">
            <o:extrusion v:ext="view" autorotationcenter="t"/>
            <v:textpath style="font-family:&quot;Arial Narrow&quot;;font-size:5pt;v-text-kern:t;mso-text-shadow:auto;font-weight:bold" string="874 / 1600"/>
            <w10:wrap type="none"/>
          </v:shape>
        </w:pict>
      </w:r>
      <w:r>
        <w:rPr>
          <w:rFonts w:ascii="Arial Narrow"/>
          <w:b/>
          <w:sz w:val="10"/>
        </w:rPr>
        <w:t>382 /</w:t>
      </w:r>
      <w:r>
        <w:rPr>
          <w:rFonts w:ascii="Arial Narrow"/>
          <w:b/>
          <w:spacing w:val="-12"/>
          <w:sz w:val="10"/>
        </w:rPr>
        <w:t> </w:t>
      </w:r>
      <w:r>
        <w:rPr>
          <w:rFonts w:ascii="Arial Narrow"/>
          <w:b/>
          <w:sz w:val="10"/>
        </w:rPr>
        <w:t>800</w:t>
      </w:r>
    </w:p>
    <w:p>
      <w:pPr>
        <w:pStyle w:val="BodyText"/>
        <w:rPr>
          <w:rFonts w:ascii="Arial Narrow"/>
          <w:b/>
          <w:sz w:val="12"/>
        </w:rPr>
      </w:pPr>
      <w:r>
        <w:rPr/>
        <w:br w:type="column"/>
      </w:r>
      <w:r>
        <w:rPr>
          <w:rFonts w:ascii="Arial Narrow"/>
          <w:b/>
          <w:sz w:val="12"/>
        </w:rPr>
      </w:r>
    </w:p>
    <w:p>
      <w:pPr>
        <w:spacing w:before="105"/>
        <w:ind w:left="2081" w:right="2612" w:firstLine="0"/>
        <w:jc w:val="center"/>
        <w:rPr>
          <w:rFonts w:ascii="Arial Narrow"/>
          <w:b/>
          <w:sz w:val="10"/>
        </w:rPr>
      </w:pPr>
      <w:r>
        <w:rPr/>
        <w:pict>
          <v:shape style="position:absolute;margin-left:677.919006pt;margin-top:-13.189736pt;width:14.85pt;height:5pt;mso-position-horizontal-relative:page;mso-position-vertical-relative:paragraph;z-index:252112896;rotation:12" type="#_x0000_t136" fillcolor="#000000" stroked="f">
            <o:extrusion v:ext="view" autorotationcenter="t"/>
            <v:textpath style="font-family:&quot;Arial Narrow&quot;;font-size:5pt;v-text-kern:t;mso-text-shadow:auto;font-weight:bold" string="70 / 800"/>
            <w10:wrap type="none"/>
          </v:shape>
        </w:pict>
      </w:r>
      <w:r>
        <w:rPr/>
        <w:pict>
          <v:shape style="position:absolute;margin-left:595.561658pt;margin-top:30.772168pt;width:36.050pt;height:6.65pt;mso-position-horizontal-relative:page;mso-position-vertical-relative:paragraph;z-index:252152832;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536.930603pt;margin-top:17.319456pt;width:20.75pt;height:43.1pt;mso-position-horizontal-relative:page;mso-position-vertical-relative:paragraph;z-index:252180480" type="#_x0000_t202" filled="false" stroked="false">
            <v:textbox inset="0,0,0,0" style="layout-flow:vertical;mso-layout-flow-alt:bottom-to-top">
              <w:txbxContent>
                <w:p>
                  <w:pPr>
                    <w:spacing w:before="19"/>
                    <w:ind w:left="285" w:right="0" w:firstLine="0"/>
                    <w:jc w:val="left"/>
                    <w:rPr>
                      <w:rFonts w:ascii="Century Gothic"/>
                      <w:b/>
                      <w:sz w:val="13"/>
                    </w:rPr>
                  </w:pPr>
                  <w:r>
                    <w:rPr>
                      <w:rFonts w:ascii="Century Gothic"/>
                      <w:b/>
                      <w:color w:val="4D4D4D"/>
                      <w:position w:val="1"/>
                      <w:sz w:val="13"/>
                    </w:rPr>
                    <w:t>Le</w:t>
                  </w:r>
                  <w:r>
                    <w:rPr>
                      <w:rFonts w:ascii="Century Gothic"/>
                      <w:b/>
                      <w:color w:val="4D4D4D"/>
                      <w:sz w:val="13"/>
                    </w:rPr>
                    <w:t>slie Rd</w:t>
                  </w:r>
                </w:p>
                <w:p>
                  <w:pPr>
                    <w:spacing w:before="68"/>
                    <w:ind w:left="20" w:right="0" w:firstLine="0"/>
                    <w:jc w:val="left"/>
                    <w:rPr>
                      <w:rFonts w:ascii="Arial Narrow"/>
                      <w:b/>
                      <w:sz w:val="10"/>
                    </w:rPr>
                  </w:pPr>
                  <w:r>
                    <w:rPr>
                      <w:rFonts w:ascii="Arial Narrow"/>
                      <w:b/>
                      <w:sz w:val="10"/>
                    </w:rPr>
                    <w:t>818 / 800 </w:t>
                  </w:r>
                  <w:r>
                    <w:rPr>
                      <w:rFonts w:ascii="Arial Narrow"/>
                      <w:b/>
                      <w:position w:val="-1"/>
                      <w:sz w:val="10"/>
                    </w:rPr>
                    <w:t>818 / 800</w:t>
                  </w:r>
                </w:p>
              </w:txbxContent>
            </v:textbox>
            <w10:wrap type="none"/>
          </v:shape>
        </w:pict>
      </w:r>
      <w:r>
        <w:rPr/>
        <w:pict>
          <v:shape style="position:absolute;margin-left:555.806763pt;margin-top:-2.415205pt;width:34.1pt;height:6.65pt;mso-position-horizontal-relative:page;mso-position-vertical-relative:paragraph;z-index:252225536;rotation:359" type="#_x0000_t136" fillcolor="#4d4d4d" stroked="f">
            <o:extrusion v:ext="view" autorotationcenter="t"/>
            <v:textpath style="font-family:&quot;Century Gothic&quot;;font-size:6pt;v-text-kern:t;mso-text-shadow:auto;font-weight:bold" string="Gage Blvd"/>
            <w10:wrap type="none"/>
          </v:shape>
        </w:pict>
      </w:r>
      <w:r>
        <w:rPr>
          <w:rFonts w:ascii="Arial Narrow"/>
          <w:b/>
          <w:sz w:val="10"/>
        </w:rPr>
        <w:t>1309 / 1600</w:t>
      </w:r>
    </w:p>
    <w:p>
      <w:pPr>
        <w:spacing w:after="0"/>
        <w:jc w:val="center"/>
        <w:rPr>
          <w:rFonts w:ascii="Arial Narrow"/>
          <w:sz w:val="10"/>
        </w:rPr>
        <w:sectPr>
          <w:type w:val="continuous"/>
          <w:pgSz w:w="15840" w:h="24480"/>
          <w:pgMar w:top="1480" w:bottom="1320" w:left="0" w:right="0"/>
          <w:cols w:num="3" w:equalWidth="0">
            <w:col w:w="10143" w:space="40"/>
            <w:col w:w="450" w:space="39"/>
            <w:col w:w="5168"/>
          </w:cols>
        </w:sect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spacing w:before="6"/>
        <w:rPr>
          <w:rFonts w:ascii="Arial Narrow"/>
          <w:b/>
          <w:sz w:val="17"/>
        </w:rPr>
      </w:pPr>
    </w:p>
    <w:p>
      <w:pPr>
        <w:spacing w:after="0"/>
        <w:rPr>
          <w:rFonts w:ascii="Arial Narrow"/>
          <w:sz w:val="17"/>
        </w:rPr>
        <w:sectPr>
          <w:type w:val="continuous"/>
          <w:pgSz w:w="15840" w:h="24480"/>
          <w:pgMar w:top="1480" w:bottom="1320" w:left="0" w:right="0"/>
        </w:sectPr>
      </w:pPr>
    </w:p>
    <w:p>
      <w:pPr>
        <w:spacing w:before="92"/>
        <w:ind w:left="1235" w:right="0" w:firstLine="0"/>
        <w:jc w:val="left"/>
        <w:rPr>
          <w:rFonts w:ascii="Arial"/>
          <w:b/>
          <w:sz w:val="26"/>
        </w:rPr>
      </w:pPr>
      <w:r>
        <w:rPr/>
        <w:pict>
          <v:group style="position:absolute;margin-left:34.755585pt;margin-top:35.445774pt;width:721.85pt;height:1153.1pt;mso-position-horizontal-relative:page;mso-position-vertical-relative:page;z-index:-267933696" coordorigin="695,709" coordsize="14437,23062">
            <v:rect style="position:absolute;left:720;top:2879;width:14401;height:20880" filled="true" fillcolor="#e5e2cf" stroked="false">
              <v:fill type="solid"/>
            </v:rect>
            <v:shape style="position:absolute;left:717;top:3278;width:14412;height:20490" type="#_x0000_t75" stroked="false">
              <v:imagedata r:id="rId237" o:title=""/>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2.49243pt" strokecolor="#818181">
              <v:path arrowok="t"/>
              <v:stroke dashstyle="solid"/>
            </v:shape>
            <v:shape style="position:absolute;left:9573;top:5934;width:183;height:139" type="#_x0000_t75" stroked="false">
              <v:imagedata r:id="rId238"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2.49243pt" strokecolor="#818181">
              <v:path arrowok="t"/>
              <v:stroke dashstyle="solid"/>
            </v:shape>
            <v:shape style="position:absolute;left:13340;top:19259;width:327;height:150" type="#_x0000_t75" stroked="false">
              <v:imagedata r:id="rId239"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2.49243pt" strokecolor="#818181">
              <v:path arrowok="t"/>
              <v:stroke dashstyle="solid"/>
            </v:shape>
            <v:shape style="position:absolute;left:714;top:2874;width:14418;height:20853" type="#_x0000_t75" stroked="false">
              <v:imagedata r:id="rId240" o:title=""/>
            </v:shape>
            <v:shape style="position:absolute;left:1473;top:5100;width:3451;height:1047" coordorigin="1473,5101" coordsize="3451,1047" path="m1473,5129l1479,5123,1479,5117,1484,5117,1484,5112,1490,5112,1490,5106,1495,5106,1501,5106,1501,5101,1540,5101,4924,6148e" filled="false" stroked="true" strokeweight=".55387pt" strokecolor="#b2b2b2">
              <v:path arrowok="t"/>
              <v:stroke dashstyle="solid"/>
            </v:shape>
            <v:shape style="position:absolute;left:714;top:4549;width:14418;height:19222" type="#_x0000_t75" stroked="false">
              <v:imagedata r:id="rId130" o:title=""/>
            </v:shape>
            <v:line style="position:absolute" from="10058,5943" to="10058,6308" stroked="true" strokeweight="2.21549pt" strokecolor="#b2b2b2">
              <v:stroke dashstyle="solid"/>
            </v:line>
            <v:shape style="position:absolute;left:9377;top:3223;width:809;height:2172" coordorigin="9377,3223" coordsize="809,2172" path="m10186,5394l10186,5300m10186,5300l10180,5151,10180,5068,10180,5057m9405,4209l9388,4209m9410,4647l9388,4647m9377,3223l9388,4209m9405,4209l9394,3223e" filled="false" stroked="true" strokeweight=".55387pt" strokecolor="#b2b2b2">
              <v:path arrowok="t"/>
              <v:stroke dashstyle="solid"/>
            </v:shape>
            <v:shape style="position:absolute;left:9367;top:2874;width:199;height:421" type="#_x0000_t75" stroked="false">
              <v:imagedata r:id="rId65" o:title=""/>
            </v:shape>
            <v:shape style="position:absolute;left:720;top:16127;width:4509;height:5212" coordorigin="720,16128" coordsize="4509,5212" path="m4708,20187l4658,20071,4553,19789,4492,19623,3966,18155,3827,17861,3700,17673,3512,17479,2243,16571m2243,16571l2238,16565,2232,16565,2227,16560,2221,16554,2215,16554,2210,16549,2204,16543,2199,16543,2193,16538,2188,16532,2182,16532,2177,16527,2171,16521,2166,16521,2160,16516,2155,16510,2149,16510,2143,16504,2138,16499,2132,16499,2127,16493,2121,16488,2116,16488,2110,16482,2105,16482,2099,16477,2094,16471,2088,16471,2083,16466,2077,16466,2071,16460,2066,16455,2060,16455,2055,16449,2049,16449,2044,16444,2038,16438,2033,16438,2027,16432,2022,16432,2016,16427,2011,16427,2005,16421,1999,16421,1994,16416,1988,16410,1983,16410,1977,16405,1972,16405,1966,16399,1961,16399,1955,16394,1950,16394,1944,16388,1939,16388,1933,16383,1927,16383,1922,16377,1916,16377,1911,16372,1905,16372,1900,16366,1894,16366,1889,16360,1883,16360,1878,16355,1872,16355,1867,16349,1861,16349,1855,16344,1850,16344,1844,16344,1839,16338,1833,16338,1828,16333,1822,16333,1817,16327,1811,16327,1806,16322,1800,16322,1795,16322,1789,16316,1783,16316,1778,16311,1772,16311,1767,16311,1761,16305,1756,16305,1750,16300,1745,16300,1739,16294,1734,16294,1728,16294,1723,16288,1717,16288,1711,16288,1706,16283,1700,16283,1695,16277,1689,16277,1684,16277,1678,16272,1673,16272,1667,16272,1662,16266,1656,16266,1651,16261,1645,16261,1639,16261,1634,16255,1628,16255,1623,16255,1617,16250,1612,16250,1606,16250,1601,16244,1595,16244,1590,16244,1584,16239,1579,16239,1573,16239,1567,16233,1562,16233,1556,16233,1551,16233,1545,16228,1540,16228,1534,16228,1529,16222,1523,16222,1518,16222,1512,16222,1507,16216,1501,16216,1495,16216,1490,16211,1484,16211,1479,16211,1473,16211,1468,16205,1462,16205,1457,16205,1451,16205,1446,16200,1440,16200,1435,16200,1429,16200,1423,16194,1418,16194,1412,16194,1407,16194,1401,16189,1396,16189,1390,16189,1385,16189,1379,16183,1374,16183,1368,16183,1363,16183,1357,16183,1351,16178,1346,16178,1340,16178,1335,16178,1329,16172,1324,16172,1318,16172,1313,16172,1307,16172,1302,16172,1296,16167,1291,16167,1285,16167,1279,16167,1274,16167,1268,16161,1263,16161,1257,16161,1252,16161,1246,16161,1241,16161,1235,16156,1230,16156,1224,16156,1219,16156,1213,16156,1207,16156,1202,16150,1196,16150,1191,16150,1185,16150,1180,16150,1174,16150,1169,16150,1163,16150,1158,16144,1152,16144,1147,16144,1141,16144,1135,16144,1130,16144,1124,16144,1119,16144,1113,16139,1108,16139,1102,16139,1097,16139,1091,16139,1086,16139,1080,16139,1075,16139,1069,16139,1063,16139,1058,16139,1052,16133,1047,16133,1041,16133,1036,16133,1030,16133,1025,16133,1019,16133,1014,16133,1008,16133,1003,16133,997,16133,991,16133,986,16133,980,16133,975,16133,969,16128,964,16128,958,16128,953,16128,947,16128,942,16128,936,16128,931,16128,925,16128,919,16128,914,16128,908,16128,903,16128,897,16128,892,16128,886,16128,881,16128,875,16128,870,16128,864,16128,859,16128,853,16128,847,16128,842,16128,836,16128,831,16128,825,16128,820,16128,814,16128,809,16128,803,16128,798,16128,792,16128,787,16128,781,16128,775,16128,770,16128,764,16128,759,16128,753,16128,748,16128,742,16133,737,16133,731,16133,726,16133,720,16133m4896,20880l4941,20913m4941,20913l4974,20952m4974,20952l5079,21123,5229,21339m4896,20880l4852,20835m4852,20835l4846,20830,4841,20824,4835,20819,4835,20813,4830,20808,4824,20802,4824,20797,4819,20791,4819,20786,4819,20780,4819,20775,4813,20769,4813,20763,4813,20758,4813,20752,4813,20747,4813,20741m4824,20636l4824,20631,4824,20625,4824,20619,4824,20614,4824,20608,4824,20603,4824,20597,4824,20592,4824,20586,4824,20581,4819,20575,4819,20570,4819,20564,4819,20559,4819,20553,4813,20547m4813,20547l4725,20304m4896,20880l4863,20919m4431,19639l4597,20088,4730,20403e" filled="false" stroked="true" strokeweight=".55387pt" strokecolor="#b2b2b2">
              <v:path arrowok="t"/>
              <v:stroke dashstyle="solid"/>
            </v:shape>
            <v:shape style="position:absolute;left:4724;top:20397;width:144;height:527" type="#_x0000_t75" stroked="false">
              <v:imagedata r:id="rId66" o:title=""/>
            </v:shape>
            <v:shape style="position:absolute;left:4702;top:7404;width:527;height:13935" coordorigin="4702,7405" coordsize="527,13935" path="m5229,21339l5157,21223,5051,21018,4957,20813m4957,20813l4785,20431,4725,20304m4907,7427l4725,7421m4725,7421l4719,7421,4713,7421,4708,7416,4702,7410,4702,7405e" filled="false" stroked="true" strokeweight=".55387pt" strokecolor="#b2b2b2">
              <v:path arrowok="t"/>
              <v:stroke dashstyle="solid"/>
            </v:shape>
            <v:shape style="position:absolute;left:8452;top:19107;width:205;height:493" type="#_x0000_t75" stroked="false">
              <v:imagedata r:id="rId67" o:title=""/>
            </v:shape>
            <v:shape style="position:absolute;left:9565;top:18492;width:637;height:178" type="#_x0000_t75" stroked="false">
              <v:imagedata r:id="rId68" o:title=""/>
            </v:shape>
            <v:shape style="position:absolute;left:8795;top:19107;width:183;height:311" type="#_x0000_t75" stroked="false">
              <v:imagedata r:id="rId69" o:title=""/>
            </v:shape>
            <v:shape style="position:absolute;left:9150;top:19528;width:261;height:78" coordorigin="9150,19528" coordsize="261,78" path="m9150,19595l9167,19595m9167,19595l9183,19589m9183,19589l9205,19573m9205,19573l9211,19573m9211,19573l9228,19545m9228,19545l9233,19540,9239,19534,9244,19534,9250,19528,9255,19528,9261,19528m9261,19528l9410,19528m9211,19573l9216,19584m9216,19584l9222,19589,9228,19595,9233,19595,9239,19600,9244,19600,9250,19606,9255,19606,9261,19606e" filled="false" stroked="true" strokeweight=".55387pt" strokecolor="#b2b2b2">
              <v:path arrowok="t"/>
              <v:stroke dashstyle="solid"/>
            </v:shape>
            <v:line style="position:absolute" from="9255,19609" to="9399,19609" stroked="true" strokeweight=".83079pt" strokecolor="#b2b2b2">
              <v:stroke dashstyle="solid"/>
            </v:line>
            <v:line style="position:absolute" from="9394,19611" to="9399,19611" stroked="true" strokeweight=".55387pt" strokecolor="#b2b2b2">
              <v:stroke dashstyle="solid"/>
            </v:line>
            <v:line style="position:absolute" from="9402,19606" to="9402,19617" stroked="true" strokeweight=".27693pt" strokecolor="#b2b2b2">
              <v:stroke dashstyle="solid"/>
            </v:line>
            <v:shape style="position:absolute;left:8884;top:8556;width:1225;height:10385" coordorigin="8884,8557" coordsize="1225,10385" path="m9970,8557l9837,8557m9970,8557l10108,8557m8945,18941l8912,18936m8912,18936l8895,18936m8895,18936l8890,18936,8884,18930,8884,18925e" filled="false" stroked="true" strokeweight=".55387pt" strokecolor="#b2b2b2">
              <v:path arrowok="t"/>
              <v:stroke dashstyle="solid"/>
            </v:shape>
            <v:line style="position:absolute" from="8881,18869" to="8881,18930" stroked="true" strokeweight=".83081pt" strokecolor="#b2b2b2">
              <v:stroke dashstyle="solid"/>
            </v:line>
            <v:shape style="position:absolute;left:8812;top:18858;width:106;height:17" coordorigin="8812,18858" coordsize="106,17" path="m8917,18869l8912,18869,8906,18869,8901,18869,8895,18869,8895,18875,8890,18875,8884,18875,8879,18875m8812,18858l8818,18858,8823,18864,8829,18864,8834,18869,8840,18869,8845,18869,8851,18869,8856,18875,8862,18875,8868,18875,8873,18875,8879,18875,8879,18875e" filled="false" stroked="true" strokeweight=".55387pt" strokecolor="#b2b2b2">
              <v:path arrowok="t"/>
              <v:stroke dashstyle="solid"/>
            </v:shape>
            <v:shape style="position:absolute;left:8717;top:17052;width:455;height:493" type="#_x0000_t75" stroked="false">
              <v:imagedata r:id="rId70" o:title=""/>
            </v:shape>
            <v:shape style="position:absolute;left:9809;top:13635;width:3700;height:6636" coordorigin="9809,13636" coordsize="3700,6636" path="m9942,13807l9997,13929,10003,13940,10009,13951,10014,13962,10014,13973,10020,13984,10020,13996,10025,14007,10025,14018,10031,14029,10031,14040,10031,14051,10031,14062,10031,14073,10031,14079m10031,13768l9942,13807m9809,13652l9864,13636,9942,13807m10003,20271l10020,20254,10025,20248,10031,20243,10036,20243,10042,20237,10047,20237,10053,20232,10119,20199m13503,17202l13509,17202m13509,17202l13509,17202m9809,13708l9809,13785m9809,13918l9815,14084e" filled="false" stroked="true" strokeweight=".55387pt" strokecolor="#b2b2b2">
              <v:path arrowok="t"/>
              <v:stroke dashstyle="solid"/>
            </v:shape>
            <v:shape style="position:absolute;left:12218;top:20730;width:167;height:394" type="#_x0000_t75" stroked="false">
              <v:imagedata r:id="rId71" o:title=""/>
            </v:shape>
            <v:line style="position:absolute" from="13498,17202" to="13503,17202" stroked="true" strokeweight=".55387pt" strokecolor="#b2b2b2">
              <v:stroke dashstyle="solid"/>
            </v:line>
            <v:shape style="position:absolute;left:12716;top:21494;width:427;height:211" type="#_x0000_t75" stroked="false">
              <v:imagedata r:id="rId72" o:title=""/>
            </v:shape>
            <v:shape style="position:absolute;left:7959;top:9426;width:1479;height:8707" coordorigin="7959,9426" coordsize="1479,8707" path="m8087,18133l8075,18127,7998,18127,7976,18133,7959,18133m8219,9991l8286,9903m8685,10185l8624,10268,8624,10274,8618,10274,8219,9991m8219,9991l8131,10124m8286,9903l8685,10185m8685,10185l8701,10196m9438,10102l9383,10102m9360,9426l9349,9437m9349,9437l9355,9476e" filled="false" stroked="true" strokeweight=".55387pt" strokecolor="#b2b2b2">
              <v:path arrowok="t"/>
              <v:stroke dashstyle="solid"/>
            </v:shape>
            <v:line style="position:absolute" from="9349,9485" to="9360,9485" stroked="true" strokeweight=".83076pt" strokecolor="#b2b2b2">
              <v:stroke dashstyle="solid"/>
            </v:line>
            <v:line style="position:absolute" from="9355,9493" to="9360,9521" stroked="true" strokeweight=".55387pt" strokecolor="#b2b2b2">
              <v:stroke dashstyle="solid"/>
            </v:line>
            <v:line style="position:absolute" from="9360,9521" to="9360,9836" stroked="true" strokeweight=".55387pt" strokecolor="#b2b2b2">
              <v:stroke dashstyle="solid"/>
            </v:line>
            <v:shape style="position:absolute;left:9360;top:9836;width:23;height:266" coordorigin="9360,9836" coordsize="23,266" path="m9360,9836l9366,9869m9366,9869l9372,9897m9372,9897l9377,9930m9377,9930l9383,10102e" filled="false" stroked="true" strokeweight=".55387pt" strokecolor="#b2b2b2">
              <v:path arrowok="t"/>
              <v:stroke dashstyle="solid"/>
            </v:shape>
            <v:line style="position:absolute" from="9374,10407" to="9374,10490" stroked="true" strokeweight=".83081pt" strokecolor="#b2b2b2">
              <v:stroke dashstyle="solid"/>
            </v:line>
            <v:shape style="position:absolute;left:9377;top:10356;width:23;height:56" coordorigin="9377,10357" coordsize="23,56" path="m9377,10412l9383,10385m9383,10385l9399,10357e" filled="false" stroked="true" strokeweight=".55387pt" strokecolor="#b2b2b2">
              <v:path arrowok="t"/>
              <v:stroke dashstyle="solid"/>
            </v:shape>
            <v:line style="position:absolute" from="9394,10349" to="9405,10349" stroked="true" strokeweight=".83076pt" strokecolor="#b2b2b2">
              <v:stroke dashstyle="solid"/>
            </v:line>
            <v:shape style="position:absolute;left:9382;top:10118;width:23;height:222" coordorigin="9383,10119" coordsize="23,222" path="m9399,10340l9405,10263,9405,10180m9405,10180l9399,10157m9399,10157l9388,10135m9388,10135l9383,10119e" filled="false" stroked="true" strokeweight=".55387pt" strokecolor="#b2b2b2">
              <v:path arrowok="t"/>
              <v:stroke dashstyle="solid"/>
            </v:shape>
            <v:line style="position:absolute" from="9377,10110" to="9388,10110" stroked="true" strokeweight=".83076pt" strokecolor="#b2b2b2">
              <v:stroke dashstyle="solid"/>
            </v:line>
            <v:line style="position:absolute" from="9449,9426" to="9360,9426" stroked="true" strokeweight=".55387pt" strokecolor="#b2b2b2">
              <v:stroke dashstyle="solid"/>
            </v:line>
            <v:line style="position:absolute" from="9352,9288" to="9352,9421" stroked="true" strokeweight=".83081pt" strokecolor="#b2b2b2">
              <v:stroke dashstyle="solid"/>
            </v:line>
            <v:line style="position:absolute" from="9349,9418" to="9360,9418" stroked="true" strokeweight=".27692pt" strokecolor="#b2b2b2">
              <v:stroke dashstyle="solid"/>
            </v:line>
            <v:shape style="position:absolute;left:9216;top:9420;width:144;height:1579" coordorigin="9216,9421" coordsize="144,1579" path="m9355,9421l9360,9426m9316,10484l9322,10617,9311,10689m9311,10689l9311,10728m9311,10728l9316,10756,9316,10866m9316,10866l9316,10999m9316,10866l9216,10866e" filled="false" stroked="true" strokeweight=".55387pt" strokecolor="#b2b2b2">
              <v:path arrowok="t"/>
              <v:stroke dashstyle="solid"/>
            </v:shape>
            <v:line style="position:absolute" from="9311,10864" to="9427,10864" stroked="true" strokeweight=".83079pt" strokecolor="#b2b2b2">
              <v:stroke dashstyle="solid"/>
            </v:line>
            <v:shape style="position:absolute;left:9316;top:10484;width:3230;height:10701" coordorigin="9316,10484" coordsize="3230,10701" path="m9372,10484l9316,10484m9427,10484l9372,10484m12545,21184l12534,21162e" filled="false" stroked="true" strokeweight=".55387pt" strokecolor="#b2b2b2">
              <v:path arrowok="t"/>
              <v:stroke dashstyle="solid"/>
            </v:shape>
            <v:line style="position:absolute" from="13163,20991" to="13163,21051" stroked="true" strokeweight=".83081pt" strokecolor="#b2b2b2">
              <v:stroke dashstyle="solid"/>
            </v:line>
            <v:shape style="position:absolute;left:12611;top:21045;width:554;height:117" coordorigin="12612,21046" coordsize="554,117" path="m13166,21046l13166,21051,13166,21057,13166,21063,13166,21068,13160,21074,13160,21079,13160,21085,13155,21090,13155,21096,13149,21101,13149,21107,13143,21112,13138,21118,13132,21123,13127,21129,13121,21135,13116,21140,13110,21140,13105,21146,13099,21146,13094,21151,13088,21151,13083,21151,13077,21157,13071,21157,13066,21157,13060,21157,13055,21157,13049,21157m13049,21157l12656,21162,12628,21162,12617,21162,12612,21162e" filled="false" stroked="true" strokeweight=".55387pt" strokecolor="#b2b2b2">
              <v:path arrowok="t"/>
              <v:stroke dashstyle="solid"/>
            </v:shape>
            <v:shape style="position:absolute;left:12506;top:21079;width:222;height:626" type="#_x0000_t75" stroked="false">
              <v:imagedata r:id="rId73" o:title=""/>
            </v:shape>
            <v:line style="position:absolute" from="12512,19761" to="12512,21090" stroked="true" strokeweight="1.10775pt" strokecolor="#b2b2b2">
              <v:stroke dashstyle="solid"/>
            </v:line>
            <v:shape style="position:absolute;left:9005;top:17135;width:1197;height:3141" coordorigin="9006,17136" coordsize="1197,3141" path="m9892,17501l9765,17435,9715,17407,9665,17380,9610,17357,9554,17341,9482,17313m9482,17313l9006,17136m10119,20199l10130,20215m10130,20215l10158,20248m10158,20248l10164,20254,10169,20259,10175,20265,10180,20271,10186,20271,10191,20271,10197,20276,10202,20276m10114,20088l10114,20165,10114,20171,10114,20176,10114,20182,10114,20187,10119,20193,10119,20199,10119,20199e" filled="false" stroked="true" strokeweight=".55387pt" strokecolor="#b2b2b2">
              <v:path arrowok="t"/>
              <v:stroke dashstyle="solid"/>
            </v:shape>
            <v:shape style="position:absolute;left:9964;top:20292;width:133;height:128" type="#_x0000_t75" stroked="false">
              <v:imagedata r:id="rId74" o:title=""/>
            </v:shape>
            <v:shape style="position:absolute;left:8501;top:20802;width:261;height:261" type="#_x0000_t75" stroked="false">
              <v:imagedata r:id="rId75" o:title=""/>
            </v:shape>
            <v:shape style="position:absolute;left:8839;top:19207;width:577;height:372" type="#_x0000_t75" stroked="false">
              <v:imagedata r:id="rId76" o:title=""/>
            </v:shape>
            <v:shape style="position:absolute;left:10257;top:8257;width:200;height:294" coordorigin="10258,8258" coordsize="200,294" path="m10269,8551l10302,8551,10308,8551,10313,8551,10319,8546,10324,8546,10324,8540,10457,8407m10269,8551l10258,8258e" filled="false" stroked="true" strokeweight=".55387pt" strokecolor="#b2b2b2">
              <v:path arrowok="t"/>
              <v:stroke dashstyle="solid"/>
            </v:shape>
            <v:shape style="position:absolute;left:13495;top:17191;width:2;height:12" coordorigin="13495,17191" coordsize="0,12" path="m13495,17191l13495,17202m13495,17191l13495,17202m13495,17191l13495,17202e" filled="false" stroked="true" strokeweight=".27693pt" strokecolor="#b2b2b2">
              <v:path arrowok="t"/>
              <v:stroke dashstyle="solid"/>
            </v:shape>
            <v:line style="position:absolute" from="9538,4204" to="9615,4204" stroked="true" strokeweight=".55387pt" strokecolor="#b2b2b2">
              <v:stroke dashstyle="solid"/>
            </v:line>
            <v:line style="position:absolute" from="9657,4636" to="9657,4791" stroked="true" strokeweight=".8308pt" strokecolor="#b2b2b2">
              <v:stroke dashstyle="solid"/>
            </v:line>
            <v:shape style="position:absolute;left:9493;top:4441;width:4016;height:12755" coordorigin="9493,4442" coordsize="4016,12755" path="m13492,17197l13509,17197m13498,17197l13509,17197m13509,17197l13492,17197m13492,17197l13509,17197m13509,17197l13492,17197m13509,17197l13492,17197m13492,17197l13509,17197m9504,4591l9499,4547m9499,4547l9493,4519m9493,4519l9493,4464m9493,4464l9499,4442e" filled="false" stroked="true" strokeweight=".55387pt" strokecolor="#b2b2b2">
              <v:path arrowok="t"/>
              <v:stroke dashstyle="solid"/>
            </v:shape>
            <v:line style="position:absolute" from="9504,4591" to="9504,4829" stroked="true" strokeweight=".55387pt" strokecolor="#b2b2b2">
              <v:stroke dashstyle="solid"/>
            </v:line>
            <v:shape style="position:absolute;left:9659;top:5051;width:433;height:355" type="#_x0000_t75" stroked="false">
              <v:imagedata r:id="rId77" o:title=""/>
            </v:shape>
            <v:shape style="position:absolute;left:9421;top:6679;width:1441;height:13642" coordorigin="9421,6679" coordsize="1441,13642" path="m10834,20320l10861,20320m9576,7438l9471,7438m9471,7438l9466,7383,9432,7056,9427,7006,9421,6951,9421,6895,9421,6679m9471,7438l9449,7438m9477,7970l9477,7543,9471,7493,9471,7438e" filled="false" stroked="true" strokeweight=".55387pt" strokecolor="#b2b2b2">
              <v:path arrowok="t"/>
              <v:stroke dashstyle="solid"/>
            </v:shape>
            <v:shape style="position:absolute;left:9366;top:21444;width:194;height:394" type="#_x0000_t75" stroked="false">
              <v:imagedata r:id="rId78" o:title=""/>
            </v:shape>
            <v:shape style="position:absolute;left:8064;top:11575;width:244;height:211" type="#_x0000_t75" stroked="false">
              <v:imagedata r:id="rId79" o:title=""/>
            </v:shape>
            <v:shape style="position:absolute;left:9493;top:19439;width:167;height:6" coordorigin="9493,19440" coordsize="167,6" path="m9560,19445l9615,19445,9621,19445,9626,19445,9632,19445,9637,19445,9660,19440m9560,19445l9493,19445e" filled="false" stroked="true" strokeweight=".55387pt" strokecolor="#b2b2b2">
              <v:path arrowok="t"/>
              <v:stroke dashstyle="solid"/>
            </v:shape>
            <v:shape style="position:absolute;left:8330;top:19683;width:139;height:294" type="#_x0000_t75" stroked="false">
              <v:imagedata r:id="rId80" o:title=""/>
            </v:shape>
            <v:shape style="position:absolute;left:9449;top:8811;width:4060;height:8397" coordorigin="9449,8812" coordsize="4060,8397" path="m9720,9676l9715,9432m9759,9432l9726,9432,9715,9432m9643,8812l9654,9371m9693,9432l9654,9432m9654,9432l9471,9426m9471,9426l9449,9426m9466,9847l9471,9426m9471,9426l9482,8961,9482,8812m13509,17202l13498,17202m13503,17202l13492,17208e" filled="false" stroked="true" strokeweight=".55387pt" strokecolor="#b2b2b2">
              <v:path arrowok="t"/>
              <v:stroke dashstyle="solid"/>
            </v:shape>
            <v:shape style="position:absolute;left:12406;top:21178;width:144;height:122" type="#_x0000_t75" stroked="false">
              <v:imagedata r:id="rId81" o:title=""/>
            </v:shape>
            <v:shape style="position:absolute;left:8308;top:19107;width:255;height:477" type="#_x0000_t75" stroked="false">
              <v:imagedata r:id="rId82" o:title=""/>
            </v:shape>
            <v:shape style="position:absolute;left:10074;top:5183;width:3446;height:12024" coordorigin="10075,5184" coordsize="3446,12024" path="m10086,5306l10092,5621,10092,5693,10092,5743,10092,5793,10075,5948m13509,17208l13520,17208m10075,5948l10141,6004,10197,6070,10241,6137,10258,6164,10297,6225,10407,6391,10418,6408,10429,6425,10441,6441,10446,6452,10446,6458,10452,6463,10452,6469,10457,6474,10457,6480,10463,6508,10468,6530,10479,6580,10485,6607,10490,6624m13509,17208l13492,17208m13492,17208l13509,17208m13492,17208l13509,17208m13492,17208l13509,17208m13492,17208l13509,17208m13492,17208l13509,17208m13509,17208l13492,17208m13492,17208l13509,17208m13509,17208l13492,17208m13492,17208l13509,17208m10236,5300l10230,5289m10230,5289l10225,5267m10225,5267l10219,5239m10219,5239l10213,5212m10213,5212l10219,5184e" filled="false" stroked="true" strokeweight=".55387pt" strokecolor="#b2b2b2">
              <v:path arrowok="t"/>
              <v:stroke dashstyle="solid"/>
            </v:shape>
            <v:line style="position:absolute" from="10213,5159" to="10225,5159" stroked="true" strokeweight="2.49228pt" strokecolor="#b2b2b2">
              <v:stroke dashstyle="solid"/>
            </v:line>
            <v:shape style="position:absolute;left:8031;top:4945;width:5478;height:17834" coordorigin="8031,4946" coordsize="5478,17834" path="m10219,5134l10230,5112m10230,5112l10247,5106,10263,5095m10263,5095l10269,5090,10274,5084,10274,5079m10274,5079l10263,5051m13492,17208l13509,17208m13492,17208l13509,17208m13509,17208l13492,17208m13509,17208l13492,17208m13509,17208l13492,17208m13492,17208l13509,17208m13509,17208l13492,17208m10335,4946l10341,4957,10341,4968,10346,4979,10346,4985,10346,5023,10346,5029,10346,5034,10346,5040,10341,5040,10335,5045,10324,5051,10302,5051,10269,5051,10263,5051m13509,17202l13498,17197m13509,17197l13498,17197m13492,17191l13503,17197m13503,17197l13498,17197m13503,17202l13498,17197m13509,17202l13492,17202m13509,17197l13487,17197m13487,17197l13503,17197m13498,17202l13503,17197m10236,5300l10297,5300m10297,5300l10313,5295m10313,5295l10324,5295m10324,5295l10330,5300m10330,5300l10330,5356,10330,5394,10335,5494,10335,5677m13498,17197l13498,17197m13498,17202l13492,17197m13503,17197l13492,17197m13509,17197l13492,17197m13509,17197l13492,17197m13492,17197l13509,17197m13492,17197l13509,17197m8303,22392l8303,22497,8303,22591m8303,22591l8308,22779m8303,22591l8208,22591,8070,22591,8031,22602m9228,22619l9222,22619,9216,22624,9211,22624,9205,22630,9200,22630,9194,22635,9189,22635,9183,22635,9178,22641,9172,22641,9167,22641,9161,22641,9156,22641,8784,22641e" filled="false" stroked="true" strokeweight=".55387pt" strokecolor="#b2b2b2">
              <v:path arrowok="t"/>
              <v:stroke dashstyle="solid"/>
            </v:shape>
            <v:line style="position:absolute" from="8784,22569" to="8784,22663" stroked="true" strokeweight=".55387pt" strokecolor="#b2b2b2">
              <v:stroke dashstyle="solid"/>
            </v:line>
            <v:shape style="position:absolute;left:4347;top:20918;width:5024;height:1762" coordorigin="4348,20919" coordsize="5024,1762" path="m9228,22619l9211,22597,9205,22591,9200,22591,9200,22586,9194,22586,9194,22580,9189,22580,9183,22575,9178,22575,9172,22575,9167,22569,9161,22569,9156,22569,9150,22569,9144,22569,9045,22569,8784,22569m9372,22386l8779,22386m8779,22386l8690,22386m8784,22569l8779,22491,8779,22386m8784,22663l8779,22669m8779,22669l8613,22674m8303,22680l8363,22674,8375,22680,8408,22674m4813,20968l4774,21013m4774,21013l4769,21018,4769,21024,4763,21029,4758,21035,4752,21035,4747,21040,4741,21046,4736,21051,4730,21057,4725,21057,4719,21063,4713,21068,4708,21068,4702,21074,4697,21079,4691,21079,4686,21085,4680,21085,4675,21090,4669,21090,4664,21090,4658,21096,4653,21096,4647,21096,4641,21101,4636,21101,4630,21101,4625,21107,4619,21107,4614,21107,4608,21107,4603,21107,4597,21112,4592,21112,4586,21112,4581,21112,4575,21112,4569,21112,4564,21112,4558,21112,4553,21112,4547,21112,4542,21112,4536,21112,4531,21112,4525,21112,4520,21112,4514,21107,4509,21107,4503,21107,4497,21107,4492,21107,4486,21101,4481,21101,4475,21101,4470,21096,4464,21096,4459,21096,4453,21090,4448,21090,4442,21090,4437,21085,4431,21085,4425,21079,4420,21079,4414,21074,4409,21068,4403,21074m4403,21074l4348,21040m4813,20968l4863,20919m5096,21389l5096,21384,5096,21378,5096,21373,5096,21367,5096,21362,5096,21356,5090,21351,5090,21345,5090,21339,5085,21334,5085,21328,5079,21323,5079,21317,5073,21312,5073,21306,5068,21301,5068,21295,5062,21290,5057,21284,5057,21279,5051,21273m5051,21273l4996,21212,4968,21168,4929,21123,4913,21079,4896,21051,4857,21007,4813,20968m5289,21777l5262,21744m5262,21744l5251,21727m5251,21727l5234,21699m5234,21699l5217,21683m5217,21683l5162,21616m5289,21777l5506,22021m5506,22021l5528,22054m5572,22148l5572,22143,5566,22137,5566,22131,5566,22126,5561,22120,5561,22115,5561,22109,5555,22104,5555,22098,5555,22093,5550,22087,5550,22082,5544,22076,5544,22071,5539,22065,5533,22059,5533,22054,5528,22054m5162,21616l5140,21594m5140,21594l5134,21589,5134,21583,5129,21578,5123,21572,5123,21567,5118,21561,5112,21555,5112,21550,5107,21544,5107,21539,5107,21533,5101,21528,5101,21522,5101,21517m5101,21517l5101,21511,5101,21506,5101,21500,5096,21495,5096,21489,5096,21483,5096,21478,5096,21472,5096,21467,5096,21461,5096,21456,5096,21450,5096,21445,5096,21439m5096,21439l5096,21389e" filled="false" stroked="true" strokeweight=".55387pt" strokecolor="#b2b2b2">
              <v:path arrowok="t"/>
              <v:stroke dashstyle="solid"/>
            </v:shape>
            <v:shape style="position:absolute;left:12268;top:20674;width:194;height:449" type="#_x0000_t75" stroked="false">
              <v:imagedata r:id="rId83" o:title=""/>
            </v:shape>
            <v:line style="position:absolute" from="13498,17191" to="13498,17191" stroked="true" strokeweight=".55387pt" strokecolor="#b2b2b2">
              <v:stroke dashstyle="solid"/>
            </v:line>
            <v:shape style="position:absolute;left:9836;top:20292;width:222;height:211" type="#_x0000_t75" stroked="false">
              <v:imagedata r:id="rId84" o:title=""/>
            </v:shape>
            <v:shape style="position:absolute;left:13481;top:17196;width:1645;height:1619" coordorigin="13481,17197" coordsize="1645,1619" path="m14855,18664l14833,18653,14805,18637,14783,18626,14755,18615,14728,18604,14700,18592,14678,18587,14595,18559,14539,18543,14484,18532,14428,18520,14373,18509,14312,18504,14257,18498,14201,18493,14146,18493,14007,18487m15126,18815l14855,18664m13515,17197l13481,17197m13481,17197l13515,17197m13481,17197l13515,17197m13515,17197l13481,17197m13481,17197l13515,17197m13481,17197l13515,17197e" filled="false" stroked="true" strokeweight=".55387pt" strokecolor="#b2b2b2">
              <v:path arrowok="t"/>
              <v:stroke dashstyle="solid"/>
            </v:shape>
            <v:shape style="position:absolute;left:9083;top:14865;width:4282;height:3080" type="#_x0000_t75" stroked="false">
              <v:imagedata r:id="rId85" o:title=""/>
            </v:shape>
            <v:shape style="position:absolute;left:7948;top:18514;width:338;height:405" type="#_x0000_t75" stroked="false">
              <v:imagedata r:id="rId86" o:title=""/>
            </v:shape>
            <v:shape style="position:absolute;left:9449;top:9365;width:244;height:10280" coordorigin="9449,9365" coordsize="244,10280" path="m9693,9365l9693,9432m9449,19307l9449,19407,9455,19423,9455,19440m9493,19445l9455,19440m9455,19440l9449,19645e" filled="false" stroked="true" strokeweight=".55387pt" strokecolor="#b2b2b2">
              <v:path arrowok="t"/>
              <v:stroke dashstyle="solid"/>
            </v:shape>
            <v:line style="position:absolute" from="8084,18166" to="8084,18293" stroked="true" strokeweight=".83081pt" strokecolor="#b2b2b2">
              <v:stroke dashstyle="solid"/>
            </v:line>
            <v:shape style="position:absolute;left:9493;top:10162;width:1429;height:9322" coordorigin="9493,10163" coordsize="1429,9322" path="m10828,10169l10906,10163,10911,10163,10911,10169,10917,10169,10922,10169,10922,10169m9560,19484l9560,19445m9493,19445l9493,19484e" filled="false" stroked="true" strokeweight=".55387pt" strokecolor="#b2b2b2">
              <v:path arrowok="t"/>
              <v:stroke dashstyle="solid"/>
            </v:shape>
            <v:shape style="position:absolute;left:10241;top:7266;width:449;height:322" type="#_x0000_t75" stroked="false">
              <v:imagedata r:id="rId131" o:title=""/>
            </v:shape>
            <v:shape style="position:absolute;left:4951;top:21383;width:781;height:770" type="#_x0000_t75" stroked="false">
              <v:imagedata r:id="rId88" o:title=""/>
            </v:shape>
            <v:shape style="position:absolute;left:7311;top:9154;width:449;height:383" type="#_x0000_t75" stroked="false">
              <v:imagedata r:id="rId89" o:title=""/>
            </v:shape>
            <v:shape style="position:absolute;left:7084;top:7565;width:543;height:1684" coordorigin="7084,7565" coordsize="543,1684" path="m7627,9249l7621,8590m7128,9005l7095,8845,7090,8828,7090,8817,7084,8801,7084,8784,7084,8773,7084,8756,7084,8745,7084,8729,7084,8717,7084,8701,7090,8684,7090,8673,7095,8657,7095,8645,7101,8629,7106,8618,7134,8524m7134,8524l7156,8463,7162,8452,7162,8435,7167,8424,7167,8407,7173,8396,7173,8385,7173,8369,7178,8357,7178,8346,7178,8335,7178,8319,7178,8308,7173,8297,7173,8280,7173,8269,7173,8252,7167,8241,7162,8230,7162,8213,7156,8202,7156,8186,7151,8175,7145,8158,7145,8147,7145,8130,7145,8119,7139,8097,7139,8081,7145,8058,7145,8042,7145,8020,7151,8003,7162,7942,7167,7925,7167,7914,7167,7898,7173,7887,7173,7870,7173,7859,7173,7842,7173,7831,7167,7815,7167,7804,7167,7793,7167,7776,7128,7565e" filled="false" stroked="true" strokeweight=".55387pt" strokecolor="#b2b2b2">
              <v:path arrowok="t"/>
              <v:stroke dashstyle="solid"/>
            </v:shape>
            <v:shape style="position:absolute;left:7128;top:8219;width:499;height:377" type="#_x0000_t75" stroked="false">
              <v:imagedata r:id="rId90" o:title=""/>
            </v:shape>
            <v:line style="position:absolute" from="8286,9903" to="8430,9703" stroked="true" strokeweight=".55387pt" strokecolor="#b2b2b2">
              <v:stroke dashstyle="solid"/>
            </v:line>
            <v:shape style="position:absolute;left:11775;top:20735;width:277;height:576" type="#_x0000_t75" stroked="false">
              <v:imagedata r:id="rId91" o:title=""/>
            </v:shape>
            <v:shape style="position:absolute;left:6962;top:5820;width:3545;height:17552" coordorigin="6962,5821" coordsize="3545,17552" path="m8818,19634l8951,19634m8951,19634l8967,19628m8967,19628l9039,19567m8807,19589l8812,19606,8812,19611,8818,19611,8818,19617,8818,19623,8818,19634m9720,9365l9693,9365m9693,9365l9654,9371m9654,9371l9654,9432m9693,9432l9715,9432m9516,10290l9510,10301,9504,10479m9543,10479l9504,10479m10341,23328l10407,23367m10407,23367l10413,23372,10418,23372,10424,23372,10429,23372,10435,23367m10435,23367l10507,23317m10252,20276l10252,20232,10291,20232m10252,20276l10374,20276m9510,5926l9615,5954,9626,5959,9632,5959,9643,5965,9648,5970,9654,5970,9665,5976,9671,5981,9676,5987,9687,5993,9693,5998,9698,6004,9704,6009,9715,6015,9720,6020,9726,6026,9781,6092,9787,6109,9804,6125,9815,6142,9826,6159,9848,6186,9925,6297,10009,6402m9510,5926l9416,5904m9416,5904l9416,5821m7067,10080l7023,10080m6962,10119l6962,10080m7023,10080l6962,10080m8314,19174l8341,19285m8341,19285l8352,19324e" filled="false" stroked="true" strokeweight=".55387pt" strokecolor="#b2b2b2">
              <v:path arrowok="t"/>
              <v:stroke dashstyle="solid"/>
            </v:shape>
            <v:line style="position:absolute" from="8358,19318" to="8358,19434" stroked="true" strokeweight="1.10775pt" strokecolor="#b2b2b2">
              <v:stroke dashstyle="solid"/>
            </v:line>
            <v:line style="position:absolute" from="8358,19434" to="8369,19434" stroked="true" strokeweight=".55384pt" strokecolor="#b2b2b2">
              <v:stroke dashstyle="solid"/>
            </v:line>
            <v:line style="position:absolute" from="8358,19445" to="8369,19445" stroked="true" strokeweight=".55384pt" strokecolor="#b2b2b2">
              <v:stroke dashstyle="solid"/>
            </v:line>
            <v:shape style="position:absolute;left:8130;top:19173;width:233;height:288" coordorigin="8131,19174" coordsize="233,288" path="m8363,19451l8336,19456m8336,19456l8319,19462m8314,19174l8258,19191m8258,19191l8208,19207m8258,19191l8291,19296m8291,19296l8297,19335m8297,19335l8303,19357m8303,19357l8303,19362,8303,19368,8303,19373,8297,19379,8291,19384,8286,19384m8286,19384l8286,19384m8208,19207l8164,19218m8164,19218l8147,19229m8147,19229l8131,19235m8208,19207l8236,19301m8236,19301l8236,19307,8236,19312,8236,19318,8236,19324,8231,19329e" filled="false" stroked="true" strokeweight=".55387pt" strokecolor="#b2b2b2">
              <v:path arrowok="t"/>
              <v:stroke dashstyle="solid"/>
            </v:shape>
            <v:line style="position:absolute" from="8225,19332" to="8236,19332" stroked="true" strokeweight=".27692pt" strokecolor="#b2b2b2">
              <v:stroke dashstyle="solid"/>
            </v:line>
            <v:shape style="position:absolute;left:8130;top:19234;width:217;height:277" coordorigin="8131,19235" coordsize="217,277" path="m8231,19335l8153,19263m8153,19263l8131,19235m8231,19335l8264,19362m8264,19362l8286,19384m8286,19384l8308,19429m8308,19429l8308,19429m8308,19429l8319,19462m8286,19384l8269,19396m8319,19462l8347,19512e" filled="false" stroked="true" strokeweight=".55387pt" strokecolor="#b2b2b2">
              <v:path arrowok="t"/>
              <v:stroke dashstyle="solid"/>
            </v:shape>
            <v:shape style="position:absolute;left:13514;top:19500;width:421;height:139" type="#_x0000_t75" stroked="false">
              <v:imagedata r:id="rId92" o:title=""/>
            </v:shape>
            <v:shape style="position:absolute;left:5727;top:9066;width:6054;height:12340" coordorigin="5727,9066" coordsize="6054,12340" path="m11781,21279l11781,21400m11781,21279l11781,21245m11781,21245l11748,21245m11748,21245l11742,21245,11737,21251,11737,21256m11737,21256l11737,21406m8679,10866l8674,11249m5794,9161l5766,9149m5766,9149l5727,9144m5849,9210l5849,9210m5849,9210l5854,9199m5854,9199l5871,9172m5871,9172l5877,9161m5877,9161l5882,9127m5882,9127l5893,9111m5893,9111l5910,9094m5910,9094l5910,9089,5915,9083,5915,9077,5915,9072,5915,9066m5849,9210l5838,9199m5838,9199l5821,9183m5821,9183l5816,9188m5816,9188l5794,9199e" filled="false" stroked="true" strokeweight=".55387pt" strokecolor="#b2b2b2">
              <v:path arrowok="t"/>
              <v:stroke dashstyle="solid"/>
            </v:shape>
            <v:line style="position:absolute" from="5677,9194" to="5799,9194" stroked="true" strokeweight="1.10771pt" strokecolor="#b2b2b2">
              <v:stroke dashstyle="solid"/>
            </v:line>
            <v:shape style="position:absolute;left:5560;top:9188;width:156;height:10961" coordorigin="5561,9188" coordsize="156,10961" path="m5683,9188l5661,9188m5661,9188l5627,9194m5583,20027l5561,20071,5699,20132m5699,20132l5716,20149e" filled="false" stroked="true" strokeweight=".55387pt" strokecolor="#b2b2b2">
              <v:path arrowok="t"/>
              <v:stroke dashstyle="solid"/>
            </v:shape>
            <v:line style="position:absolute" from="5710,20151" to="5722,20151" stroked="true" strokeweight=".27692pt" strokecolor="#b2b2b2">
              <v:stroke dashstyle="solid"/>
            </v:line>
            <v:shape style="position:absolute;left:5793;top:9160;width:28;height:23" coordorigin="5794,9161" coordsize="28,23" path="m5821,9183l5810,9172m5810,9172l5794,9161e" filled="false" stroked="true" strokeweight=".55387pt" strokecolor="#b2b2b2">
              <v:path arrowok="t"/>
              <v:stroke dashstyle="solid"/>
            </v:shape>
            <v:shape style="position:absolute;left:5815;top:9044;width:12;height:34" coordorigin="5816,9044" coordsize="12,34" path="m5827,9044l5816,9044,5816,9061,5816,9077,5827,9077,5827,9061,5827,9044e" filled="true" fillcolor="#b2b2b2" stroked="false">
              <v:path arrowok="t"/>
              <v:fill type="solid"/>
            </v:shape>
            <v:line style="position:absolute" from="5821,9077" to="5799,9138" stroked="true" strokeweight=".55387pt" strokecolor="#b2b2b2">
              <v:stroke dashstyle="solid"/>
            </v:line>
            <v:line style="position:absolute" from="5794,9144" to="5805,9144" stroked="true" strokeweight=".55384pt" strokecolor="#b2b2b2">
              <v:stroke dashstyle="solid"/>
            </v:line>
            <v:line style="position:absolute" from="5799,9149" to="5794,9161" stroked="true" strokeweight=".55387pt" strokecolor="#b2b2b2">
              <v:stroke dashstyle="solid"/>
            </v:line>
            <v:line style="position:absolute" from="5677,9141" to="5733,9141" stroked="true" strokeweight=".83079pt" strokecolor="#b2b2b2">
              <v:stroke dashstyle="solid"/>
            </v:line>
            <v:shape style="position:absolute;left:5632;top:9138;width:50;height:6" coordorigin="5633,9138" coordsize="50,6" path="m5683,9138l5650,9144m5650,9144l5633,9144e" filled="false" stroked="true" strokeweight=".55387pt" strokecolor="#b2b2b2">
              <v:path arrowok="t"/>
              <v:stroke dashstyle="solid"/>
            </v:shape>
            <v:line style="position:absolute" from="5722,9136" to="5733,9136" stroked="true" strokeweight=".83076pt" strokecolor="#b2b2b2">
              <v:stroke dashstyle="solid"/>
            </v:line>
            <v:line style="position:absolute" from="5722,9125" to="5733,9125" stroked="true" strokeweight=".27692pt" strokecolor="#b2b2b2">
              <v:stroke dashstyle="solid"/>
            </v:line>
            <v:shape style="position:absolute;left:5727;top:9044;width:211;height:78" coordorigin="5727,9044" coordsize="211,78" path="m5727,9122l5733,9094m5733,9094l5738,9083m5738,9083l5738,9083m5738,9083l5738,9077,5738,9072,5744,9066,5749,9061,5755,9061m5755,9061l5805,9050m5805,9050l5821,9044m5915,9066l5938,9055m5915,9066l5910,9061,5910,9055,5904,9050,5899,9044,5893,9044,5888,9044m5888,9044l5821,9044e" filled="false" stroked="true" strokeweight=".55387pt" strokecolor="#b2b2b2">
              <v:path arrowok="t"/>
              <v:stroke dashstyle="solid"/>
            </v:shape>
            <v:shape style="position:absolute;left:919;top:4735;width:7550;height:13575" type="#_x0000_t75" stroked="false">
              <v:imagedata r:id="rId241" o:title=""/>
            </v:shape>
            <v:shape style="position:absolute;left:5422;top:20037;width:294;height:150" coordorigin="5422,20038" coordsize="294,150" path="m5561,20071l5506,20049m5506,20049l5472,20038m5472,20038l5445,20038m5422,20176l5461,20182,5506,20182,5528,20187,5555,20187m5555,20187l5572,20187m5572,20187l5589,20187,5600,20187m5600,20187l5633,20182m5633,20182l5683,20165m5683,20165l5710,20160m5710,20160l5716,20154e" filled="false" stroked="true" strokeweight=".55387pt" strokecolor="#b2b2b2">
              <v:path arrowok="t"/>
              <v:stroke dashstyle="solid"/>
            </v:shape>
            <v:line style="position:absolute" from="5417,20171" to="5428,20171" stroked="true" strokeweight=".55384pt" strokecolor="#b2b2b2">
              <v:stroke dashstyle="solid"/>
            </v:line>
            <v:line style="position:absolute" from="5422,20165" to="5428,20143" stroked="true" strokeweight=".55387pt" strokecolor="#b2b2b2">
              <v:stroke dashstyle="solid"/>
            </v:line>
            <v:line style="position:absolute" from="5422,20135" to="5434,20135" stroked="true" strokeweight=".83076pt" strokecolor="#b2b2b2">
              <v:stroke dashstyle="solid"/>
            </v:line>
            <v:shape style="position:absolute;left:5427;top:20049;width:17;height:78" coordorigin="5428,20049" coordsize="17,78" path="m5428,20127l5439,20104m5439,20104l5439,20077m5439,20077l5445,20049e" filled="false" stroked="true" strokeweight=".55387pt" strokecolor="#b2b2b2">
              <v:path arrowok="t"/>
              <v:stroke dashstyle="solid"/>
            </v:shape>
            <v:line style="position:absolute" from="5445,19983" to="5445,20049" stroked="true" strokeweight=".55387pt" strokecolor="#b2b2b2">
              <v:stroke dashstyle="solid"/>
            </v:line>
            <v:shape style="position:absolute;left:5444;top:19511;width:7145;height:2975" coordorigin="5445,19512" coordsize="7145,2975" path="m5445,19983l5450,19966m5716,20154l5727,20149m5727,20149l5738,20138m5738,20138l5749,20115m5749,20115l5755,20104m12462,22486l12506,22458m12506,22458l12529,22442m12529,22442l12540,22425m12540,22425l12556,22403m12556,22403l12562,22408,12567,22408,12573,22408,12578,22403,12584,22403,12584,22397,12590,22397m8347,19512l8369,19540m8369,19540l8397,19567m8397,19567l8413,19584m8413,19584l8463,19623m8463,19623l8469,19623,8474,19628,8480,19634,8485,19639,8485,19645,8491,19650,8496,19656,8502,19661,8502,19667,8508,19672,8508,19678,8508,19683,8513,19689,8513,19695,8513,19700,8519,19706,8519,19711,8519,19717,8519,19722,8519,19728,8519,19733,8519,19739,8519,19744e" filled="false" stroked="true" strokeweight=".55387pt" strokecolor="#b2b2b2">
              <v:path arrowok="t"/>
              <v:stroke dashstyle="solid"/>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1.66162pt" strokecolor="#000000">
              <v:path arrowok="t"/>
              <v:stroke dashstyle="solid"/>
            </v:shape>
            <v:shape style="position:absolute;left:9582;top:5942;width:167;height:122" type="#_x0000_t75" stroked="false">
              <v:imagedata r:id="rId242"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1.66162pt" strokecolor="#000000">
              <v:path arrowok="t"/>
              <v:stroke dashstyle="solid"/>
            </v:shape>
            <v:shape style="position:absolute;left:13348;top:19268;width:311;height:133" type="#_x0000_t75" stroked="false">
              <v:imagedata r:id="rId243"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1.66162pt" strokecolor="#000000">
              <v:path arrowok="t"/>
              <v:stroke dashstyle="solid"/>
            </v:shape>
            <v:shape style="position:absolute;left:9781;top:9980;width:117;height:122" type="#_x0000_t75" stroked="false">
              <v:imagedata r:id="rId244" o:title=""/>
            </v:shape>
            <v:line style="position:absolute" from="13991,19384" to="13991,19279" stroked="true" strokeweight="1.66162pt" strokecolor="#b2b2b2">
              <v:stroke dashstyle="solid"/>
            </v:line>
            <v:shape style="position:absolute;left:4536;top:6640;width:10397;height:16466" type="#_x0000_t75" stroked="false">
              <v:imagedata r:id="rId245" o:title=""/>
            </v:shape>
            <v:shape style="position:absolute;left:720;top:4554;width:4382;height:15733" coordorigin="720,4555" coordsize="4382,15733" path="m4891,7743l3528,6701,1473,5129,1014,4774,720,4555m4963,19634l4963,19916,4963,19927,4963,19933,4968,19944,4968,19955m4968,19955l4968,19960,4968,19966,4968,19971,4968,19977,4968,19983,4974,19988,4974,19994,4974,19999,4979,20005,4979,20010,4979,20016,4985,20021,4985,20027,4985,20032,4990,20038,4990,20043,4996,20049,4996,20055,5001,20060,5001,20066,5007,20066m5007,20066l5062,20165m5062,20165l5062,20171,5068,20176,5073,20182,5073,20187,5079,20193,5079,20199,5079,20204,5085,20210,5085,20215,5090,20221,5090,20226,5090,20232,5090,20237,5096,20243,5096,20248,5096,20254,5096,20259,5096,20265,5101,20271,5101,20276,5101,20282,5101,20287e" filled="false" stroked="true" strokeweight="1.66162pt" strokecolor="#b2b2b2">
              <v:path arrowok="t"/>
              <v:stroke dashstyle="solid"/>
            </v:shape>
            <v:line style="position:absolute" from="5107,20271" to="5107,20409" stroked="true" strokeweight="2.21549pt" strokecolor="#b2b2b2">
              <v:stroke dashstyle="solid"/>
            </v:line>
            <v:shape style="position:absolute;left:5112;top:20392;width:2;height:78" coordorigin="5112,20392" coordsize="0,78" path="m5112,20392l5112,20392,5112,20464,5112,20470e" filled="false" stroked="true" strokeweight="1.66162pt" strokecolor="#b2b2b2">
              <v:path arrowok="t"/>
              <v:stroke dashstyle="solid"/>
            </v:shape>
            <v:line style="position:absolute" from="5107,20453" to="5107,20586" stroked="true" strokeweight="2.21549pt" strokecolor="#b2b2b2">
              <v:stroke dashstyle="solid"/>
            </v:line>
            <v:shape style="position:absolute;left:5062;top:20569;width:39;height:117" coordorigin="5062,20570" coordsize="39,117" path="m5101,20570l5101,20575,5101,20581,5096,20586,5096,20592,5096,20597,5096,20603,5096,20608,5090,20614,5090,20619,5090,20625,5085,20631,5085,20636,5085,20642,5079,20647,5079,20653,5073,20658,5073,20664,5068,20669,5068,20675,5062,20680,5062,20686e" filled="false" stroked="true" strokeweight="1.66162pt" strokecolor="#b2b2b2">
              <v:path arrowok="t"/>
              <v:stroke dashstyle="solid"/>
            </v:shape>
            <v:shape style="position:absolute;left:4707;top:6463;width:10233;height:16754" type="#_x0000_t75" stroked="false">
              <v:imagedata r:id="rId246" o:title=""/>
            </v:shape>
            <v:shape style="position:absolute;left:720;top:4554;width:6398;height:15733" coordorigin="720,4555" coordsize="6398,15733" path="m4891,7743l3528,6701,1473,5129,1014,4774,720,4555m7117,6690l6741,6696,6730,6690,6718,6690,6707,6690,6696,6690,6685,6690,6674,6685,6663,6685,6658,6679,6646,6679,6275,6563,5998,6480m4963,19634l4963,19916,4963,19927,4963,19933,4968,19944,4968,19955m4968,19955l4968,19960,4968,19966,4968,19971,4968,19977,4968,19983,4974,19988,4974,19994,4974,19999,4979,20005,4979,20010,4979,20016,4985,20021,4985,20027,4985,20032,4990,20038,4990,20043,4996,20049,4996,20055,5001,20060,5001,20066,5007,20066m5007,20066l5062,20165m5062,20165l5062,20171,5068,20176,5073,20182,5073,20187,5079,20193,5079,20199,5079,20204,5085,20210,5085,20215,5090,20221,5090,20226,5090,20232,5090,20237,5096,20243,5096,20248,5096,20254,5096,20259,5096,20265,5101,20271,5101,20276,5101,20282,5101,20287e" filled="false" stroked="true" strokeweight="2.49243pt" strokecolor="#267200">
              <v:path arrowok="t"/>
              <v:stroke dashstyle="solid"/>
            </v:shape>
            <v:line style="position:absolute" from="5107,20262" to="5107,20417" stroked="true" strokeweight="3.0463pt" strokecolor="#267200">
              <v:stroke dashstyle="solid"/>
            </v:line>
            <v:shape style="position:absolute;left:5112;top:20392;width:2;height:78" coordorigin="5112,20392" coordsize="0,78" path="m5112,20392l5112,20392,5112,20464,5112,20470e" filled="false" stroked="true" strokeweight="2.49243pt" strokecolor="#267200">
              <v:path arrowok="t"/>
              <v:stroke dashstyle="solid"/>
            </v:shape>
            <v:line style="position:absolute" from="5107,20445" to="5107,20595" stroked="true" strokeweight="3.0463pt" strokecolor="#267200">
              <v:stroke dashstyle="solid"/>
            </v:line>
            <v:shape style="position:absolute;left:5062;top:20569;width:39;height:117" coordorigin="5062,20570" coordsize="39,117" path="m5101,20570l5101,20575,5101,20581,5096,20586,5096,20592,5096,20597,5096,20603,5096,20608,5090,20614,5090,20619,5090,20625,5085,20631,5085,20636,5085,20642,5079,20647,5079,20653,5073,20658,5073,20664,5068,20669,5068,20675,5062,20680,5062,20686e" filled="false" stroked="true" strokeweight="2.49243pt" strokecolor="#267200">
              <v:path arrowok="t"/>
              <v:stroke dashstyle="solid"/>
            </v:shape>
            <v:shape style="position:absolute;left:7942;top:6535;width:953;height:128" coordorigin="7943,6535" coordsize="953,128" path="m7943,6541l7948,6635,7965,6635,7965,6596,7998,6596,7998,6635,8015,6635,8015,6541,7998,6541,7998,6580,7965,6580,7965,6541,7943,6541m8064,6563l8053,6569,8042,6574,8031,6585,8031,6602,8031,6618,8042,6629,8053,6635,8064,6641,8075,6635,8087,6635,8098,6618,8103,6613,8103,6602,8103,6591,8098,6585,8087,6569,8075,6569,8064,6563m8064,6580l8075,6585,8081,6585,8081,6596,8087,6602,8081,6613,8081,6618,8075,6624,8064,6624,8059,6624,8053,6618,8048,6613,8048,6602,8048,6596,8053,6585,8059,6585,8064,6580m8109,6569l8109,6635,8125,6635,8125,6607,8131,6591,8131,6585,8131,6580,8136,6580,8142,6580,8147,6569,8142,6563,8131,6569,8125,6574,8125,6569,8109,6569m8159,6569l8159,6635,8175,6635,8175,6607,8175,6602,8181,6596,8186,6585,8192,6580,8197,6585,8203,6591,8203,6596,8203,6607,8203,6635,8225,6635,8219,6591,8219,6580,8214,6574,8208,6569,8197,6563,8186,6569,8175,6574,8175,6569,8159,6569m8280,6541l8280,6635,8297,6635,8297,6596,8319,6635,8341,6635,8319,6596,8330,6585,8336,6580,8336,6569,8330,6552,8319,6546,8308,6541,8297,6541,8280,6541m8297,6580l8297,6557,8303,6557,8314,6563,8319,6569,8314,6580,8308,6580,8303,6580,8297,6580m8402,6569l8402,6574,8391,6569,8380,6563,8369,6569,8358,6574,8352,6585,8347,6602,8352,6618,8358,6629,8369,6635,8380,6641,8391,6635,8402,6629,8402,6635,8419,6635,8419,6569,8402,6569m8386,6580l8391,6585,8397,6585,8402,6596,8402,6602,8402,6613,8397,6618,8391,6624,8386,6624,8380,6624,8375,6618,8369,6613,8369,6602,8369,6596,8369,6585,8380,6585,8386,6580m8458,6569l8441,6569,8441,6663,8458,6663,8458,6629,8469,6635,8480,6641,8491,6635,8502,6629,8513,6618,8513,6602,8513,6585,8502,6574,8491,6569,8480,6563,8469,6569,8458,6574,8458,6569m8474,6580l8485,6585,8491,6585,8496,6596,8496,6602,8496,6613,8491,6618,8485,6624,8474,6624,8469,6624,8463,6618,8458,6613,8458,6602,8458,6596,8463,6585,8469,6585,8474,6580m8535,6535l8530,6541,8524,6546,8530,6557,8535,6557,8546,6557,8546,6546,8546,6541,8535,6535m8530,6563l8530,6635,8546,6635,8546,6563,8530,6563m8613,6535l8613,6574,8607,6563,8591,6563,8580,6563,8568,6574,8563,6585,8563,6602,8563,6613,8568,6624,8580,6635,8596,6635,8607,6635,8613,6629,8613,6635,8635,6635,8635,6535,8613,6535m8596,6580l8607,6580,8613,6585,8613,6591,8618,6602,8613,6607,8613,6613,8607,6618,8596,6618,8591,6618,8585,6613,8580,6607,8580,6602,8580,6591,8585,6585,8591,6580,8596,6580m8696,6574l8685,6569,8674,6563,8663,6563,8657,6569,8652,6574,8652,6585,8652,6596,8668,6602,8674,6607,8679,6613,8679,6618,8674,6618,8663,6618,8657,6613,8646,6624,8657,6635,8674,6635,8685,6635,8690,6629,8696,6624,8696,6613,8690,6602,8690,6596,8679,6591,8674,6591,8668,6585,8668,6580,8674,6580,8679,6580,8685,6585,8696,6574m8751,6541l8751,6635,8768,6635,8768,6596,8790,6635,8812,6635,8790,6591,8801,6585,8807,6574,8807,6569,8801,6552,8790,6541,8784,6541,8768,6541,8751,6541m8768,6580l8768,6557,8773,6557,8784,6557,8784,6563,8790,6569,8784,6574,8779,6574,8773,6580,8768,6580m8873,6535l8873,6574,8862,6563,8851,6563,8840,6563,8829,6574,8823,6585,8818,6602,8823,6613,8829,6624,8840,6635,8851,6635,8868,6635,8873,6629,8873,6635,8895,6635,8890,6535,8873,6535m8856,6580l8862,6580,8873,6585,8873,6591,8873,6602,8873,6607,8873,6613,8862,6618,8856,6618,8851,6618,8845,6613,8840,6607,8840,6602,8840,6591,8845,6585,8851,6580,8856,6580e" filled="false" stroked="true" strokeweight="1.66162pt" strokecolor="#ffffff">
              <v:path arrowok="t"/>
              <v:stroke dashstyle="solid"/>
            </v:shape>
            <v:shape style="position:absolute;left:6189;top:6837;width:8375;height:16455" type="#_x0000_t75" stroked="false">
              <v:imagedata r:id="rId247" o:title=""/>
            </v:shape>
            <v:shape style="position:absolute;left:4696;top:6837;width:325;height:1789" type="#_x0000_t75" stroked="false">
              <v:imagedata r:id="rId248" o:title=""/>
            </v:shape>
            <v:shape style="position:absolute;left:4719;top:19650;width:139;height:604" type="#_x0000_t75" stroked="false">
              <v:imagedata r:id="rId118" o:title=""/>
            </v:shape>
            <v:shape style="position:absolute;left:2135;top:5712;width:344;height:283" type="#_x0000_t75" stroked="false">
              <v:imagedata r:id="rId249" o:title=""/>
            </v:shape>
            <v:shape style="position:absolute;left:7360;top:6712;width:294;height:78" coordorigin="7361,6713" coordsize="294,78" path="m7389,6790l7400,6790,7400,6773,7405,6773,7405,6762,7400,6762,7400,6718,7389,6718,7361,6762,7361,6779,7389,6773,7389,6790m7389,6762l7372,6762,7389,6740,7389,6762m7450,6735l7444,6724,7433,6718,7422,6718,7416,6729,7411,6740,7411,6757,7411,6773,7416,6785,7422,6790,7427,6790,7439,6790,7444,6785,7450,6779,7450,6768,7450,6757,7444,6751,7439,6746,7433,6746,7427,6746,7422,6751,7422,6740,7422,6735,7433,6729,7439,6740,7450,6735m7422,6768l7422,6757,7427,6751,7433,6757,7439,6768,7439,6779,7433,6779,7427,6779,7422,6768m7472,6790l7477,6790,7494,6713,7483,6713,7472,6790m7527,6751l7522,6757,7522,6768,7522,6779,7527,6785,7533,6790,7538,6790,7549,6785,7555,6779,7560,6768,7555,6757,7549,6751,7555,6746,7555,6735,7555,6724,7549,6718,7538,6718,7533,6718,7527,6724,7522,6729,7522,6735,7522,6746,7527,6751m7533,6735l7533,6729,7538,6729,7544,6729,7544,6735,7544,6740,7538,6746,7533,6740,7533,6735m7533,6768l7533,6757,7538,6757,7544,6757,7549,6768,7544,6773,7538,6779,7533,6773,7533,6768m7588,6718l7577,6718,7571,6724,7571,6735,7566,6751,7571,6768,7571,6779,7577,6790,7588,6790,7594,6790,7599,6779,7605,6768,7605,6751,7605,6735,7599,6724,7594,6718,7588,6718m7588,6729l7594,6729,7594,6740,7594,6751,7594,6768,7594,6773,7588,6779,7583,6779,7583,6773,7583,6768,7583,6751,7583,6740,7583,6729,7588,6729m7632,6718l7627,6718,7621,6724,7616,6735,7616,6751,7616,6768,7621,6779,7627,6790,7632,6790,7643,6790,7649,6779,7649,6768,7655,6751,7649,6735,7649,6724,7643,6718,7632,6718m7632,6729l7638,6729,7638,6740,7638,6751,7638,6768,7638,6773,7632,6779,7627,6773,7627,6768,7627,6751,7627,6740,7627,6729,7632,6729e" filled="false" stroked="true" strokeweight=".83081pt" strokecolor="#ffffff">
              <v:path arrowok="t"/>
              <v:stroke dashstyle="solid"/>
            </v:shape>
            <v:shape style="position:absolute;left:5519;top:8293;width:338;height:283" type="#_x0000_t75" stroked="false">
              <v:imagedata r:id="rId250" o:title=""/>
            </v:shape>
            <v:shape style="position:absolute;left:9053;top:17193;width:344;height:189" type="#_x0000_t75" stroked="false">
              <v:imagedata r:id="rId251" o:title=""/>
            </v:shape>
            <v:shape style="position:absolute;left:6150;top:6565;width:311;height:161" type="#_x0000_t75" stroked="false">
              <v:imagedata r:id="rId252" o:title=""/>
            </v:shape>
            <v:shape style="position:absolute;left:7457;top:17249;width:377;height:216" type="#_x0000_t75" stroked="false">
              <v:imagedata r:id="rId253" o:title=""/>
            </v:shape>
            <v:shape style="position:absolute;left:5115;top:20328;width:117;height:355" type="#_x0000_t75" stroked="false">
              <v:imagedata r:id="rId254" o:title=""/>
            </v:shape>
            <v:shape style="position:absolute;left:9609;top:6701;width:283;height:78" coordorigin="9610,6701" coordsize="283,78" path="m9615,6740l9610,6746,9610,6757,9610,6768,9615,6773,9621,6779,9626,6779,9637,6779,9643,6768,9648,6757,9643,6746,9637,6740,9643,6735,9643,6724,9643,6718,9643,6713,9637,6707,9626,6707,9621,6707,9615,6713,9610,6718,9610,6724,9610,6735,9615,6740m9621,6724l9621,6718,9626,6718,9632,6718,9632,6724,9632,6735,9626,6735,9621,6735,9621,6724m9621,6757l9621,6751,9626,6746,9632,6751,9637,6757,9632,6768,9626,6768,9621,6768,9621,6757m9648,6718l9676,6718,9665,6746,9660,6779,9671,6779,9671,6757,9682,6735,9687,6724,9693,6718,9687,6707,9648,6707,9648,6718m9715,6779l9726,6779,9737,6707,9732,6707,9715,6779m9770,6740l9765,6746,9759,6757,9765,6768,9770,6773,9776,6779,9781,6779,9792,6779,9798,6768,9804,6757,9798,6746,9792,6740,9798,6735,9798,6724,9798,6718,9792,6713,9787,6707,9781,6707,9776,6707,9770,6713,9765,6718,9765,6724,9765,6735,9770,6740m9776,6724l9776,6718,9781,6718,9787,6718,9787,6724,9787,6735,9781,6735,9776,6735,9776,6724m9776,6757l9776,6751,9781,6746,9787,6751,9787,6757,9787,6768,9781,6768,9776,6768,9776,6757m9831,6701l9826,6707,9820,6713,9815,6724,9815,6740,9815,6757,9820,6768,9826,6773,9831,6779,9842,6773,9848,6768,9848,6757,9853,6740,9848,6724,9848,6713,9837,6707,9831,6701m9831,6718l9837,6718,9837,6729,9837,6740,9837,6757,9837,6762,9831,6768,9831,6762,9826,6762,9826,6757,9826,6740,9826,6729,9826,6718,9831,6718m9876,6701l9864,6707,9859,6713,9859,6724,9853,6740,9859,6757,9859,6768,9870,6773,9876,6779,9881,6773,9887,6768,9892,6757,9892,6740,9892,6724,9887,6713,9881,6707,9876,6701m9876,6718l9881,6718,9881,6729,9881,6740,9881,6757,9881,6762,9876,6762,9876,6768,9870,6762,9870,6757,9870,6740,9870,6729,9870,6718,9876,6718e" filled="false" stroked="true" strokeweight=".83081pt" strokecolor="#ffffff">
              <v:path arrowok="t"/>
              <v:stroke dashstyle="solid"/>
            </v:shape>
            <v:shape style="position:absolute;left:720;top:2879;width:14401;height:20880" coordorigin="720,2880" coordsize="14401,20880" path="m720,13320l720,2880,15121,2880,15121,23760,720,23760,720,13320e" filled="false" stroked="true" strokeweight="1.10775pt" strokecolor="#000000">
              <v:path arrowok="t"/>
              <v:stroke dashstyle="solid"/>
            </v:shape>
            <v:shape style="position:absolute;left:1035;top:20575;width:3523;height:2869" coordorigin="1036,20575" coordsize="3523,2869" path="m4381,23439l1213,23439,1219,23444,4376,23444,4381,23439xm4403,23433l1185,23433,1191,23439,4398,23439,4403,23433xm4420,23427l1169,23427,1174,23433,4414,23433,4420,23427xm4437,23422l1158,23422,1163,23427,4431,23427,4437,23422xm4442,20597l1152,20597,1147,20603,1141,20603,1130,20614,1124,20614,1075,20664,1075,20669,1063,20680,1063,20686,1058,20691,1058,20697,1052,20703,1052,20714,1047,20719,1047,20730,1041,20736,1041,20752,1036,20758,1036,23261,1041,23267,1041,23283,1047,23289,1047,23300,1052,23306,1052,23317,1058,23322,1058,23328,1063,23333,1063,23339,1075,23350,1075,23355,1124,23405,1130,23405,1141,23416,1147,23416,1152,23422,4442,23422,4453,23411,4459,23411,4470,23400,4475,23400,4514,23361,4514,23355,4525,23344,4525,23339,4536,23328,4536,23322,4542,23317,4542,23306,4547,23300,4547,23289,4553,23283,4553,23267,4558,23261,4558,20758,4553,20752,4553,20736,4547,20730,4547,20719,4542,20714,4542,20703,4536,20697,4536,20691,4525,20680,4525,20675,4514,20664,4514,20658,4475,20619,4470,20619,4459,20608,4453,20608,4442,20597xm4431,20592l1163,20592,1158,20597,4437,20597,4431,20592xm4414,20586l1174,20586,1169,20592,4420,20592,4414,20586xm4398,20581l1191,20581,1185,20586,4403,20586,4398,20581xm4376,20575l1219,20575,1213,20581,4381,20581,4376,20575xe" filled="true" fillcolor="#ffffff" stroked="false">
              <v:path arrowok="t"/>
              <v:fill type="solid"/>
            </v:shape>
            <v:line style="position:absolute" from="1878,21345" to="2404,21345" stroked="true" strokeweight="3.04631pt" strokecolor="#267200">
              <v:stroke dashstyle="solid"/>
            </v:line>
            <v:line style="position:absolute" from="1878,21699" to="2404,21699" stroked="true" strokeweight="3.04631pt" strokecolor="#005be5">
              <v:stroke dashstyle="solid"/>
            </v:line>
            <v:line style="position:absolute" from="1878,22054" to="2404,22054" stroked="true" strokeweight="3.04631pt" strokecolor="#a900e5">
              <v:stroke dashstyle="solid"/>
            </v:line>
            <v:line style="position:absolute" from="1878,22408" to="2404,22408" stroked="true" strokeweight="3.04631pt" strokecolor="#e59800">
              <v:stroke dashstyle="solid"/>
            </v:line>
            <v:line style="position:absolute" from="1878,22763" to="2404,22763" stroked="true" strokeweight="3.04631pt" strokecolor="#f93311">
              <v:stroke dashstyle="solid"/>
            </v:line>
            <v:line style="position:absolute" from="1878,23112" to="2404,23112" stroked="true" strokeweight="1.93856pt" strokecolor="#b2b2b2">
              <v:stroke dashstyle="solid"/>
            </v:line>
            <v:line style="position:absolute" from="4342,23444" to="1246,23444" stroked="true" strokeweight="1.10775pt" strokecolor="#000000">
              <v:stroke dashstyle="solid"/>
            </v:line>
            <v:shape style="position:absolute;left:1024;top:23217;width:233;height:239" type="#_x0000_t75" stroked="false">
              <v:imagedata r:id="rId255" o:title=""/>
            </v:shape>
            <v:line style="position:absolute" from="1036,23228" to="1036,20791" stroked="true" strokeweight="1.10775pt" strokecolor="#000000">
              <v:stroke dashstyle="solid"/>
            </v:line>
            <v:shape style="position:absolute;left:1024;top:20564;width:233;height:239" type="#_x0000_t75" stroked="false">
              <v:imagedata r:id="rId256" o:title=""/>
            </v:shape>
            <v:line style="position:absolute" from="1246,20575" to="4342,20575" stroked="true" strokeweight="1.10775pt" strokecolor="#000000">
              <v:stroke dashstyle="solid"/>
            </v:line>
            <v:shape style="position:absolute;left:4331;top:20564;width:239;height:239" type="#_x0000_t75" stroked="false">
              <v:imagedata r:id="rId257" o:title=""/>
            </v:shape>
            <v:line style="position:absolute" from="4558,20791" to="4558,23228" stroked="true" strokeweight="1.10775pt" strokecolor="#000000">
              <v:stroke dashstyle="solid"/>
            </v:line>
            <v:shape style="position:absolute;left:4331;top:23217;width:239;height:239" type="#_x0000_t75" stroked="false">
              <v:imagedata r:id="rId258" o:title=""/>
            </v:shape>
            <v:rect style="position:absolute;left:720;top:720;width:14401;height:2160" filled="false" stroked="true" strokeweight="1.10775pt" strokecolor="#000000">
              <v:stroke dashstyle="solid"/>
            </v:rect>
            <v:shape style="position:absolute;left:14539;top:947;width:344;height:1706" coordorigin="14539,947" coordsize="344,1706" path="m14713,2000l14708,2000,14708,2595,14711,2595,14711,2599,14779,2653,14779,2135,14713,2074,14713,2000xm14883,1658l14595,1658,14573,1662,14555,1674,14544,1692,14539,1714,14539,2000,14826,2000,14848,1995,14866,1983,14878,1965,14882,1949,14708,1949,14688,1947,14668,1942,14649,1933,14632,1921,14620,1909,14632,1898,14610,1898,14593,1860,14590,1819,14590,1818,14600,1779,14625,1745,14643,1730,14664,1719,14685,1712,14708,1710,14883,1710,14883,1658xm14883,1740l14792,1740,14802,1751,14825,1791,14831,1834,14821,1877,14795,1914,14777,1929,14757,1940,14735,1947,14713,1949,14882,1949,14883,1944,14883,1740xm14711,1911l14709,1911,14709,1913,14708,1913,14701,1916,14693,1919,14686,1923,14681,1924,14675,1924,14670,1926,14681,1931,14694,1934,14726,1934,14731,1932,14713,1914,14711,1911xm14752,1881l14742,1890,14734,1896,14724,1903,14749,1927,14759,1923,14770,1918,14779,1909,14752,1881xm14676,1876l14645,1908,14653,1913,14666,1913,14686,1906,14699,1899,14676,1876xm14713,1728l14708,1728,14669,1737,14638,1760,14616,1792,14609,1829,14609,1833,14609,1845,14612,1859,14617,1872,14623,1885,14610,1898,14632,1898,14661,1868,14640,1868,14633,1857,14630,1844,14630,1829,14632,1815,14636,1800,14644,1786,14655,1773,14666,1763,14679,1756,14693,1752,14708,1750,14782,1750,14788,1743,14765,1743,14754,1737,14741,1733,14727,1730,14713,1728xm14785,1842l14779,1852,14770,1862,14762,1870,14790,1898,14798,1888,14805,1876,14808,1867,14785,1842xm14711,1842l14686,1867,14708,1886,14713,1891,14722,1886,14731,1878,14741,1870,14713,1844,14711,1842xm14721,1770l14708,1770,14697,1771,14687,1774,14677,1780,14668,1788,14660,1797,14654,1808,14651,1819,14650,1829,14650,1839,14651,1847,14653,1853,14640,1868,14661,1868,14713,1817,14758,1773,14734,1773,14721,1770xm14747,1806l14722,1830,14752,1860,14760,1850,14774,1830,14747,1806xm14807,1789l14807,1794,14805,1799,14803,1806,14800,1812,14793,1829,14813,1849,14815,1834,14815,1829,14814,1818,14812,1803,14807,1789xm14790,1765l14759,1794,14782,1817,14784,1811,14787,1806,14793,1786,14793,1773,14790,1765xm14782,1750l14726,1750,14737,1753,14749,1758,14734,1773,14758,1773,14782,1750xm14883,1710l14713,1710,14730,1712,14747,1716,14762,1723,14777,1732,14765,1743,14788,1743,14792,1740,14883,1740,14883,1710xm14713,947l14642,1523,14708,1585,14708,1658,14713,1658,14713,947xe" filled="true" fillcolor="#335f93" stroked="false">
              <v:path arrowok="t"/>
              <v:fill type="solid"/>
            </v:shape>
            <v:shape style="position:absolute;left:14589;top:1710;width:188;height:188" type="#_x0000_t75" stroked="false">
              <v:imagedata r:id="rId123" o:title=""/>
            </v:shape>
            <v:shape style="position:absolute;left:819;top:1046;width:1508;height:1795" type="#_x0000_t75" stroked="false">
              <v:imagedata r:id="rId124" o:title=""/>
            </v:shape>
            <w10:wrap type="none"/>
          </v:group>
        </w:pict>
      </w:r>
      <w:r>
        <w:rPr/>
        <w:pict>
          <v:shape style="position:absolute;margin-left:233.739624pt;margin-top:-3.394377pt;width:10.25pt;height:7.9pt;mso-position-horizontal-relative:page;mso-position-vertical-relative:paragraph;z-index:252161024"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w w:val="102"/>
                      <w:sz w:val="13"/>
                      <w:u w:val="thick" w:color="B2B2B2"/>
                    </w:rPr>
                    <w:t> </w:t>
                  </w:r>
                  <w:r>
                    <w:rPr>
                      <w:rFonts w:ascii="Century Gothic"/>
                      <w:b/>
                      <w:color w:val="4D4D4D"/>
                      <w:spacing w:val="6"/>
                      <w:sz w:val="13"/>
                      <w:u w:val="thick" w:color="B2B2B2"/>
                    </w:rPr>
                    <w:t> </w:t>
                  </w:r>
                </w:p>
              </w:txbxContent>
            </v:textbox>
            <w10:wrap type="none"/>
          </v:shape>
        </w:pict>
      </w:r>
      <w:r>
        <w:rPr/>
        <w:pict>
          <v:shape style="position:absolute;margin-left:250.107697pt;margin-top:-11.093302pt;width:17pt;height:5pt;mso-position-horizontal-relative:page;mso-position-vertical-relative:paragraph;z-index:252197888;rotation:276" type="#_x0000_t136" fillcolor="#000000" stroked="f">
            <o:extrusion v:ext="view" autorotationcenter="t"/>
            <v:textpath style="font-family:&quot;Arial Narrow&quot;;font-size:5pt;v-text-kern:t;mso-text-shadow:auto;font-weight:bold" string="261 / 800"/>
            <w10:wrap type="none"/>
          </v:shape>
        </w:pict>
      </w:r>
      <w:r>
        <w:rPr>
          <w:rFonts w:ascii="Arial"/>
          <w:b/>
          <w:sz w:val="26"/>
        </w:rPr>
        <w:t>Volume to Capacity Ratio</w:t>
      </w:r>
    </w:p>
    <w:p>
      <w:pPr>
        <w:spacing w:before="184"/>
        <w:ind w:left="2497" w:right="0" w:firstLine="0"/>
        <w:jc w:val="left"/>
        <w:rPr>
          <w:rFonts w:ascii="Arial"/>
          <w:sz w:val="17"/>
        </w:rPr>
      </w:pPr>
      <w:r>
        <w:rPr>
          <w:rFonts w:ascii="Arial"/>
          <w:w w:val="105"/>
          <w:sz w:val="17"/>
        </w:rPr>
        <w:t>Up to 0.70</w:t>
      </w:r>
    </w:p>
    <w:p>
      <w:pPr>
        <w:spacing w:before="159"/>
        <w:ind w:left="2497" w:right="0" w:firstLine="0"/>
        <w:jc w:val="left"/>
        <w:rPr>
          <w:rFonts w:ascii="Arial"/>
          <w:sz w:val="17"/>
        </w:rPr>
      </w:pPr>
      <w:r>
        <w:rPr>
          <w:rFonts w:ascii="Arial"/>
          <w:w w:val="105"/>
          <w:sz w:val="17"/>
        </w:rPr>
        <w:t>0.70 to</w:t>
      </w:r>
      <w:r>
        <w:rPr>
          <w:rFonts w:ascii="Arial"/>
          <w:spacing w:val="10"/>
          <w:w w:val="105"/>
          <w:sz w:val="17"/>
        </w:rPr>
        <w:t> </w:t>
      </w:r>
      <w:r>
        <w:rPr>
          <w:rFonts w:ascii="Arial"/>
          <w:w w:val="105"/>
          <w:sz w:val="17"/>
        </w:rPr>
        <w:t>0.80</w:t>
      </w:r>
    </w:p>
    <w:p>
      <w:pPr>
        <w:spacing w:before="159"/>
        <w:ind w:left="2497" w:right="0" w:firstLine="0"/>
        <w:jc w:val="left"/>
        <w:rPr>
          <w:rFonts w:ascii="Arial"/>
          <w:sz w:val="17"/>
        </w:rPr>
      </w:pPr>
      <w:r>
        <w:rPr>
          <w:rFonts w:ascii="Arial"/>
          <w:w w:val="105"/>
          <w:sz w:val="17"/>
        </w:rPr>
        <w:t>0.80 to</w:t>
      </w:r>
      <w:r>
        <w:rPr>
          <w:rFonts w:ascii="Arial"/>
          <w:spacing w:val="10"/>
          <w:w w:val="105"/>
          <w:sz w:val="17"/>
        </w:rPr>
        <w:t> </w:t>
      </w:r>
      <w:r>
        <w:rPr>
          <w:rFonts w:ascii="Arial"/>
          <w:w w:val="105"/>
          <w:sz w:val="17"/>
        </w:rPr>
        <w:t>0.90</w:t>
      </w:r>
    </w:p>
    <w:p>
      <w:pPr>
        <w:spacing w:line="432" w:lineRule="auto" w:before="159"/>
        <w:ind w:left="2497" w:right="571" w:firstLine="0"/>
        <w:jc w:val="left"/>
        <w:rPr>
          <w:rFonts w:ascii="Arial"/>
          <w:sz w:val="17"/>
        </w:rPr>
      </w:pPr>
      <w:r>
        <w:rPr>
          <w:rFonts w:ascii="Arial"/>
          <w:w w:val="105"/>
          <w:sz w:val="17"/>
        </w:rPr>
        <w:t>0.90 to 1.00 More than 1.00 No Count Data</w:t>
      </w:r>
    </w:p>
    <w:p>
      <w:pPr>
        <w:pStyle w:val="BodyText"/>
        <w:rPr>
          <w:rFonts w:ascii="Arial"/>
          <w:sz w:val="40"/>
        </w:rPr>
      </w:pPr>
      <w:r>
        <w:rPr/>
        <w:br w:type="column"/>
      </w:r>
      <w:r>
        <w:rPr>
          <w:rFonts w:ascii="Arial"/>
          <w:sz w:val="40"/>
        </w:rPr>
      </w:r>
    </w:p>
    <w:p>
      <w:pPr>
        <w:pStyle w:val="BodyText"/>
        <w:rPr>
          <w:rFonts w:ascii="Arial"/>
          <w:sz w:val="40"/>
        </w:rPr>
      </w:pPr>
    </w:p>
    <w:p>
      <w:pPr>
        <w:pStyle w:val="BodyText"/>
        <w:rPr>
          <w:rFonts w:ascii="Arial"/>
          <w:sz w:val="40"/>
        </w:rPr>
      </w:pPr>
    </w:p>
    <w:p>
      <w:pPr>
        <w:pStyle w:val="BodyText"/>
        <w:spacing w:before="4"/>
        <w:rPr>
          <w:rFonts w:ascii="Arial"/>
          <w:sz w:val="43"/>
        </w:rPr>
      </w:pPr>
    </w:p>
    <w:p>
      <w:pPr>
        <w:spacing w:before="0"/>
        <w:ind w:left="0" w:right="38" w:firstLine="0"/>
        <w:jc w:val="right"/>
        <w:rPr>
          <w:rFonts w:ascii="Arial" w:hAnsi="Arial"/>
          <w:b/>
          <w:sz w:val="11"/>
        </w:rPr>
      </w:pPr>
      <w:r>
        <w:rPr>
          <w:rFonts w:ascii="Arial" w:hAnsi="Arial"/>
          <w:color w:val="FF0000"/>
          <w:spacing w:val="-284"/>
          <w:w w:val="127"/>
          <w:position w:val="1"/>
          <w:sz w:val="40"/>
        </w:rPr>
        <w:t>§</w:t>
      </w:r>
      <w:r>
        <w:rPr>
          <w:rFonts w:ascii="Arial" w:hAnsi="Arial"/>
          <w:spacing w:val="-284"/>
          <w:w w:val="272"/>
          <w:sz w:val="40"/>
        </w:rPr>
        <w:t>¦</w:t>
      </w:r>
      <w:r>
        <w:rPr>
          <w:rFonts w:ascii="Arial" w:hAnsi="Arial"/>
          <w:color w:val="0000FF"/>
          <w:spacing w:val="-209"/>
          <w:w w:val="212"/>
          <w:sz w:val="40"/>
        </w:rPr>
        <w:t>¨</w:t>
      </w:r>
      <w:r>
        <w:rPr>
          <w:rFonts w:ascii="Arial" w:hAnsi="Arial"/>
          <w:b/>
          <w:color w:val="FFFFFF"/>
          <w:spacing w:val="-4"/>
          <w:w w:val="105"/>
          <w:position w:val="10"/>
          <w:sz w:val="11"/>
        </w:rPr>
        <w:t>8</w:t>
      </w:r>
      <w:r>
        <w:rPr>
          <w:rFonts w:ascii="Arial" w:hAnsi="Arial"/>
          <w:b/>
          <w:color w:val="FFFFFF"/>
          <w:w w:val="105"/>
          <w:position w:val="10"/>
          <w:sz w:val="11"/>
        </w:rPr>
        <w:t>2</w:t>
      </w:r>
    </w:p>
    <w:p>
      <w:pPr>
        <w:pStyle w:val="BodyText"/>
        <w:rPr>
          <w:rFonts w:ascii="Arial"/>
          <w:b/>
          <w:sz w:val="12"/>
        </w:rPr>
      </w:pPr>
      <w:r>
        <w:rPr/>
        <w:br w:type="column"/>
      </w:r>
      <w:r>
        <w:rPr>
          <w:rFonts w:ascii="Arial"/>
          <w:b/>
          <w:sz w:val="12"/>
        </w:rPr>
      </w: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spacing w:before="7"/>
        <w:rPr>
          <w:rFonts w:ascii="Arial"/>
          <w:b/>
          <w:sz w:val="14"/>
        </w:rPr>
      </w:pPr>
    </w:p>
    <w:p>
      <w:pPr>
        <w:spacing w:before="1"/>
        <w:ind w:left="0" w:right="0" w:firstLine="0"/>
        <w:jc w:val="right"/>
        <w:rPr>
          <w:rFonts w:ascii="Arial Narrow"/>
          <w:b/>
          <w:sz w:val="10"/>
        </w:rPr>
      </w:pPr>
      <w:r>
        <w:rPr/>
        <w:pict>
          <v:shape style="position:absolute;margin-left:509.789154pt;margin-top:-9.06152pt;width:29.1pt;height:6.65pt;mso-position-horizontal-relative:page;mso-position-vertical-relative:paragraph;z-index:252106752;rotation:1" type="#_x0000_t136" fillcolor="#4d4d4d" stroked="f">
            <o:extrusion v:ext="view" autorotationcenter="t"/>
            <v:textpath style="font-family:&quot;Century Gothic&quot;;font-size:6pt;v-text-kern:t;mso-text-shadow:auto;font-weight:bold" string="Reata Rd"/>
            <w10:wrap type="none"/>
          </v:shape>
        </w:pict>
      </w:r>
      <w:r>
        <w:rPr/>
        <w:pict>
          <v:shape style="position:absolute;margin-left:553.903992pt;margin-top:-52.990341pt;width:8.0500pt;height:43.05pt;mso-position-horizontal-relative:page;mso-position-vertical-relative:paragraph;z-index:252182528" type="#_x0000_t202" filled="false" stroked="false">
            <v:textbox inset="0,0,0,0" style="layout-flow:vertical;mso-layout-flow-alt:bottom-to-top">
              <w:txbxContent>
                <w:p>
                  <w:pPr>
                    <w:spacing w:before="15"/>
                    <w:ind w:left="20" w:right="0" w:firstLine="0"/>
                    <w:jc w:val="left"/>
                    <w:rPr>
                      <w:rFonts w:ascii="Arial Narrow"/>
                      <w:b/>
                      <w:sz w:val="10"/>
                    </w:rPr>
                  </w:pPr>
                  <w:r>
                    <w:rPr>
                      <w:rFonts w:ascii="Arial Narrow"/>
                      <w:b/>
                      <w:sz w:val="10"/>
                    </w:rPr>
                    <w:t>458 / 800 682 / 80</w:t>
                  </w:r>
                  <w:r>
                    <w:rPr>
                      <w:rFonts w:ascii="Arial Narrow"/>
                      <w:b/>
                      <w:position w:val="1"/>
                      <w:sz w:val="10"/>
                    </w:rPr>
                    <w:t>0</w:t>
                  </w:r>
                </w:p>
              </w:txbxContent>
            </v:textbox>
            <w10:wrap type="none"/>
          </v:shape>
        </w:pict>
      </w:r>
      <w:r>
        <w:rPr>
          <w:rFonts w:ascii="Arial Narrow"/>
          <w:b/>
          <w:sz w:val="10"/>
        </w:rPr>
        <w:t>266 / 800</w:t>
      </w:r>
    </w:p>
    <w:p>
      <w:pPr>
        <w:pStyle w:val="BodyText"/>
        <w:rPr>
          <w:rFonts w:ascii="Arial Narrow"/>
          <w:b/>
          <w:sz w:val="10"/>
        </w:rPr>
      </w:pPr>
      <w:r>
        <w:rPr/>
        <w:br w:type="column"/>
      </w:r>
      <w:r>
        <w:rPr>
          <w:rFonts w:ascii="Arial Narrow"/>
          <w:b/>
          <w:sz w:val="10"/>
        </w:rPr>
      </w: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rPr>
          <w:rFonts w:ascii="Arial Narrow"/>
          <w:b/>
          <w:sz w:val="10"/>
        </w:rPr>
      </w:pPr>
    </w:p>
    <w:p>
      <w:pPr>
        <w:pStyle w:val="BodyText"/>
        <w:spacing w:before="1"/>
        <w:rPr>
          <w:rFonts w:ascii="Arial Narrow"/>
          <w:b/>
          <w:sz w:val="9"/>
        </w:rPr>
      </w:pPr>
    </w:p>
    <w:p>
      <w:pPr>
        <w:spacing w:before="0"/>
        <w:ind w:left="672" w:right="0" w:firstLine="0"/>
        <w:jc w:val="left"/>
        <w:rPr>
          <w:rFonts w:ascii="Arial Narrow"/>
          <w:b/>
          <w:sz w:val="10"/>
        </w:rPr>
      </w:pPr>
      <w:r>
        <w:rPr/>
        <w:pict>
          <v:shape style="position:absolute;margin-left:539.948181pt;margin-top:-25.218344pt;width:17pt;height:5pt;mso-position-horizontal-relative:page;mso-position-vertical-relative:paragraph;z-index:252210176;rotation:298" type="#_x0000_t136" fillcolor="#000000" stroked="f">
            <o:extrusion v:ext="view" autorotationcenter="t"/>
            <v:textpath style="font-family:&quot;Arial Narrow&quot;;font-size:5pt;v-text-kern:t;mso-text-shadow:auto;font-weight:bold" string="547 / 800"/>
            <w10:wrap type="none"/>
          </v:shape>
        </w:pict>
      </w:r>
      <w:r>
        <w:rPr>
          <w:rFonts w:ascii="Arial Narrow"/>
          <w:b/>
          <w:sz w:val="10"/>
        </w:rPr>
        <w:t>149 / 800</w:t>
      </w:r>
    </w:p>
    <w:p>
      <w:pPr>
        <w:pStyle w:val="BodyText"/>
        <w:rPr>
          <w:rFonts w:ascii="Arial Narrow"/>
          <w:b/>
        </w:rPr>
      </w:pPr>
      <w:r>
        <w:rPr/>
        <w:br w:type="column"/>
      </w:r>
      <w:r>
        <w:rPr>
          <w:rFonts w:ascii="Arial Narrow"/>
          <w:b/>
        </w:rPr>
      </w:r>
    </w:p>
    <w:p>
      <w:pPr>
        <w:pStyle w:val="BodyText"/>
        <w:rPr>
          <w:rFonts w:ascii="Arial Narrow"/>
          <w:b/>
        </w:rPr>
      </w:pPr>
    </w:p>
    <w:p>
      <w:pPr>
        <w:spacing w:before="150"/>
        <w:ind w:left="1318" w:right="0" w:firstLine="0"/>
        <w:jc w:val="left"/>
        <w:rPr>
          <w:rFonts w:ascii="Arial"/>
          <w:sz w:val="20"/>
        </w:rPr>
      </w:pPr>
      <w:r>
        <w:rPr/>
        <w:pict>
          <v:shape style="position:absolute;margin-left:585.636780pt;margin-top:-9.958982pt;width:17pt;height:5pt;mso-position-horizontal-relative:page;mso-position-vertical-relative:paragraph;z-index:252153856;rotation:78" type="#_x0000_t136" fillcolor="#000000" stroked="f">
            <o:extrusion v:ext="view" autorotationcenter="t"/>
            <v:textpath style="font-family:&quot;Arial Narrow&quot;;font-size:5pt;v-text-kern:t;mso-text-shadow:auto;font-weight:bold" string="100 / 800"/>
            <w10:wrap type="none"/>
          </v:shape>
        </w:pict>
      </w:r>
      <w:r>
        <w:rPr>
          <w:rFonts w:ascii="Arial"/>
          <w:shadow/>
          <w:color w:val="6B6B6C"/>
          <w:sz w:val="20"/>
        </w:rPr>
        <w:t>K</w:t>
      </w:r>
      <w:r>
        <w:rPr>
          <w:rFonts w:ascii="Arial"/>
          <w:shadow w:val="0"/>
          <w:color w:val="6B6B6C"/>
          <w:sz w:val="20"/>
        </w:rPr>
        <w:t> </w:t>
      </w:r>
      <w:r>
        <w:rPr>
          <w:rFonts w:ascii="Arial"/>
          <w:shadow/>
          <w:color w:val="6B6B6C"/>
          <w:sz w:val="20"/>
        </w:rPr>
        <w:t>e</w:t>
      </w:r>
      <w:r>
        <w:rPr>
          <w:rFonts w:ascii="Arial"/>
          <w:shadow w:val="0"/>
          <w:color w:val="6B6B6C"/>
          <w:sz w:val="20"/>
        </w:rPr>
        <w:t> </w:t>
      </w:r>
      <w:r>
        <w:rPr>
          <w:rFonts w:ascii="Arial"/>
          <w:shadow/>
          <w:color w:val="6B6B6C"/>
          <w:sz w:val="20"/>
        </w:rPr>
        <w:t>n</w:t>
      </w:r>
      <w:r>
        <w:rPr>
          <w:rFonts w:ascii="Arial"/>
          <w:shadow w:val="0"/>
          <w:color w:val="6B6B6C"/>
          <w:sz w:val="20"/>
        </w:rPr>
        <w:t> </w:t>
      </w:r>
      <w:r>
        <w:rPr>
          <w:rFonts w:ascii="Arial"/>
          <w:shadow/>
          <w:color w:val="6B6B6C"/>
          <w:sz w:val="20"/>
        </w:rPr>
        <w:t>n</w:t>
      </w:r>
      <w:r>
        <w:rPr>
          <w:rFonts w:ascii="Arial"/>
          <w:shadow w:val="0"/>
          <w:color w:val="6B6B6C"/>
          <w:sz w:val="20"/>
        </w:rPr>
        <w:t> </w:t>
      </w:r>
      <w:r>
        <w:rPr>
          <w:rFonts w:ascii="Arial"/>
          <w:shadow/>
          <w:color w:val="6B6B6C"/>
          <w:sz w:val="20"/>
        </w:rPr>
        <w:t>e</w:t>
      </w:r>
      <w:r>
        <w:rPr>
          <w:rFonts w:ascii="Arial"/>
          <w:shadow w:val="0"/>
          <w:color w:val="6B6B6C"/>
          <w:sz w:val="20"/>
        </w:rPr>
        <w:t> </w:t>
      </w:r>
      <w:r>
        <w:rPr>
          <w:rFonts w:ascii="Arial"/>
          <w:shadow/>
          <w:color w:val="6B6B6C"/>
          <w:sz w:val="20"/>
        </w:rPr>
        <w:t>w</w:t>
      </w:r>
      <w:r>
        <w:rPr>
          <w:rFonts w:ascii="Arial"/>
          <w:shadow w:val="0"/>
          <w:color w:val="6B6B6C"/>
          <w:sz w:val="20"/>
        </w:rPr>
        <w:t> </w:t>
      </w:r>
      <w:r>
        <w:rPr>
          <w:rFonts w:ascii="Arial"/>
          <w:shadow/>
          <w:color w:val="6B6B6C"/>
          <w:sz w:val="20"/>
        </w:rPr>
        <w:t>i</w:t>
      </w:r>
      <w:r>
        <w:rPr>
          <w:rFonts w:ascii="Arial"/>
          <w:shadow w:val="0"/>
          <w:color w:val="6B6B6C"/>
          <w:sz w:val="20"/>
        </w:rPr>
        <w:t> </w:t>
      </w:r>
      <w:r>
        <w:rPr>
          <w:rFonts w:ascii="Arial"/>
          <w:shadow/>
          <w:color w:val="6B6B6C"/>
          <w:sz w:val="20"/>
        </w:rPr>
        <w:t>c</w:t>
      </w:r>
      <w:r>
        <w:rPr>
          <w:rFonts w:ascii="Arial"/>
          <w:shadow w:val="0"/>
          <w:color w:val="6B6B6C"/>
          <w:sz w:val="20"/>
        </w:rPr>
        <w:t> </w:t>
      </w:r>
      <w:r>
        <w:rPr>
          <w:rFonts w:ascii="Arial"/>
          <w:shadow/>
          <w:color w:val="6B6B6C"/>
          <w:sz w:val="20"/>
        </w:rPr>
        <w:t>k</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spacing w:before="129"/>
        <w:ind w:left="1235" w:right="0" w:firstLine="0"/>
        <w:jc w:val="left"/>
        <w:rPr>
          <w:rFonts w:ascii="Century Gothic"/>
          <w:sz w:val="24"/>
        </w:rPr>
      </w:pPr>
      <w:r>
        <w:rPr/>
        <w:pict>
          <v:shape style="position:absolute;margin-left:619.488281pt;margin-top:-94.412331pt;width:19.25pt;height:5pt;mso-position-horizontal-relative:page;mso-position-vertical-relative:paragraph;z-index:252150784;rotation:71" type="#_x0000_t136" fillcolor="#000000" stroked="f">
            <o:extrusion v:ext="view" autorotationcenter="t"/>
            <v:textpath style="font-family:&quot;Arial Narrow&quot;;font-size:5pt;v-text-kern:t;mso-text-shadow:auto;font-weight:bold" string="717 / 1600"/>
            <w10:wrap type="none"/>
          </v:shape>
        </w:pict>
      </w:r>
      <w:r>
        <w:rPr/>
        <w:pict>
          <v:shape style="position:absolute;margin-left:599.936829pt;margin-top:-68.520508pt;width:19.2pt;height:5pt;mso-position-horizontal-relative:page;mso-position-vertical-relative:paragraph;z-index:252220416;rotation:342" type="#_x0000_t136" fillcolor="#000000" stroked="f">
            <o:extrusion v:ext="view" autorotationcenter="t"/>
            <v:textpath style="font-family:&quot;Arial Narrow&quot;;font-size:5pt;v-text-kern:t;mso-text-shadow:auto;font-weight:bold" string="657 / 1600"/>
            <w10:wrap type="none"/>
          </v:shape>
        </w:pict>
      </w:r>
      <w:r>
        <w:rPr>
          <w:rFonts w:ascii="Century Gothic"/>
          <w:sz w:val="24"/>
        </w:rPr>
        <w:t>February 24, 2017</w:t>
      </w:r>
    </w:p>
    <w:p>
      <w:pPr>
        <w:spacing w:after="0"/>
        <w:jc w:val="left"/>
        <w:rPr>
          <w:rFonts w:ascii="Century Gothic"/>
          <w:sz w:val="24"/>
        </w:rPr>
        <w:sectPr>
          <w:type w:val="continuous"/>
          <w:pgSz w:w="15840" w:h="24480"/>
          <w:pgMar w:top="1480" w:bottom="1320" w:left="0" w:right="0"/>
          <w:cols w:num="5" w:equalWidth="0">
            <w:col w:w="4398" w:space="2999"/>
            <w:col w:w="1476" w:space="166"/>
            <w:col w:w="1576" w:space="40"/>
            <w:col w:w="1052" w:space="163"/>
            <w:col w:w="3970"/>
          </w:cols>
        </w:sectPr>
      </w:pPr>
    </w:p>
    <w:p>
      <w:pPr>
        <w:pStyle w:val="BodyText"/>
        <w:spacing w:before="8"/>
        <w:rPr>
          <w:rFonts w:ascii="Century Gothic"/>
          <w:sz w:val="13"/>
        </w:rPr>
      </w:pPr>
    </w:p>
    <w:p>
      <w:pPr>
        <w:spacing w:before="100"/>
        <w:ind w:left="3842" w:right="3837" w:firstLine="0"/>
        <w:jc w:val="center"/>
        <w:rPr>
          <w:rFonts w:ascii="Century Gothic"/>
          <w:b/>
          <w:sz w:val="72"/>
        </w:rPr>
      </w:pPr>
      <w:r>
        <w:rPr>
          <w:rFonts w:ascii="Century Gothic"/>
          <w:b/>
          <w:color w:val="004CA7"/>
          <w:sz w:val="72"/>
        </w:rPr>
        <w:t>City of Richland</w:t>
      </w:r>
    </w:p>
    <w:p>
      <w:pPr>
        <w:pStyle w:val="ListParagraph"/>
        <w:numPr>
          <w:ilvl w:val="1"/>
          <w:numId w:val="6"/>
        </w:numPr>
        <w:tabs>
          <w:tab w:pos="4570" w:val="left" w:leader="none"/>
        </w:tabs>
        <w:spacing w:line="240" w:lineRule="auto" w:before="47" w:after="0"/>
        <w:ind w:left="4569" w:right="0" w:hanging="4561"/>
        <w:jc w:val="left"/>
        <w:rPr>
          <w:rFonts w:ascii="Century Gothic"/>
          <w:b/>
          <w:sz w:val="40"/>
        </w:rPr>
      </w:pPr>
      <w:r>
        <w:rPr>
          <w:rFonts w:ascii="Century Gothic"/>
          <w:b/>
          <w:sz w:val="40"/>
        </w:rPr>
        <w:t>- Intersection Traffic Control</w:t>
      </w:r>
      <w:r>
        <w:rPr>
          <w:rFonts w:ascii="Century Gothic"/>
          <w:b/>
          <w:spacing w:val="-6"/>
          <w:sz w:val="40"/>
        </w:rPr>
        <w:t> </w:t>
      </w:r>
      <w:r>
        <w:rPr>
          <w:rFonts w:ascii="Century Gothic"/>
          <w:b/>
          <w:sz w:val="40"/>
        </w:rPr>
        <w:t>Evaluations</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3"/>
        <w:rPr>
          <w:rFonts w:ascii="Century Gothic"/>
          <w:b/>
          <w:sz w:val="20"/>
        </w:rPr>
      </w:pPr>
    </w:p>
    <w:p>
      <w:pPr>
        <w:spacing w:after="0"/>
        <w:rPr>
          <w:rFonts w:ascii="Century Gothic"/>
          <w:sz w:val="20"/>
        </w:rPr>
        <w:sectPr>
          <w:footerReference w:type="default" r:id="rId259"/>
          <w:pgSz w:w="15840" w:h="24480"/>
          <w:pgMar w:footer="0" w:header="0" w:top="760" w:bottom="280" w:left="0" w:right="0"/>
        </w:sectPr>
      </w:pPr>
    </w:p>
    <w:p>
      <w:pPr>
        <w:pStyle w:val="BodyText"/>
        <w:spacing w:before="9"/>
        <w:rPr>
          <w:rFonts w:ascii="Century Gothic"/>
          <w:b/>
          <w:sz w:val="37"/>
        </w:rPr>
      </w:pPr>
    </w:p>
    <w:p>
      <w:pPr>
        <w:spacing w:line="396" w:lineRule="exact" w:before="0"/>
        <w:ind w:left="0" w:right="0" w:firstLine="0"/>
        <w:jc w:val="right"/>
        <w:rPr>
          <w:rFonts w:ascii="Arial"/>
          <w:b/>
          <w:sz w:val="13"/>
        </w:rPr>
      </w:pPr>
      <w:r>
        <w:rPr>
          <w:rFonts w:ascii="Arial Black"/>
          <w:color w:val="FFFFFF"/>
          <w:spacing w:val="-271"/>
          <w:w w:val="101"/>
          <w:position w:val="-2"/>
          <w:sz w:val="32"/>
        </w:rPr>
        <w:t>U</w:t>
      </w:r>
      <w:r>
        <w:rPr>
          <w:rFonts w:ascii="Arial Black"/>
          <w:spacing w:val="-246"/>
          <w:w w:val="108"/>
          <w:position w:val="-2"/>
          <w:sz w:val="32"/>
        </w:rPr>
        <w:t>V</w:t>
      </w:r>
      <w:r>
        <w:rPr>
          <w:rFonts w:ascii="Arial"/>
          <w:b/>
          <w:spacing w:val="-2"/>
          <w:w w:val="102"/>
          <w:sz w:val="13"/>
        </w:rPr>
        <w:t>2</w:t>
      </w:r>
      <w:r>
        <w:rPr>
          <w:rFonts w:ascii="Arial"/>
          <w:b/>
          <w:spacing w:val="3"/>
          <w:w w:val="102"/>
          <w:sz w:val="13"/>
        </w:rPr>
        <w:t>4</w:t>
      </w:r>
      <w:r>
        <w:rPr>
          <w:rFonts w:ascii="Arial"/>
          <w:b/>
          <w:w w:val="102"/>
          <w:sz w:val="13"/>
        </w:rPr>
        <w:t>0</w:t>
      </w:r>
    </w:p>
    <w:p>
      <w:pPr>
        <w:spacing w:before="153"/>
        <w:ind w:left="0" w:right="0" w:firstLine="0"/>
        <w:jc w:val="right"/>
        <w:rPr>
          <w:rFonts w:ascii="Arial"/>
          <w:sz w:val="28"/>
        </w:rPr>
      </w:pPr>
      <w:r>
        <w:rPr/>
        <w:br w:type="column"/>
      </w:r>
      <w:r>
        <w:rPr>
          <w:rFonts w:ascii="Arial"/>
          <w:color w:val="FFFFFF"/>
          <w:spacing w:val="-226"/>
          <w:w w:val="290"/>
          <w:sz w:val="28"/>
        </w:rPr>
        <w:t>!</w:t>
      </w:r>
      <w:r>
        <w:rPr>
          <w:rFonts w:ascii="Arial"/>
          <w:color w:val="CC2D31"/>
          <w:spacing w:val="-226"/>
          <w:w w:val="227"/>
          <w:sz w:val="28"/>
        </w:rPr>
        <w:t>"</w:t>
      </w:r>
      <w:r>
        <w:rPr>
          <w:rFonts w:ascii="Arial"/>
          <w:color w:val="FFFFFF"/>
          <w:w w:val="145"/>
          <w:sz w:val="28"/>
        </w:rPr>
        <w:t>$</w:t>
      </w:r>
    </w:p>
    <w:p>
      <w:pPr>
        <w:spacing w:before="133"/>
        <w:ind w:left="663" w:right="0" w:firstLine="0"/>
        <w:jc w:val="left"/>
        <w:rPr>
          <w:rFonts w:ascii="Century Gothic"/>
          <w:b/>
          <w:sz w:val="13"/>
        </w:rPr>
      </w:pPr>
      <w:r>
        <w:rPr/>
        <w:br w:type="column"/>
      </w:r>
      <w:r>
        <w:rPr>
          <w:rFonts w:ascii="Century Gothic"/>
          <w:b/>
          <w:color w:val="4D4D4D"/>
          <w:sz w:val="13"/>
        </w:rPr>
        <w:t>Horn Rapids Rd</w:t>
      </w:r>
    </w:p>
    <w:p>
      <w:pPr>
        <w:spacing w:before="129"/>
        <w:ind w:left="368" w:right="0" w:firstLine="0"/>
        <w:jc w:val="left"/>
        <w:rPr>
          <w:rFonts w:ascii="Arial" w:hAnsi="Arial"/>
          <w:sz w:val="30"/>
        </w:rPr>
      </w:pPr>
      <w:r>
        <w:rPr/>
        <w:br w:type="column"/>
      </w:r>
      <w:r>
        <w:rPr>
          <w:rFonts w:ascii="Arial" w:hAnsi="Arial"/>
          <w:color w:val="FFFF00"/>
          <w:spacing w:val="-224"/>
          <w:w w:val="267"/>
          <w:sz w:val="30"/>
        </w:rPr>
        <w:t>ì</w:t>
      </w:r>
      <w:r>
        <w:rPr>
          <w:rFonts w:ascii="Arial" w:hAnsi="Arial"/>
          <w:spacing w:val="-224"/>
          <w:w w:val="133"/>
          <w:sz w:val="30"/>
        </w:rPr>
        <w:t>è</w:t>
      </w:r>
      <w:r>
        <w:rPr>
          <w:rFonts w:ascii="Arial" w:hAnsi="Arial"/>
          <w:color w:val="FFFFFF"/>
          <w:spacing w:val="-224"/>
          <w:w w:val="133"/>
          <w:sz w:val="30"/>
        </w:rPr>
        <w:t>é</w:t>
      </w:r>
      <w:r>
        <w:rPr>
          <w:rFonts w:ascii="Arial" w:hAnsi="Arial"/>
          <w:color w:val="CC2D31"/>
          <w:spacing w:val="-224"/>
          <w:w w:val="267"/>
          <w:sz w:val="30"/>
        </w:rPr>
        <w:t>í</w:t>
      </w:r>
      <w:r>
        <w:rPr>
          <w:rFonts w:ascii="Arial" w:hAnsi="Arial"/>
          <w:color w:val="38A700"/>
          <w:w w:val="133"/>
          <w:sz w:val="30"/>
        </w:rPr>
        <w:t>ë</w:t>
      </w:r>
    </w:p>
    <w:p>
      <w:pPr>
        <w:spacing w:before="120"/>
        <w:ind w:left="503" w:right="0" w:firstLine="0"/>
        <w:jc w:val="left"/>
        <w:rPr>
          <w:rFonts w:ascii="Arial"/>
          <w:sz w:val="28"/>
        </w:rPr>
      </w:pPr>
      <w:r>
        <w:rPr/>
        <w:br w:type="column"/>
      </w:r>
      <w:r>
        <w:rPr>
          <w:rFonts w:ascii="Arial"/>
          <w:color w:val="FFFFFF"/>
          <w:spacing w:val="-226"/>
          <w:w w:val="145"/>
          <w:sz w:val="28"/>
        </w:rPr>
        <w:t>$</w:t>
      </w:r>
      <w:r>
        <w:rPr>
          <w:rFonts w:ascii="Arial"/>
          <w:color w:val="FFFFFF"/>
          <w:spacing w:val="-226"/>
          <w:w w:val="290"/>
          <w:sz w:val="28"/>
        </w:rPr>
        <w:t>!</w:t>
      </w:r>
      <w:r>
        <w:rPr>
          <w:rFonts w:ascii="Arial"/>
          <w:color w:val="CC2D31"/>
          <w:w w:val="227"/>
          <w:sz w:val="28"/>
        </w:rPr>
        <w:t>"</w:t>
      </w:r>
    </w:p>
    <w:p>
      <w:pPr>
        <w:spacing w:after="0"/>
        <w:jc w:val="left"/>
        <w:rPr>
          <w:rFonts w:ascii="Arial"/>
          <w:sz w:val="28"/>
        </w:rPr>
        <w:sectPr>
          <w:type w:val="continuous"/>
          <w:pgSz w:w="15840" w:h="24480"/>
          <w:pgMar w:top="1480" w:bottom="1320" w:left="0" w:right="0"/>
          <w:cols w:num="5" w:equalWidth="0">
            <w:col w:w="4168" w:space="40"/>
            <w:col w:w="3023" w:space="39"/>
            <w:col w:w="1633" w:space="39"/>
            <w:col w:w="592" w:space="40"/>
            <w:col w:w="6266"/>
          </w:cols>
        </w:sectPr>
      </w:pPr>
    </w:p>
    <w:p>
      <w:pPr>
        <w:pStyle w:val="BodyText"/>
        <w:spacing w:before="2"/>
        <w:rPr>
          <w:rFonts w:ascii="Arial"/>
          <w:sz w:val="30"/>
        </w:rPr>
      </w:pPr>
    </w:p>
    <w:p>
      <w:pPr>
        <w:spacing w:before="0"/>
        <w:ind w:left="0" w:right="0" w:firstLine="0"/>
        <w:jc w:val="right"/>
        <w:rPr>
          <w:rFonts w:ascii="Arial"/>
          <w:sz w:val="28"/>
        </w:rPr>
      </w:pPr>
      <w:r>
        <w:rPr/>
        <w:pict>
          <v:shape style="position:absolute;margin-left:232.788712pt;margin-top:-23.912985pt;width:10.7pt;height:51.35pt;mso-position-horizontal-relative:page;mso-position-vertical-relative:paragraph;z-index:-267796480"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position w:val="1"/>
                      <w:sz w:val="13"/>
                    </w:rPr>
                    <w:t>Twin Br</w:t>
                  </w:r>
                  <w:r>
                    <w:rPr>
                      <w:rFonts w:ascii="Century Gothic"/>
                      <w:b/>
                      <w:color w:val="4D4D4D"/>
                      <w:sz w:val="13"/>
                    </w:rPr>
                    <w:t>idges Rd</w:t>
                  </w:r>
                </w:p>
              </w:txbxContent>
            </v:textbox>
            <w10:wrap type="none"/>
          </v:shape>
        </w:pict>
      </w:r>
      <w:r>
        <w:rPr>
          <w:rFonts w:ascii="Arial"/>
          <w:color w:val="FFFFFF"/>
          <w:spacing w:val="-226"/>
          <w:w w:val="145"/>
          <w:sz w:val="28"/>
        </w:rPr>
        <w:t>$</w:t>
      </w:r>
      <w:r>
        <w:rPr>
          <w:rFonts w:ascii="Arial"/>
          <w:color w:val="CC2D31"/>
          <w:spacing w:val="-226"/>
          <w:w w:val="227"/>
          <w:sz w:val="28"/>
        </w:rPr>
        <w:t>"</w:t>
      </w:r>
      <w:r>
        <w:rPr>
          <w:rFonts w:ascii="Arial"/>
          <w:color w:val="FFFFFF"/>
          <w:w w:val="290"/>
          <w:sz w:val="28"/>
        </w:rPr>
        <w:t>!</w:t>
      </w:r>
    </w:p>
    <w:p>
      <w:pPr>
        <w:spacing w:before="170"/>
        <w:ind w:left="0" w:right="0" w:firstLine="0"/>
        <w:jc w:val="right"/>
        <w:rPr>
          <w:rFonts w:ascii="Arial"/>
          <w:sz w:val="28"/>
        </w:rPr>
      </w:pPr>
      <w:r>
        <w:rPr/>
        <w:br w:type="column"/>
      </w:r>
      <w:r>
        <w:rPr>
          <w:rFonts w:ascii="Arial"/>
          <w:color w:val="CC2D31"/>
          <w:spacing w:val="-226"/>
          <w:w w:val="227"/>
          <w:sz w:val="28"/>
        </w:rPr>
        <w:t>"</w:t>
      </w:r>
      <w:r>
        <w:rPr>
          <w:rFonts w:ascii="Arial"/>
          <w:color w:val="FFFFFF"/>
          <w:spacing w:val="-226"/>
          <w:w w:val="145"/>
          <w:sz w:val="28"/>
        </w:rPr>
        <w:t>$</w:t>
      </w:r>
      <w:r>
        <w:rPr>
          <w:rFonts w:ascii="Arial"/>
          <w:color w:val="FFFFFF"/>
          <w:w w:val="290"/>
          <w:sz w:val="28"/>
        </w:rPr>
        <w:t>!</w:t>
      </w:r>
    </w:p>
    <w:p>
      <w:pPr>
        <w:spacing w:before="3"/>
        <w:ind w:left="964" w:right="0" w:firstLine="0"/>
        <w:jc w:val="left"/>
        <w:rPr>
          <w:rFonts w:ascii="Century Gothic"/>
          <w:b/>
          <w:sz w:val="13"/>
        </w:rPr>
      </w:pPr>
      <w:r>
        <w:rPr/>
        <w:br w:type="column"/>
      </w:r>
      <w:r>
        <w:rPr>
          <w:rFonts w:ascii="Century Gothic"/>
          <w:b/>
          <w:color w:val="4D4D4D"/>
          <w:sz w:val="13"/>
        </w:rPr>
        <w:t>Battelle B</w:t>
      </w:r>
      <w:r>
        <w:rPr>
          <w:rFonts w:ascii="Century Gothic"/>
          <w:b/>
          <w:color w:val="4D4D4D"/>
          <w:position w:val="1"/>
          <w:sz w:val="13"/>
        </w:rPr>
        <w:t>lvd</w:t>
      </w:r>
    </w:p>
    <w:p>
      <w:pPr>
        <w:pStyle w:val="Heading9"/>
        <w:tabs>
          <w:tab w:pos="1057" w:val="left" w:leader="none"/>
        </w:tabs>
        <w:spacing w:before="19"/>
        <w:ind w:left="287"/>
      </w:pPr>
      <w:r>
        <w:rPr/>
        <w:br w:type="column"/>
      </w:r>
      <w:r>
        <w:rPr>
          <w:spacing w:val="-224"/>
          <w:w w:val="133"/>
        </w:rPr>
        <w:t>è</w:t>
      </w:r>
      <w:r>
        <w:rPr>
          <w:color w:val="FFFFFF"/>
          <w:spacing w:val="-224"/>
          <w:w w:val="133"/>
        </w:rPr>
        <w:t>é</w:t>
      </w:r>
      <w:r>
        <w:rPr>
          <w:color w:val="FFFF00"/>
          <w:spacing w:val="-224"/>
          <w:w w:val="267"/>
        </w:rPr>
        <w:t>ì</w:t>
      </w:r>
      <w:r>
        <w:rPr>
          <w:color w:val="38A700"/>
          <w:spacing w:val="-224"/>
          <w:w w:val="133"/>
        </w:rPr>
        <w:t>ë</w:t>
      </w:r>
      <w:r>
        <w:rPr>
          <w:color w:val="CC2D31"/>
          <w:w w:val="267"/>
        </w:rPr>
        <w:t>í</w:t>
      </w:r>
      <w:r>
        <w:rPr>
          <w:color w:val="CC2D31"/>
        </w:rPr>
        <w:tab/>
      </w:r>
      <w:r>
        <w:rPr>
          <w:spacing w:val="-224"/>
          <w:w w:val="133"/>
          <w:position w:val="1"/>
        </w:rPr>
        <w:t>è</w:t>
      </w:r>
      <w:r>
        <w:rPr>
          <w:color w:val="FFFFFF"/>
          <w:spacing w:val="-224"/>
          <w:w w:val="133"/>
          <w:position w:val="1"/>
        </w:rPr>
        <w:t>é</w:t>
      </w:r>
      <w:r>
        <w:rPr>
          <w:color w:val="FFFF00"/>
          <w:spacing w:val="-224"/>
          <w:w w:val="267"/>
          <w:position w:val="1"/>
        </w:rPr>
        <w:t>ì</w:t>
      </w:r>
      <w:r>
        <w:rPr>
          <w:color w:val="38A700"/>
          <w:spacing w:val="-224"/>
          <w:w w:val="133"/>
          <w:position w:val="1"/>
        </w:rPr>
        <w:t>ë</w:t>
      </w:r>
      <w:r>
        <w:rPr>
          <w:color w:val="CC2D31"/>
          <w:w w:val="267"/>
          <w:position w:val="1"/>
        </w:rPr>
        <w:t>í</w:t>
      </w:r>
    </w:p>
    <w:p>
      <w:pPr>
        <w:pStyle w:val="BodyText"/>
        <w:rPr>
          <w:rFonts w:ascii="Arial"/>
          <w:sz w:val="30"/>
        </w:rPr>
      </w:pPr>
    </w:p>
    <w:p>
      <w:pPr>
        <w:pStyle w:val="BodyText"/>
        <w:spacing w:before="7"/>
        <w:rPr>
          <w:rFonts w:ascii="Arial"/>
          <w:sz w:val="36"/>
        </w:rPr>
      </w:pPr>
    </w:p>
    <w:p>
      <w:pPr>
        <w:spacing w:before="0"/>
        <w:ind w:left="298" w:right="0" w:firstLine="0"/>
        <w:jc w:val="left"/>
        <w:rPr>
          <w:rFonts w:ascii="Century Gothic" w:hAnsi="Century Gothic"/>
          <w:b/>
          <w:sz w:val="13"/>
        </w:rPr>
      </w:pPr>
      <w:r>
        <w:rPr>
          <w:rFonts w:ascii="Arial" w:hAnsi="Arial"/>
          <w:spacing w:val="-224"/>
          <w:w w:val="133"/>
          <w:position w:val="-14"/>
          <w:sz w:val="30"/>
        </w:rPr>
        <w:t>è</w:t>
      </w:r>
      <w:r>
        <w:rPr>
          <w:rFonts w:ascii="Arial" w:hAnsi="Arial"/>
          <w:color w:val="FFFFFF"/>
          <w:spacing w:val="-224"/>
          <w:w w:val="133"/>
          <w:position w:val="-14"/>
          <w:sz w:val="30"/>
        </w:rPr>
        <w:t>é</w:t>
      </w:r>
      <w:r>
        <w:rPr>
          <w:rFonts w:ascii="Arial" w:hAnsi="Arial"/>
          <w:color w:val="FFFF00"/>
          <w:spacing w:val="-224"/>
          <w:w w:val="267"/>
          <w:position w:val="-14"/>
          <w:sz w:val="30"/>
        </w:rPr>
        <w:t>ì</w:t>
      </w:r>
      <w:r>
        <w:rPr>
          <w:rFonts w:ascii="Arial" w:hAnsi="Arial"/>
          <w:color w:val="38A700"/>
          <w:spacing w:val="-224"/>
          <w:w w:val="133"/>
          <w:position w:val="-14"/>
          <w:sz w:val="30"/>
        </w:rPr>
        <w:t>ë</w:t>
      </w:r>
      <w:r>
        <w:rPr>
          <w:rFonts w:ascii="Arial" w:hAnsi="Arial"/>
          <w:color w:val="CC2D31"/>
          <w:spacing w:val="-124"/>
          <w:w w:val="267"/>
          <w:position w:val="-14"/>
          <w:sz w:val="30"/>
        </w:rPr>
        <w:t>í</w:t>
      </w:r>
      <w:r>
        <w:rPr>
          <w:rFonts w:ascii="Century Gothic" w:hAnsi="Century Gothic"/>
          <w:b/>
          <w:color w:val="4D4D4D"/>
          <w:spacing w:val="-5"/>
          <w:w w:val="102"/>
          <w:sz w:val="13"/>
        </w:rPr>
        <w:t>Un</w:t>
      </w:r>
      <w:r>
        <w:rPr>
          <w:rFonts w:ascii="Century Gothic" w:hAnsi="Century Gothic"/>
          <w:b/>
          <w:color w:val="4D4D4D"/>
          <w:spacing w:val="-1"/>
          <w:w w:val="102"/>
          <w:sz w:val="13"/>
        </w:rPr>
        <w:t>i</w:t>
      </w:r>
      <w:r>
        <w:rPr>
          <w:rFonts w:ascii="Century Gothic" w:hAnsi="Century Gothic"/>
          <w:b/>
          <w:color w:val="4D4D4D"/>
          <w:w w:val="102"/>
          <w:sz w:val="13"/>
        </w:rPr>
        <w:t>v</w:t>
      </w:r>
      <w:r>
        <w:rPr>
          <w:rFonts w:ascii="Century Gothic" w:hAnsi="Century Gothic"/>
          <w:b/>
          <w:color w:val="4D4D4D"/>
          <w:spacing w:val="-5"/>
          <w:w w:val="102"/>
          <w:sz w:val="13"/>
        </w:rPr>
        <w:t>e</w:t>
      </w:r>
      <w:r>
        <w:rPr>
          <w:rFonts w:ascii="Century Gothic" w:hAnsi="Century Gothic"/>
          <w:b/>
          <w:color w:val="4D4D4D"/>
          <w:spacing w:val="-1"/>
          <w:w w:val="102"/>
          <w:sz w:val="13"/>
        </w:rPr>
        <w:t>r</w:t>
      </w:r>
      <w:r>
        <w:rPr>
          <w:rFonts w:ascii="Century Gothic" w:hAnsi="Century Gothic"/>
          <w:b/>
          <w:color w:val="4D4D4D"/>
          <w:spacing w:val="-6"/>
          <w:w w:val="102"/>
          <w:position w:val="1"/>
          <w:sz w:val="13"/>
        </w:rPr>
        <w:t>s</w:t>
      </w:r>
      <w:r>
        <w:rPr>
          <w:rFonts w:ascii="Century Gothic" w:hAnsi="Century Gothic"/>
          <w:b/>
          <w:color w:val="4D4D4D"/>
          <w:spacing w:val="-1"/>
          <w:w w:val="102"/>
          <w:position w:val="1"/>
          <w:sz w:val="13"/>
        </w:rPr>
        <w:t>i</w:t>
      </w:r>
      <w:r>
        <w:rPr>
          <w:rFonts w:ascii="Century Gothic" w:hAnsi="Century Gothic"/>
          <w:b/>
          <w:color w:val="4D4D4D"/>
          <w:spacing w:val="-4"/>
          <w:w w:val="102"/>
          <w:position w:val="1"/>
          <w:sz w:val="13"/>
        </w:rPr>
        <w:t>t</w:t>
      </w:r>
      <w:r>
        <w:rPr>
          <w:rFonts w:ascii="Century Gothic" w:hAnsi="Century Gothic"/>
          <w:b/>
          <w:color w:val="4D4D4D"/>
          <w:w w:val="102"/>
          <w:position w:val="1"/>
          <w:sz w:val="13"/>
        </w:rPr>
        <w:t>y</w:t>
      </w:r>
      <w:r>
        <w:rPr>
          <w:rFonts w:ascii="Century Gothic" w:hAnsi="Century Gothic"/>
          <w:b/>
          <w:color w:val="4D4D4D"/>
          <w:spacing w:val="-2"/>
          <w:position w:val="1"/>
          <w:sz w:val="13"/>
        </w:rPr>
        <w:t> </w:t>
      </w:r>
      <w:r>
        <w:rPr>
          <w:rFonts w:ascii="Century Gothic" w:hAnsi="Century Gothic"/>
          <w:b/>
          <w:color w:val="4D4D4D"/>
          <w:spacing w:val="-50"/>
          <w:w w:val="102"/>
          <w:position w:val="1"/>
          <w:sz w:val="13"/>
        </w:rPr>
        <w:t>D</w:t>
      </w:r>
      <w:r>
        <w:rPr>
          <w:rFonts w:ascii="Arial" w:hAnsi="Arial"/>
          <w:spacing w:val="-224"/>
          <w:w w:val="133"/>
          <w:position w:val="-13"/>
          <w:sz w:val="30"/>
        </w:rPr>
        <w:t>è</w:t>
      </w:r>
      <w:r>
        <w:rPr>
          <w:rFonts w:ascii="Arial" w:hAnsi="Arial"/>
          <w:color w:val="CC2D31"/>
          <w:spacing w:val="-224"/>
          <w:w w:val="267"/>
          <w:position w:val="-13"/>
          <w:sz w:val="30"/>
        </w:rPr>
        <w:t>í</w:t>
      </w:r>
      <w:r>
        <w:rPr>
          <w:rFonts w:ascii="Arial" w:hAnsi="Arial"/>
          <w:color w:val="38A700"/>
          <w:spacing w:val="-224"/>
          <w:w w:val="133"/>
          <w:position w:val="-13"/>
          <w:sz w:val="30"/>
        </w:rPr>
        <w:t>ë</w:t>
      </w:r>
      <w:r>
        <w:rPr>
          <w:rFonts w:ascii="Arial" w:hAnsi="Arial"/>
          <w:color w:val="FFFF00"/>
          <w:spacing w:val="-224"/>
          <w:w w:val="267"/>
          <w:position w:val="-13"/>
          <w:sz w:val="30"/>
        </w:rPr>
        <w:t>ì</w:t>
      </w:r>
      <w:r>
        <w:rPr>
          <w:rFonts w:ascii="Arial" w:hAnsi="Arial"/>
          <w:color w:val="FFFFFF"/>
          <w:spacing w:val="-174"/>
          <w:w w:val="133"/>
          <w:position w:val="-13"/>
          <w:sz w:val="30"/>
        </w:rPr>
        <w:t>é</w:t>
      </w:r>
      <w:r>
        <w:rPr>
          <w:rFonts w:ascii="Century Gothic" w:hAnsi="Century Gothic"/>
          <w:b/>
          <w:color w:val="4D4D4D"/>
          <w:w w:val="102"/>
          <w:position w:val="1"/>
          <w:sz w:val="13"/>
        </w:rPr>
        <w:t>r</w:t>
      </w:r>
    </w:p>
    <w:p>
      <w:pPr>
        <w:spacing w:after="0"/>
        <w:jc w:val="left"/>
        <w:rPr>
          <w:rFonts w:ascii="Century Gothic" w:hAnsi="Century Gothic"/>
          <w:sz w:val="13"/>
        </w:rPr>
        <w:sectPr>
          <w:type w:val="continuous"/>
          <w:pgSz w:w="15840" w:h="24480"/>
          <w:pgMar w:top="1480" w:bottom="1320" w:left="0" w:right="0"/>
          <w:cols w:num="4" w:equalWidth="0">
            <w:col w:w="4998" w:space="40"/>
            <w:col w:w="2204" w:space="39"/>
            <w:col w:w="1752" w:space="39"/>
            <w:col w:w="6768"/>
          </w:cols>
        </w:sectPr>
      </w:pPr>
    </w:p>
    <w:p>
      <w:pPr>
        <w:pStyle w:val="BodyText"/>
        <w:rPr>
          <w:rFonts w:ascii="Century Gothic"/>
          <w:b/>
          <w:sz w:val="20"/>
        </w:rPr>
      </w:pPr>
    </w:p>
    <w:p>
      <w:pPr>
        <w:spacing w:after="0"/>
        <w:rPr>
          <w:rFonts w:ascii="Century Gothic"/>
          <w:sz w:val="20"/>
        </w:rPr>
        <w:sectPr>
          <w:type w:val="continuous"/>
          <w:pgSz w:w="15840" w:h="24480"/>
          <w:pgMar w:top="1480" w:bottom="1320" w:left="0" w:right="0"/>
        </w:sectPr>
      </w:pPr>
    </w:p>
    <w:p>
      <w:pPr>
        <w:pStyle w:val="BodyText"/>
        <w:spacing w:before="5"/>
        <w:rPr>
          <w:rFonts w:ascii="Century Gothic"/>
          <w:b/>
          <w:sz w:val="20"/>
        </w:rPr>
      </w:pPr>
    </w:p>
    <w:p>
      <w:pPr>
        <w:spacing w:before="0"/>
        <w:ind w:left="0" w:right="1273" w:firstLine="0"/>
        <w:jc w:val="right"/>
        <w:rPr>
          <w:rFonts w:ascii="Arial"/>
          <w:sz w:val="24"/>
        </w:rPr>
      </w:pPr>
      <w:r>
        <w:rPr/>
        <w:pict>
          <v:shape style="position:absolute;margin-left:345.243408pt;margin-top:-110.144699pt;width:11.75pt;height:50.45pt;mso-position-horizontal-relative:page;mso-position-vertical-relative:paragraph;z-index:-267793408"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Kin</w:t>
                  </w:r>
                  <w:r>
                    <w:rPr>
                      <w:rFonts w:ascii="Century Gothic"/>
                      <w:b/>
                      <w:color w:val="4D4D4D"/>
                      <w:position w:val="1"/>
                      <w:sz w:val="13"/>
                    </w:rPr>
                    <w:t>gsga</w:t>
                  </w:r>
                  <w:r>
                    <w:rPr>
                      <w:rFonts w:ascii="Century Gothic"/>
                      <w:b/>
                      <w:color w:val="4D4D4D"/>
                      <w:position w:val="2"/>
                      <w:sz w:val="13"/>
                    </w:rPr>
                    <w:t>te W</w:t>
                  </w:r>
                  <w:r>
                    <w:rPr>
                      <w:rFonts w:ascii="Century Gothic"/>
                      <w:b/>
                      <w:color w:val="4D4D4D"/>
                      <w:position w:val="3"/>
                      <w:sz w:val="13"/>
                    </w:rPr>
                    <w:t>ay</w:t>
                  </w:r>
                </w:p>
              </w:txbxContent>
            </v:textbox>
            <w10:wrap type="none"/>
          </v:shape>
        </w:pict>
      </w:r>
      <w:r>
        <w:rPr/>
        <w:pict>
          <v:shape style="position:absolute;margin-left:393.600909pt;margin-top:20.455917pt;width:40.25pt;height:6.65pt;mso-position-horizontal-relative:page;mso-position-vertical-relative:paragraph;z-index:252259328;rotation:306" type="#_x0000_t136" fillcolor="#4d4d4d" stroked="f">
            <o:extrusion v:ext="view" autorotationcenter="t"/>
            <v:textpath style="font-family:&quot;Century Gothic&quot;;font-size:6pt;v-text-kern:t;mso-text-shadow:auto;font-weight:bold" string="Logston Blvd"/>
            <w10:wrap type="none"/>
          </v:shape>
        </w:pict>
      </w:r>
      <w:r>
        <w:rPr>
          <w:rFonts w:ascii="Arial"/>
          <w:spacing w:val="-169"/>
          <w:w w:val="230"/>
          <w:sz w:val="24"/>
        </w:rPr>
        <w:t>(</w:t>
      </w:r>
      <w:r>
        <w:rPr>
          <w:rFonts w:ascii="Arial"/>
          <w:color w:val="00FF00"/>
          <w:spacing w:val="-169"/>
          <w:w w:val="230"/>
          <w:sz w:val="24"/>
        </w:rPr>
        <w:t>!</w:t>
      </w:r>
    </w:p>
    <w:p>
      <w:pPr>
        <w:pStyle w:val="BodyText"/>
        <w:rPr>
          <w:rFonts w:ascii="Arial"/>
          <w:sz w:val="24"/>
        </w:rPr>
      </w:pPr>
    </w:p>
    <w:p>
      <w:pPr>
        <w:spacing w:before="186"/>
        <w:ind w:left="0" w:right="0" w:firstLine="0"/>
        <w:jc w:val="right"/>
        <w:rPr>
          <w:rFonts w:ascii="Arial"/>
          <w:sz w:val="28"/>
        </w:rPr>
      </w:pPr>
      <w:r>
        <w:rPr>
          <w:rFonts w:ascii="Arial"/>
          <w:color w:val="FFFFFF"/>
          <w:spacing w:val="-226"/>
          <w:w w:val="145"/>
          <w:sz w:val="28"/>
        </w:rPr>
        <w:t>$</w:t>
      </w:r>
      <w:r>
        <w:rPr>
          <w:rFonts w:ascii="Arial"/>
          <w:color w:val="CC2D31"/>
          <w:spacing w:val="-226"/>
          <w:w w:val="227"/>
          <w:sz w:val="28"/>
        </w:rPr>
        <w:t>"</w:t>
      </w:r>
      <w:r>
        <w:rPr>
          <w:rFonts w:ascii="Arial"/>
          <w:color w:val="FFFFFF"/>
          <w:w w:val="290"/>
          <w:sz w:val="28"/>
        </w:rPr>
        <w:t>!</w:t>
      </w:r>
    </w:p>
    <w:p>
      <w:pPr>
        <w:pStyle w:val="BodyText"/>
        <w:rPr>
          <w:rFonts w:ascii="Arial"/>
          <w:sz w:val="24"/>
        </w:rPr>
      </w:pPr>
      <w:r>
        <w:rPr/>
        <w:br w:type="column"/>
      </w:r>
      <w:r>
        <w:rPr>
          <w:rFonts w:ascii="Arial"/>
          <w:sz w:val="24"/>
        </w:rPr>
      </w:r>
    </w:p>
    <w:p>
      <w:pPr>
        <w:pStyle w:val="BodyText"/>
        <w:rPr>
          <w:rFonts w:ascii="Arial"/>
          <w:sz w:val="24"/>
        </w:rPr>
      </w:pPr>
    </w:p>
    <w:p>
      <w:pPr>
        <w:pStyle w:val="BodyText"/>
        <w:rPr>
          <w:rFonts w:ascii="Arial"/>
          <w:sz w:val="24"/>
        </w:rPr>
      </w:pPr>
    </w:p>
    <w:p>
      <w:pPr>
        <w:pStyle w:val="BodyText"/>
        <w:rPr>
          <w:rFonts w:ascii="Arial"/>
          <w:sz w:val="24"/>
        </w:rPr>
      </w:pPr>
    </w:p>
    <w:p>
      <w:pPr>
        <w:pStyle w:val="BodyText"/>
        <w:spacing w:before="4"/>
        <w:rPr>
          <w:rFonts w:ascii="Arial"/>
          <w:sz w:val="29"/>
        </w:rPr>
      </w:pPr>
    </w:p>
    <w:p>
      <w:pPr>
        <w:spacing w:before="0"/>
        <w:ind w:left="0" w:right="0" w:firstLine="0"/>
        <w:jc w:val="right"/>
        <w:rPr>
          <w:rFonts w:ascii="Arial"/>
          <w:sz w:val="24"/>
        </w:rPr>
      </w:pPr>
      <w:r>
        <w:rPr/>
        <w:pict>
          <v:shape style="position:absolute;margin-left:412.456348pt;margin-top:-26.58372pt;width:40.75pt;height:6.65pt;mso-position-horizontal-relative:page;mso-position-vertical-relative:paragraph;z-index:252257280;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409.565027pt;margin-top:22.572814pt;width:31.7pt;height:6.65pt;mso-position-horizontal-relative:page;mso-position-vertical-relative:paragraph;z-index:252258304;rotation:282" type="#_x0000_t136" fillcolor="#4d4d4d" stroked="f">
            <o:extrusion v:ext="view" autorotationcenter="t"/>
            <v:textpath style="font-family:&quot;Century Gothic&quot;;font-size:6pt;v-text-kern:t;mso-text-shadow:auto;font-weight:bold" string="Hagen Rd"/>
            <w10:wrap type="none"/>
          </v:shape>
        </w:pict>
      </w:r>
      <w:r>
        <w:rPr>
          <w:rFonts w:ascii="Arial"/>
          <w:spacing w:val="-167"/>
          <w:w w:val="208"/>
          <w:sz w:val="24"/>
        </w:rPr>
        <w:t>(</w:t>
      </w:r>
      <w:r>
        <w:rPr>
          <w:rFonts w:ascii="Arial"/>
          <w:color w:val="00FF00"/>
          <w:w w:val="250"/>
          <w:sz w:val="24"/>
        </w:rPr>
        <w:t>!</w:t>
      </w:r>
    </w:p>
    <w:p>
      <w:pPr>
        <w:pStyle w:val="BodyText"/>
        <w:rPr>
          <w:rFonts w:ascii="Arial"/>
          <w:sz w:val="24"/>
        </w:rPr>
      </w:pPr>
    </w:p>
    <w:p>
      <w:pPr>
        <w:pStyle w:val="BodyText"/>
        <w:rPr>
          <w:rFonts w:ascii="Arial"/>
          <w:sz w:val="24"/>
        </w:rPr>
      </w:pPr>
    </w:p>
    <w:p>
      <w:pPr>
        <w:pStyle w:val="BodyText"/>
        <w:rPr>
          <w:rFonts w:ascii="Arial"/>
          <w:sz w:val="24"/>
        </w:rPr>
      </w:pPr>
    </w:p>
    <w:p>
      <w:pPr>
        <w:pStyle w:val="BodyText"/>
        <w:spacing w:before="5"/>
        <w:rPr>
          <w:rFonts w:ascii="Arial"/>
          <w:sz w:val="33"/>
        </w:rPr>
      </w:pPr>
    </w:p>
    <w:p>
      <w:pPr>
        <w:spacing w:before="1"/>
        <w:ind w:left="91" w:right="0" w:firstLine="0"/>
        <w:jc w:val="left"/>
        <w:rPr>
          <w:rFonts w:ascii="Arial" w:hAnsi="Arial"/>
          <w:sz w:val="30"/>
        </w:rPr>
      </w:pPr>
      <w:r>
        <w:rPr>
          <w:rFonts w:ascii="Arial" w:hAnsi="Arial"/>
          <w:color w:val="FFFFFF"/>
          <w:spacing w:val="-224"/>
          <w:w w:val="133"/>
          <w:sz w:val="30"/>
        </w:rPr>
        <w:t>é</w:t>
      </w:r>
      <w:r>
        <w:rPr>
          <w:rFonts w:ascii="Arial" w:hAnsi="Arial"/>
          <w:color w:val="FFFF00"/>
          <w:spacing w:val="-224"/>
          <w:w w:val="267"/>
          <w:sz w:val="30"/>
        </w:rPr>
        <w:t>ì</w:t>
      </w:r>
      <w:r>
        <w:rPr>
          <w:rFonts w:ascii="Arial" w:hAnsi="Arial"/>
          <w:color w:val="38A700"/>
          <w:spacing w:val="-224"/>
          <w:w w:val="133"/>
          <w:sz w:val="30"/>
        </w:rPr>
        <w:t>ë</w:t>
      </w:r>
      <w:r>
        <w:rPr>
          <w:rFonts w:ascii="Arial" w:hAnsi="Arial"/>
          <w:spacing w:val="-224"/>
          <w:w w:val="133"/>
          <w:sz w:val="30"/>
        </w:rPr>
        <w:t>è</w:t>
      </w:r>
      <w:r>
        <w:rPr>
          <w:rFonts w:ascii="Arial" w:hAnsi="Arial"/>
          <w:color w:val="CC2D31"/>
          <w:w w:val="267"/>
          <w:sz w:val="30"/>
        </w:rPr>
        <w:t>í</w:t>
      </w:r>
    </w:p>
    <w:p>
      <w:pPr>
        <w:pStyle w:val="BodyText"/>
        <w:spacing w:before="1"/>
        <w:rPr>
          <w:rFonts w:ascii="Arial"/>
          <w:sz w:val="24"/>
        </w:rPr>
      </w:pPr>
      <w:r>
        <w:rPr/>
        <w:br w:type="column"/>
      </w:r>
      <w:r>
        <w:rPr>
          <w:rFonts w:ascii="Arial"/>
          <w:sz w:val="24"/>
        </w:rPr>
      </w:r>
    </w:p>
    <w:p>
      <w:pPr>
        <w:spacing w:line="470" w:lineRule="auto" w:before="0"/>
        <w:ind w:left="480" w:right="179" w:firstLine="11"/>
        <w:jc w:val="left"/>
        <w:rPr>
          <w:rFonts w:ascii="Arial" w:hAnsi="Arial"/>
          <w:sz w:val="30"/>
        </w:rPr>
      </w:pPr>
      <w:r>
        <w:rPr>
          <w:rFonts w:ascii="Arial" w:hAnsi="Arial"/>
          <w:spacing w:val="-224"/>
          <w:w w:val="133"/>
          <w:sz w:val="30"/>
        </w:rPr>
        <w:t>è</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spacing w:val="-224"/>
          <w:w w:val="267"/>
          <w:sz w:val="30"/>
        </w:rPr>
        <w:t>í</w:t>
      </w:r>
      <w:r>
        <w:rPr>
          <w:rFonts w:ascii="Arial" w:hAnsi="Arial"/>
          <w:color w:val="FFFFFF"/>
          <w:w w:val="133"/>
          <w:sz w:val="30"/>
        </w:rPr>
        <w:t>é </w:t>
      </w:r>
      <w:r>
        <w:rPr>
          <w:rFonts w:ascii="Arial" w:hAnsi="Arial"/>
          <w:spacing w:val="-224"/>
          <w:w w:val="133"/>
          <w:sz w:val="30"/>
        </w:rPr>
        <w:t>è</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spacing w:val="-224"/>
          <w:w w:val="267"/>
          <w:sz w:val="30"/>
        </w:rPr>
        <w:t>í</w:t>
      </w:r>
      <w:r>
        <w:rPr>
          <w:rFonts w:ascii="Arial" w:hAnsi="Arial"/>
          <w:color w:val="FFFFFF"/>
          <w:w w:val="133"/>
          <w:sz w:val="30"/>
        </w:rPr>
        <w:t>é</w:t>
      </w:r>
    </w:p>
    <w:p>
      <w:pPr>
        <w:spacing w:line="192" w:lineRule="auto" w:before="139"/>
        <w:ind w:left="347" w:right="207" w:firstLine="116"/>
        <w:jc w:val="left"/>
        <w:rPr>
          <w:rFonts w:ascii="Arial" w:hAnsi="Arial"/>
          <w:sz w:val="30"/>
        </w:rPr>
      </w:pPr>
      <w:r>
        <w:rPr/>
        <w:pict>
          <v:shape style="position:absolute;margin-left:448.586078pt;margin-top:-71.573375pt;width:33.25pt;height:6.65pt;mso-position-horizontal-relative:page;mso-position-vertical-relative:paragraph;z-index:252254208;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22.251764pt;margin-top:42.454462pt;width:40.7pt;height:6.65pt;mso-position-horizontal-relative:page;mso-position-vertical-relative:paragraph;z-index:252260352;rotation:312" type="#_x0000_t136" fillcolor="#4d4d4d" stroked="f">
            <o:extrusion v:ext="view" autorotationcenter="t"/>
            <v:textpath style="font-family:&quot;Century Gothic&quot;;font-size:6pt;v-text-kern:t;mso-text-shadow:auto;font-weight:bold" string="By-pass Hwy"/>
            <w10:wrap type="none"/>
          </v:shape>
        </w:pict>
      </w:r>
      <w:r>
        <w:rPr>
          <w:rFonts w:ascii="Arial" w:hAnsi="Arial"/>
          <w:color w:val="CC2D31"/>
          <w:spacing w:val="-224"/>
          <w:w w:val="267"/>
          <w:sz w:val="30"/>
        </w:rPr>
        <w:t>í</w:t>
      </w:r>
      <w:r>
        <w:rPr>
          <w:rFonts w:ascii="Arial" w:hAnsi="Arial"/>
          <w:color w:val="FFFF00"/>
          <w:spacing w:val="-224"/>
          <w:w w:val="267"/>
          <w:sz w:val="30"/>
        </w:rPr>
        <w:t>ì</w:t>
      </w:r>
      <w:r>
        <w:rPr>
          <w:rFonts w:ascii="Arial" w:hAnsi="Arial"/>
          <w:spacing w:val="-224"/>
          <w:w w:val="133"/>
          <w:sz w:val="30"/>
        </w:rPr>
        <w:t>è</w:t>
      </w:r>
      <w:r>
        <w:rPr>
          <w:rFonts w:ascii="Arial" w:hAnsi="Arial"/>
          <w:color w:val="FFFFFF"/>
          <w:spacing w:val="-224"/>
          <w:w w:val="133"/>
          <w:sz w:val="30"/>
        </w:rPr>
        <w:t>é</w:t>
      </w:r>
      <w:r>
        <w:rPr>
          <w:rFonts w:ascii="Arial" w:hAnsi="Arial"/>
          <w:color w:val="38A700"/>
          <w:w w:val="133"/>
          <w:sz w:val="30"/>
        </w:rPr>
        <w:t>ë </w:t>
      </w:r>
      <w:r>
        <w:rPr>
          <w:rFonts w:ascii="Arial" w:hAnsi="Arial"/>
          <w:color w:val="38A700"/>
          <w:spacing w:val="-224"/>
          <w:w w:val="133"/>
          <w:sz w:val="30"/>
        </w:rPr>
        <w:t>ë</w:t>
      </w:r>
      <w:r>
        <w:rPr>
          <w:rFonts w:ascii="Arial" w:hAnsi="Arial"/>
          <w:color w:val="FFFF00"/>
          <w:spacing w:val="-224"/>
          <w:w w:val="267"/>
          <w:sz w:val="30"/>
        </w:rPr>
        <w:t>ì</w:t>
      </w:r>
      <w:r>
        <w:rPr>
          <w:rFonts w:ascii="Arial" w:hAnsi="Arial"/>
          <w:color w:val="FFFFFF"/>
          <w:spacing w:val="-224"/>
          <w:w w:val="133"/>
          <w:sz w:val="30"/>
        </w:rPr>
        <w:t>é</w:t>
      </w:r>
      <w:r>
        <w:rPr>
          <w:rFonts w:ascii="Arial" w:hAnsi="Arial"/>
          <w:spacing w:val="-224"/>
          <w:w w:val="133"/>
          <w:sz w:val="30"/>
        </w:rPr>
        <w:t>è</w:t>
      </w:r>
      <w:r>
        <w:rPr>
          <w:rFonts w:ascii="Arial" w:hAnsi="Arial"/>
          <w:color w:val="CC2D31"/>
          <w:w w:val="267"/>
          <w:sz w:val="30"/>
        </w:rPr>
        <w:t>í</w:t>
      </w:r>
    </w:p>
    <w:p>
      <w:pPr>
        <w:spacing w:before="158"/>
        <w:ind w:left="516" w:right="0" w:firstLine="0"/>
        <w:jc w:val="left"/>
        <w:rPr>
          <w:rFonts w:ascii="Arial"/>
          <w:sz w:val="28"/>
        </w:rPr>
      </w:pPr>
      <w:r>
        <w:rPr>
          <w:rFonts w:ascii="Arial"/>
          <w:color w:val="FFFFFF"/>
          <w:spacing w:val="-226"/>
          <w:w w:val="290"/>
          <w:sz w:val="28"/>
        </w:rPr>
        <w:t>!</w:t>
      </w:r>
      <w:r>
        <w:rPr>
          <w:rFonts w:ascii="Arial"/>
          <w:color w:val="CC2D31"/>
          <w:spacing w:val="-226"/>
          <w:w w:val="227"/>
          <w:sz w:val="28"/>
        </w:rPr>
        <w:t>"</w:t>
      </w:r>
      <w:r>
        <w:rPr>
          <w:rFonts w:ascii="Arial"/>
          <w:color w:val="FFFFFF"/>
          <w:w w:val="145"/>
          <w:sz w:val="28"/>
        </w:rPr>
        <w:t>$</w:t>
      </w:r>
    </w:p>
    <w:p>
      <w:pPr>
        <w:spacing w:before="53"/>
        <w:ind w:left="441" w:right="0" w:firstLine="0"/>
        <w:jc w:val="left"/>
        <w:rPr>
          <w:rFonts w:ascii="Arial" w:hAnsi="Arial"/>
          <w:sz w:val="30"/>
        </w:rPr>
      </w:pPr>
      <w:r>
        <w:rPr/>
        <w:pict>
          <v:shape style="position:absolute;margin-left:461.041168pt;margin-top:27.174641pt;width:10.6pt;height:35.25pt;mso-position-horizontal-relative:page;mso-position-vertical-relative:paragraph;z-index:-267789312" type="#_x0000_t202" filled="false" stroked="false">
            <v:textbox inset="0,0,0,0" style="layout-flow:vertical;mso-layout-flow-alt:bottom-to-top">
              <w:txbxContent>
                <w:p>
                  <w:pPr>
                    <w:spacing w:before="21"/>
                    <w:ind w:left="20" w:right="0" w:firstLine="0"/>
                    <w:jc w:val="left"/>
                    <w:rPr>
                      <w:rFonts w:ascii="Century Gothic"/>
                      <w:b/>
                      <w:sz w:val="13"/>
                    </w:rPr>
                  </w:pPr>
                  <w:r>
                    <w:rPr>
                      <w:rFonts w:ascii="Century Gothic"/>
                      <w:b/>
                      <w:color w:val="4D4D4D"/>
                      <w:sz w:val="13"/>
                    </w:rPr>
                    <w:t>Steven</w:t>
                  </w:r>
                  <w:r>
                    <w:rPr>
                      <w:rFonts w:ascii="Century Gothic"/>
                      <w:b/>
                      <w:color w:val="4D4D4D"/>
                      <w:position w:val="1"/>
                      <w:sz w:val="13"/>
                    </w:rPr>
                    <w:t>s Dr</w:t>
                  </w:r>
                </w:p>
              </w:txbxContent>
            </v:textbox>
            <w10:wrap type="none"/>
          </v:shape>
        </w:pict>
      </w:r>
      <w:r>
        <w:rPr>
          <w:rFonts w:ascii="Arial" w:hAnsi="Arial"/>
          <w:color w:val="CC2D31"/>
          <w:spacing w:val="-224"/>
          <w:w w:val="267"/>
          <w:sz w:val="30"/>
        </w:rPr>
        <w:t>í</w:t>
      </w:r>
      <w:r>
        <w:rPr>
          <w:rFonts w:ascii="Arial" w:hAnsi="Arial"/>
          <w:spacing w:val="-224"/>
          <w:w w:val="133"/>
          <w:sz w:val="30"/>
        </w:rPr>
        <w:t>è</w:t>
      </w:r>
      <w:r>
        <w:rPr>
          <w:rFonts w:ascii="Arial" w:hAnsi="Arial"/>
          <w:color w:val="FFFFFF"/>
          <w:spacing w:val="-224"/>
          <w:w w:val="133"/>
          <w:sz w:val="30"/>
        </w:rPr>
        <w:t>é</w:t>
      </w:r>
      <w:r>
        <w:rPr>
          <w:rFonts w:ascii="Arial" w:hAnsi="Arial"/>
          <w:color w:val="FFFF00"/>
          <w:spacing w:val="-224"/>
          <w:w w:val="267"/>
          <w:sz w:val="30"/>
        </w:rPr>
        <w:t>ì</w:t>
      </w:r>
      <w:r>
        <w:rPr>
          <w:rFonts w:ascii="Arial" w:hAnsi="Arial"/>
          <w:color w:val="38A700"/>
          <w:spacing w:val="26"/>
          <w:w w:val="133"/>
          <w:sz w:val="30"/>
        </w:rPr>
        <w:t>ë</w:t>
      </w:r>
      <w:r>
        <w:rPr>
          <w:rFonts w:ascii="Arial" w:hAnsi="Arial"/>
          <w:color w:val="CC2D31"/>
          <w:spacing w:val="-224"/>
          <w:w w:val="267"/>
          <w:sz w:val="30"/>
        </w:rPr>
        <w:t>í</w:t>
      </w:r>
      <w:r>
        <w:rPr>
          <w:rFonts w:ascii="Arial" w:hAnsi="Arial"/>
          <w:color w:val="FFFFFF"/>
          <w:spacing w:val="-224"/>
          <w:w w:val="133"/>
          <w:sz w:val="30"/>
        </w:rPr>
        <w:t>é</w:t>
      </w:r>
      <w:r>
        <w:rPr>
          <w:rFonts w:ascii="Arial" w:hAnsi="Arial"/>
          <w:spacing w:val="-224"/>
          <w:w w:val="133"/>
          <w:sz w:val="30"/>
        </w:rPr>
        <w:t>è</w:t>
      </w:r>
      <w:r>
        <w:rPr>
          <w:rFonts w:ascii="Arial" w:hAnsi="Arial"/>
          <w:color w:val="FFFF00"/>
          <w:spacing w:val="-224"/>
          <w:w w:val="267"/>
          <w:sz w:val="30"/>
        </w:rPr>
        <w:t>ì</w:t>
      </w:r>
      <w:r>
        <w:rPr>
          <w:rFonts w:ascii="Arial" w:hAnsi="Arial"/>
          <w:color w:val="38A700"/>
          <w:w w:val="133"/>
          <w:sz w:val="30"/>
        </w:rPr>
        <w:t>ë</w:t>
      </w:r>
    </w:p>
    <w:p>
      <w:pPr>
        <w:pStyle w:val="BodyText"/>
        <w:spacing w:before="4"/>
        <w:rPr>
          <w:rFonts w:ascii="Arial"/>
          <w:sz w:val="31"/>
        </w:rPr>
      </w:pPr>
      <w:r>
        <w:rPr/>
        <w:br w:type="column"/>
      </w:r>
      <w:r>
        <w:rPr>
          <w:rFonts w:ascii="Arial"/>
          <w:sz w:val="31"/>
        </w:rPr>
      </w:r>
    </w:p>
    <w:p>
      <w:pPr>
        <w:spacing w:line="400" w:lineRule="auto" w:before="0"/>
        <w:ind w:left="312" w:right="5445" w:firstLine="16"/>
        <w:jc w:val="left"/>
        <w:rPr>
          <w:rFonts w:ascii="Arial" w:hAnsi="Arial"/>
          <w:sz w:val="30"/>
        </w:rPr>
      </w:pPr>
      <w:r>
        <w:rPr>
          <w:rFonts w:ascii="Arial" w:hAnsi="Arial"/>
          <w:color w:val="38A700"/>
          <w:spacing w:val="-224"/>
          <w:w w:val="133"/>
          <w:sz w:val="30"/>
        </w:rPr>
        <w:t>ë</w:t>
      </w:r>
      <w:r>
        <w:rPr>
          <w:rFonts w:ascii="Arial" w:hAnsi="Arial"/>
          <w:color w:val="CC2D31"/>
          <w:spacing w:val="-224"/>
          <w:w w:val="267"/>
          <w:sz w:val="30"/>
        </w:rPr>
        <w:t>í</w:t>
      </w:r>
      <w:r>
        <w:rPr>
          <w:rFonts w:ascii="Arial" w:hAnsi="Arial"/>
          <w:color w:val="FFFF00"/>
          <w:spacing w:val="-224"/>
          <w:w w:val="267"/>
          <w:sz w:val="30"/>
        </w:rPr>
        <w:t>ì</w:t>
      </w:r>
      <w:r>
        <w:rPr>
          <w:rFonts w:ascii="Arial" w:hAnsi="Arial"/>
          <w:color w:val="FFFFFF"/>
          <w:spacing w:val="-224"/>
          <w:w w:val="133"/>
          <w:sz w:val="30"/>
        </w:rPr>
        <w:t>é</w:t>
      </w:r>
      <w:r>
        <w:rPr>
          <w:rFonts w:ascii="Arial" w:hAnsi="Arial"/>
          <w:w w:val="133"/>
          <w:sz w:val="30"/>
        </w:rPr>
        <w:t>è </w:t>
      </w:r>
      <w:r>
        <w:rPr>
          <w:rFonts w:ascii="Arial" w:hAnsi="Arial"/>
          <w:color w:val="38A700"/>
          <w:spacing w:val="-224"/>
          <w:w w:val="133"/>
          <w:sz w:val="30"/>
        </w:rPr>
        <w:t>ë</w:t>
      </w:r>
      <w:r>
        <w:rPr>
          <w:rFonts w:ascii="Arial" w:hAnsi="Arial"/>
          <w:spacing w:val="-224"/>
          <w:w w:val="133"/>
          <w:sz w:val="30"/>
        </w:rPr>
        <w:t>è</w:t>
      </w:r>
      <w:r>
        <w:rPr>
          <w:rFonts w:ascii="Arial" w:hAnsi="Arial"/>
          <w:color w:val="FFFFFF"/>
          <w:spacing w:val="-224"/>
          <w:w w:val="133"/>
          <w:sz w:val="30"/>
        </w:rPr>
        <w:t>é</w:t>
      </w:r>
      <w:r>
        <w:rPr>
          <w:rFonts w:ascii="Arial" w:hAnsi="Arial"/>
          <w:color w:val="FFFF00"/>
          <w:spacing w:val="-224"/>
          <w:w w:val="267"/>
          <w:sz w:val="30"/>
        </w:rPr>
        <w:t>ì</w:t>
      </w:r>
      <w:r>
        <w:rPr>
          <w:rFonts w:ascii="Arial" w:hAnsi="Arial"/>
          <w:color w:val="CC2D31"/>
          <w:w w:val="267"/>
          <w:sz w:val="30"/>
        </w:rPr>
        <w:t>í</w:t>
      </w:r>
    </w:p>
    <w:p>
      <w:pPr>
        <w:spacing w:line="350" w:lineRule="auto" w:before="188"/>
        <w:ind w:left="274" w:right="5483" w:firstLine="16"/>
        <w:jc w:val="left"/>
        <w:rPr>
          <w:rFonts w:ascii="Arial" w:hAnsi="Arial"/>
          <w:sz w:val="30"/>
        </w:rPr>
      </w:pPr>
      <w:r>
        <w:rPr/>
        <w:pict>
          <v:shape style="position:absolute;margin-left:466.730322pt;margin-top:-38.13761pt;width:80.6pt;height:6.65pt;mso-position-horizontal-relative:page;mso-position-vertical-relative:paragraph;z-index:-267781120;rotation:272" type="#_x0000_t136" fillcolor="#4d4d4d" stroked="f">
            <o:extrusion v:ext="view" autorotationcenter="t"/>
            <v:textpath style="font-family:&quot;Century Gothic&quot;;font-size:6pt;v-text-kern:t;mso-text-shadow:auto;font-weight:bold" string="George Washington Way"/>
            <w10:wrap type="none"/>
          </v:shape>
        </w:pict>
      </w:r>
      <w:r>
        <w:rPr>
          <w:rFonts w:ascii="Arial" w:hAnsi="Arial"/>
          <w:color w:val="FFFFFF"/>
          <w:spacing w:val="-224"/>
          <w:w w:val="133"/>
          <w:sz w:val="30"/>
        </w:rPr>
        <w:t>é</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spacing w:val="-224"/>
          <w:w w:val="267"/>
          <w:sz w:val="30"/>
        </w:rPr>
        <w:t>í</w:t>
      </w:r>
      <w:r>
        <w:rPr>
          <w:rFonts w:ascii="Arial" w:hAnsi="Arial"/>
          <w:w w:val="133"/>
          <w:sz w:val="30"/>
        </w:rPr>
        <w:t>è </w:t>
      </w:r>
      <w:r>
        <w:rPr>
          <w:rFonts w:ascii="Arial" w:hAnsi="Arial"/>
          <w:color w:val="CC2D31"/>
          <w:spacing w:val="-224"/>
          <w:w w:val="267"/>
          <w:sz w:val="30"/>
        </w:rPr>
        <w:t>í</w:t>
      </w:r>
      <w:r>
        <w:rPr>
          <w:rFonts w:ascii="Arial" w:hAnsi="Arial"/>
          <w:color w:val="38A700"/>
          <w:spacing w:val="-224"/>
          <w:w w:val="133"/>
          <w:sz w:val="30"/>
        </w:rPr>
        <w:t>ë</w:t>
      </w:r>
      <w:r>
        <w:rPr>
          <w:rFonts w:ascii="Arial" w:hAnsi="Arial"/>
          <w:color w:val="FFFF00"/>
          <w:spacing w:val="-224"/>
          <w:w w:val="267"/>
          <w:sz w:val="30"/>
        </w:rPr>
        <w:t>ì</w:t>
      </w:r>
      <w:r>
        <w:rPr>
          <w:rFonts w:ascii="Arial" w:hAnsi="Arial"/>
          <w:spacing w:val="-224"/>
          <w:w w:val="133"/>
          <w:sz w:val="30"/>
        </w:rPr>
        <w:t>è</w:t>
      </w:r>
      <w:r>
        <w:rPr>
          <w:rFonts w:ascii="Arial" w:hAnsi="Arial"/>
          <w:color w:val="FFFFFF"/>
          <w:w w:val="133"/>
          <w:sz w:val="30"/>
        </w:rPr>
        <w:t>é</w:t>
      </w:r>
    </w:p>
    <w:p>
      <w:pPr>
        <w:spacing w:before="139"/>
        <w:ind w:left="246" w:right="0" w:firstLine="0"/>
        <w:jc w:val="left"/>
        <w:rPr>
          <w:rFonts w:ascii="Arial" w:hAnsi="Arial"/>
          <w:sz w:val="30"/>
        </w:rPr>
      </w:pPr>
      <w:r>
        <w:rPr>
          <w:rFonts w:ascii="Arial" w:hAnsi="Arial"/>
          <w:color w:val="CC2D31"/>
          <w:spacing w:val="-224"/>
          <w:w w:val="267"/>
          <w:sz w:val="30"/>
        </w:rPr>
        <w:t>í</w:t>
      </w:r>
      <w:r>
        <w:rPr>
          <w:rFonts w:ascii="Arial" w:hAnsi="Arial"/>
          <w:color w:val="38A700"/>
          <w:spacing w:val="-224"/>
          <w:w w:val="133"/>
          <w:sz w:val="30"/>
        </w:rPr>
        <w:t>ë</w:t>
      </w:r>
      <w:r>
        <w:rPr>
          <w:rFonts w:ascii="Arial" w:hAnsi="Arial"/>
          <w:color w:val="FFFF00"/>
          <w:spacing w:val="-224"/>
          <w:w w:val="267"/>
          <w:sz w:val="30"/>
        </w:rPr>
        <w:t>ì</w:t>
      </w:r>
      <w:r>
        <w:rPr>
          <w:rFonts w:ascii="Arial" w:hAnsi="Arial"/>
          <w:color w:val="FFFFFF"/>
          <w:spacing w:val="-224"/>
          <w:w w:val="133"/>
          <w:sz w:val="30"/>
        </w:rPr>
        <w:t>é</w:t>
      </w:r>
      <w:r>
        <w:rPr>
          <w:rFonts w:ascii="Arial" w:hAnsi="Arial"/>
          <w:w w:val="133"/>
          <w:sz w:val="30"/>
        </w:rPr>
        <w:t>è</w:t>
      </w:r>
    </w:p>
    <w:p>
      <w:pPr>
        <w:spacing w:after="0"/>
        <w:jc w:val="left"/>
        <w:rPr>
          <w:rFonts w:ascii="Arial" w:hAnsi="Arial"/>
          <w:sz w:val="30"/>
        </w:rPr>
        <w:sectPr>
          <w:type w:val="continuous"/>
          <w:pgSz w:w="15840" w:h="24480"/>
          <w:pgMar w:top="1480" w:bottom="1320" w:left="0" w:right="0"/>
          <w:cols w:num="4" w:equalWidth="0">
            <w:col w:w="8244" w:space="40"/>
            <w:col w:w="546" w:space="39"/>
            <w:col w:w="914" w:space="40"/>
            <w:col w:w="6017"/>
          </w:cols>
        </w:sectPr>
      </w:pPr>
    </w:p>
    <w:p>
      <w:pPr>
        <w:pStyle w:val="BodyText"/>
        <w:rPr>
          <w:rFonts w:ascii="Arial"/>
          <w:sz w:val="26"/>
        </w:rPr>
      </w:pPr>
    </w:p>
    <w:p>
      <w:pPr>
        <w:spacing w:line="193" w:lineRule="exact" w:before="209"/>
        <w:ind w:left="2243" w:right="0" w:firstLine="0"/>
        <w:jc w:val="left"/>
        <w:rPr>
          <w:rFonts w:ascii="Arial"/>
          <w:sz w:val="24"/>
        </w:rPr>
      </w:pPr>
      <w:r>
        <w:rPr>
          <w:rFonts w:ascii="Arial"/>
          <w:emboss/>
          <w:color w:val="757576"/>
          <w:sz w:val="24"/>
        </w:rPr>
        <w:t>W</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s</w:t>
      </w:r>
      <w:r>
        <w:rPr>
          <w:rFonts w:ascii="Arial"/>
          <w:shadow w:val="0"/>
          <w:color w:val="757576"/>
          <w:sz w:val="24"/>
        </w:rPr>
        <w:t> </w:t>
      </w:r>
      <w:r>
        <w:rPr>
          <w:rFonts w:ascii="Arial"/>
          <w:emboss/>
          <w:color w:val="757576"/>
          <w:sz w:val="24"/>
        </w:rPr>
        <w:t>t</w:t>
      </w:r>
      <w:r>
        <w:rPr>
          <w:rFonts w:ascii="Arial"/>
          <w:shadow w:val="0"/>
          <w:color w:val="757576"/>
          <w:sz w:val="24"/>
        </w:rPr>
        <w:t> </w:t>
      </w:r>
      <w:r>
        <w:rPr>
          <w:rFonts w:ascii="Arial"/>
          <w:emboss/>
          <w:color w:val="757576"/>
          <w:sz w:val="24"/>
        </w:rPr>
        <w:t>R</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h</w:t>
      </w:r>
      <w:r>
        <w:rPr>
          <w:rFonts w:ascii="Arial"/>
          <w:shadow w:val="0"/>
          <w:color w:val="757576"/>
          <w:sz w:val="24"/>
        </w:rPr>
        <w:t> </w:t>
      </w:r>
      <w:r>
        <w:rPr>
          <w:rFonts w:ascii="Arial"/>
          <w:emboss/>
          <w:color w:val="757576"/>
          <w:sz w:val="24"/>
        </w:rPr>
        <w:t>l</w:t>
      </w:r>
      <w:r>
        <w:rPr>
          <w:rFonts w:ascii="Arial"/>
          <w:shadow w:val="0"/>
          <w:color w:val="757576"/>
          <w:sz w:val="24"/>
        </w:rPr>
        <w:t> </w:t>
      </w:r>
      <w:r>
        <w:rPr>
          <w:rFonts w:ascii="Arial"/>
          <w:emboss/>
          <w:color w:val="757576"/>
          <w:sz w:val="24"/>
        </w:rPr>
        <w:t>a</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d</w:t>
      </w:r>
    </w:p>
    <w:p>
      <w:pPr>
        <w:pStyle w:val="BodyText"/>
        <w:spacing w:before="6"/>
        <w:rPr>
          <w:rFonts w:ascii="Arial"/>
          <w:sz w:val="26"/>
        </w:rPr>
      </w:pPr>
      <w:r>
        <w:rPr/>
        <w:br w:type="column"/>
      </w:r>
      <w:r>
        <w:rPr>
          <w:rFonts w:ascii="Arial"/>
          <w:sz w:val="26"/>
        </w:rPr>
      </w:r>
    </w:p>
    <w:p>
      <w:pPr>
        <w:spacing w:before="0"/>
        <w:ind w:left="0" w:right="0" w:firstLine="0"/>
        <w:jc w:val="right"/>
        <w:rPr>
          <w:rFonts w:ascii="Arial"/>
          <w:sz w:val="28"/>
        </w:rPr>
      </w:pPr>
      <w:r>
        <w:rPr/>
        <w:pict>
          <v:shape style="position:absolute;margin-left:328.539368pt;margin-top:-35.207638pt;width:10.25pt;height:30.8pt;mso-position-horizontal-relative:page;mso-position-vertical-relative:paragraph;z-index:252242944"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Jones Rd</w:t>
                  </w:r>
                </w:p>
              </w:txbxContent>
            </v:textbox>
            <w10:wrap type="none"/>
          </v:shape>
        </w:pict>
      </w:r>
      <w:r>
        <w:rPr>
          <w:rFonts w:ascii="Arial"/>
          <w:color w:val="FFFFFF"/>
          <w:spacing w:val="-226"/>
          <w:w w:val="290"/>
          <w:sz w:val="28"/>
        </w:rPr>
        <w:t>!</w:t>
      </w:r>
      <w:r>
        <w:rPr>
          <w:rFonts w:ascii="Arial"/>
          <w:color w:val="CC2D31"/>
          <w:spacing w:val="-226"/>
          <w:w w:val="227"/>
          <w:sz w:val="28"/>
        </w:rPr>
        <w:t>"</w:t>
      </w:r>
      <w:r>
        <w:rPr>
          <w:rFonts w:ascii="Arial"/>
          <w:color w:val="FFFFFF"/>
          <w:w w:val="145"/>
          <w:sz w:val="28"/>
        </w:rPr>
        <w:t>$</w:t>
      </w:r>
    </w:p>
    <w:p>
      <w:pPr>
        <w:pStyle w:val="BodyText"/>
        <w:rPr>
          <w:rFonts w:ascii="Arial"/>
          <w:sz w:val="30"/>
        </w:rPr>
      </w:pPr>
      <w:r>
        <w:rPr/>
        <w:br w:type="column"/>
      </w:r>
      <w:r>
        <w:rPr>
          <w:rFonts w:ascii="Arial"/>
          <w:sz w:val="30"/>
        </w:rPr>
      </w:r>
    </w:p>
    <w:p>
      <w:pPr>
        <w:spacing w:before="1"/>
        <w:ind w:left="849" w:right="0" w:firstLine="0"/>
        <w:jc w:val="left"/>
        <w:rPr>
          <w:rFonts w:ascii="Century Gothic" w:hAnsi="Century Gothic"/>
          <w:b/>
          <w:sz w:val="13"/>
        </w:rPr>
      </w:pPr>
      <w:r>
        <w:rPr>
          <w:rFonts w:ascii="Century Gothic" w:hAnsi="Century Gothic"/>
          <w:b/>
          <w:color w:val="4D4D4D"/>
          <w:spacing w:val="-6"/>
          <w:w w:val="102"/>
          <w:sz w:val="13"/>
        </w:rPr>
        <w:t>V</w:t>
      </w:r>
      <w:r>
        <w:rPr>
          <w:rFonts w:ascii="Century Gothic" w:hAnsi="Century Gothic"/>
          <w:b/>
          <w:color w:val="4D4D4D"/>
          <w:spacing w:val="-38"/>
          <w:w w:val="102"/>
          <w:sz w:val="13"/>
        </w:rPr>
        <w:t>a</w:t>
      </w:r>
      <w:r>
        <w:rPr>
          <w:rFonts w:ascii="Arial" w:hAnsi="Arial"/>
          <w:spacing w:val="-224"/>
          <w:w w:val="133"/>
          <w:position w:val="-15"/>
          <w:sz w:val="30"/>
        </w:rPr>
        <w:t>è</w:t>
      </w:r>
      <w:r>
        <w:rPr>
          <w:rFonts w:ascii="Arial" w:hAnsi="Arial"/>
          <w:color w:val="FFFFFF"/>
          <w:spacing w:val="-224"/>
          <w:w w:val="133"/>
          <w:position w:val="-15"/>
          <w:sz w:val="30"/>
        </w:rPr>
        <w:t>é</w:t>
      </w:r>
      <w:r>
        <w:rPr>
          <w:rFonts w:ascii="Arial" w:hAnsi="Arial"/>
          <w:color w:val="FFFF00"/>
          <w:spacing w:val="-224"/>
          <w:w w:val="267"/>
          <w:position w:val="-15"/>
          <w:sz w:val="30"/>
        </w:rPr>
        <w:t>ì</w:t>
      </w:r>
      <w:r>
        <w:rPr>
          <w:rFonts w:ascii="Arial" w:hAnsi="Arial"/>
          <w:color w:val="38A700"/>
          <w:spacing w:val="-224"/>
          <w:w w:val="133"/>
          <w:position w:val="-15"/>
          <w:sz w:val="30"/>
        </w:rPr>
        <w:t>ë</w:t>
      </w:r>
      <w:r>
        <w:rPr>
          <w:rFonts w:ascii="Arial" w:hAnsi="Arial"/>
          <w:color w:val="CC2D31"/>
          <w:spacing w:val="-185"/>
          <w:w w:val="267"/>
          <w:position w:val="-15"/>
          <w:sz w:val="30"/>
        </w:rPr>
        <w:t>í</w:t>
      </w:r>
      <w:r>
        <w:rPr>
          <w:rFonts w:ascii="Century Gothic" w:hAnsi="Century Gothic"/>
          <w:b/>
          <w:color w:val="4D4D4D"/>
          <w:w w:val="102"/>
          <w:sz w:val="13"/>
        </w:rPr>
        <w:t>n</w:t>
      </w:r>
      <w:r>
        <w:rPr>
          <w:rFonts w:ascii="Century Gothic" w:hAnsi="Century Gothic"/>
          <w:b/>
          <w:color w:val="4D4D4D"/>
          <w:spacing w:val="5"/>
          <w:sz w:val="13"/>
        </w:rPr>
        <w:t> </w:t>
      </w:r>
      <w:r>
        <w:rPr>
          <w:rFonts w:ascii="Century Gothic" w:hAnsi="Century Gothic"/>
          <w:b/>
          <w:color w:val="4D4D4D"/>
          <w:spacing w:val="-2"/>
          <w:w w:val="102"/>
          <w:sz w:val="13"/>
        </w:rPr>
        <w:t>G</w:t>
      </w:r>
      <w:r>
        <w:rPr>
          <w:rFonts w:ascii="Century Gothic" w:hAnsi="Century Gothic"/>
          <w:b/>
          <w:color w:val="4D4D4D"/>
          <w:w w:val="102"/>
          <w:sz w:val="13"/>
        </w:rPr>
        <w:t>i</w:t>
      </w:r>
      <w:r>
        <w:rPr>
          <w:rFonts w:ascii="Century Gothic" w:hAnsi="Century Gothic"/>
          <w:b/>
          <w:color w:val="4D4D4D"/>
          <w:spacing w:val="-3"/>
          <w:w w:val="102"/>
          <w:sz w:val="13"/>
        </w:rPr>
        <w:t>e</w:t>
      </w:r>
      <w:r>
        <w:rPr>
          <w:rFonts w:ascii="Century Gothic" w:hAnsi="Century Gothic"/>
          <w:b/>
          <w:color w:val="4D4D4D"/>
          <w:spacing w:val="1"/>
          <w:w w:val="102"/>
          <w:sz w:val="13"/>
        </w:rPr>
        <w:t>s</w:t>
      </w:r>
      <w:r>
        <w:rPr>
          <w:rFonts w:ascii="Century Gothic" w:hAnsi="Century Gothic"/>
          <w:b/>
          <w:color w:val="4D4D4D"/>
          <w:spacing w:val="-30"/>
          <w:w w:val="102"/>
          <w:sz w:val="13"/>
        </w:rPr>
        <w:t>e</w:t>
      </w:r>
      <w:r>
        <w:rPr>
          <w:rFonts w:ascii="Arial" w:hAnsi="Arial"/>
          <w:color w:val="FFFFFF"/>
          <w:spacing w:val="-224"/>
          <w:w w:val="133"/>
          <w:position w:val="-15"/>
          <w:sz w:val="30"/>
        </w:rPr>
        <w:t>é</w:t>
      </w:r>
      <w:r>
        <w:rPr>
          <w:rFonts w:ascii="Arial" w:hAnsi="Arial"/>
          <w:color w:val="FFFF00"/>
          <w:spacing w:val="-224"/>
          <w:w w:val="267"/>
          <w:position w:val="-15"/>
          <w:sz w:val="30"/>
        </w:rPr>
        <w:t>ì</w:t>
      </w:r>
      <w:r>
        <w:rPr>
          <w:rFonts w:ascii="Arial" w:hAnsi="Arial"/>
          <w:color w:val="38A700"/>
          <w:spacing w:val="-224"/>
          <w:w w:val="133"/>
          <w:position w:val="-15"/>
          <w:sz w:val="30"/>
        </w:rPr>
        <w:t>ë</w:t>
      </w:r>
      <w:r>
        <w:rPr>
          <w:rFonts w:ascii="Arial" w:hAnsi="Arial"/>
          <w:color w:val="CC2D31"/>
          <w:spacing w:val="-224"/>
          <w:w w:val="267"/>
          <w:position w:val="-15"/>
          <w:sz w:val="30"/>
        </w:rPr>
        <w:t>í</w:t>
      </w:r>
      <w:r>
        <w:rPr>
          <w:rFonts w:ascii="Arial" w:hAnsi="Arial"/>
          <w:spacing w:val="-197"/>
          <w:w w:val="133"/>
          <w:position w:val="-15"/>
          <w:sz w:val="30"/>
        </w:rPr>
        <w:t>è</w:t>
      </w:r>
      <w:r>
        <w:rPr>
          <w:rFonts w:ascii="Century Gothic" w:hAnsi="Century Gothic"/>
          <w:b/>
          <w:color w:val="4D4D4D"/>
          <w:w w:val="102"/>
          <w:sz w:val="13"/>
        </w:rPr>
        <w:t>n</w:t>
      </w:r>
      <w:r>
        <w:rPr>
          <w:rFonts w:ascii="Century Gothic" w:hAnsi="Century Gothic"/>
          <w:b/>
          <w:color w:val="4D4D4D"/>
          <w:spacing w:val="-1"/>
          <w:sz w:val="13"/>
        </w:rPr>
        <w:t> </w:t>
      </w:r>
      <w:r>
        <w:rPr>
          <w:rFonts w:ascii="Century Gothic" w:hAnsi="Century Gothic"/>
          <w:b/>
          <w:color w:val="4D4D4D"/>
          <w:spacing w:val="2"/>
          <w:w w:val="102"/>
          <w:sz w:val="13"/>
        </w:rPr>
        <w:t>S</w:t>
      </w:r>
      <w:r>
        <w:rPr>
          <w:rFonts w:ascii="Century Gothic" w:hAnsi="Century Gothic"/>
          <w:b/>
          <w:color w:val="4D4D4D"/>
          <w:w w:val="102"/>
          <w:sz w:val="13"/>
        </w:rPr>
        <w:t>t</w:t>
      </w:r>
    </w:p>
    <w:p>
      <w:pPr>
        <w:pStyle w:val="BodyText"/>
        <w:spacing w:before="4"/>
        <w:rPr>
          <w:rFonts w:ascii="Century Gothic"/>
          <w:b/>
          <w:sz w:val="29"/>
        </w:rPr>
      </w:pPr>
      <w:r>
        <w:rPr/>
        <w:br w:type="column"/>
      </w:r>
      <w:r>
        <w:rPr>
          <w:rFonts w:ascii="Century Gothic"/>
          <w:b/>
          <w:sz w:val="29"/>
        </w:rPr>
      </w:r>
    </w:p>
    <w:p>
      <w:pPr>
        <w:spacing w:before="1"/>
        <w:ind w:left="244" w:right="0" w:firstLine="0"/>
        <w:jc w:val="left"/>
        <w:rPr>
          <w:rFonts w:ascii="Arial"/>
          <w:sz w:val="28"/>
        </w:rPr>
      </w:pPr>
      <w:r>
        <w:rPr>
          <w:rFonts w:ascii="Arial"/>
          <w:color w:val="FFFFFF"/>
          <w:spacing w:val="-226"/>
          <w:w w:val="290"/>
          <w:sz w:val="28"/>
        </w:rPr>
        <w:t>!</w:t>
      </w:r>
      <w:r>
        <w:rPr>
          <w:rFonts w:ascii="Arial"/>
          <w:color w:val="CC2D31"/>
          <w:spacing w:val="-226"/>
          <w:w w:val="227"/>
          <w:sz w:val="28"/>
        </w:rPr>
        <w:t>"</w:t>
      </w:r>
      <w:r>
        <w:rPr>
          <w:rFonts w:ascii="Arial"/>
          <w:color w:val="FFFFFF"/>
          <w:w w:val="145"/>
          <w:sz w:val="28"/>
        </w:rPr>
        <w:t>$</w:t>
      </w:r>
    </w:p>
    <w:p>
      <w:pPr>
        <w:pStyle w:val="BodyText"/>
        <w:spacing w:before="2"/>
        <w:rPr>
          <w:rFonts w:ascii="Arial"/>
          <w:sz w:val="30"/>
        </w:rPr>
      </w:pPr>
      <w:r>
        <w:rPr/>
        <w:br w:type="column"/>
      </w:r>
      <w:r>
        <w:rPr>
          <w:rFonts w:ascii="Arial"/>
          <w:sz w:val="30"/>
        </w:rPr>
      </w:r>
    </w:p>
    <w:p>
      <w:pPr>
        <w:spacing w:before="0"/>
        <w:ind w:left="118" w:right="0" w:firstLine="0"/>
        <w:jc w:val="left"/>
        <w:rPr>
          <w:rFonts w:ascii="Arial" w:hAnsi="Arial"/>
          <w:sz w:val="30"/>
        </w:rPr>
      </w:pPr>
      <w:r>
        <w:rPr>
          <w:rFonts w:ascii="Arial" w:hAnsi="Arial"/>
          <w:color w:val="FFFFFF"/>
          <w:spacing w:val="-224"/>
          <w:w w:val="133"/>
          <w:sz w:val="30"/>
        </w:rPr>
        <w:t>é</w:t>
      </w:r>
      <w:r>
        <w:rPr>
          <w:rFonts w:ascii="Arial" w:hAnsi="Arial"/>
          <w:color w:val="38A700"/>
          <w:spacing w:val="-224"/>
          <w:w w:val="133"/>
          <w:sz w:val="30"/>
        </w:rPr>
        <w:t>ë</w:t>
      </w:r>
      <w:r>
        <w:rPr>
          <w:rFonts w:ascii="Arial" w:hAnsi="Arial"/>
          <w:color w:val="CC2D31"/>
          <w:spacing w:val="-224"/>
          <w:w w:val="267"/>
          <w:sz w:val="30"/>
        </w:rPr>
        <w:t>í</w:t>
      </w:r>
      <w:r>
        <w:rPr>
          <w:rFonts w:ascii="Arial" w:hAnsi="Arial"/>
          <w:spacing w:val="-224"/>
          <w:w w:val="133"/>
          <w:sz w:val="30"/>
        </w:rPr>
        <w:t>è</w:t>
      </w:r>
      <w:r>
        <w:rPr>
          <w:rFonts w:ascii="Arial" w:hAnsi="Arial"/>
          <w:color w:val="FFFF00"/>
          <w:w w:val="267"/>
          <w:sz w:val="30"/>
        </w:rPr>
        <w:t>ì</w:t>
      </w:r>
    </w:p>
    <w:p>
      <w:pPr>
        <w:pStyle w:val="BodyText"/>
        <w:spacing w:before="11"/>
        <w:rPr>
          <w:rFonts w:ascii="Arial"/>
          <w:sz w:val="25"/>
        </w:rPr>
      </w:pPr>
      <w:r>
        <w:rPr/>
        <w:br w:type="column"/>
      </w:r>
      <w:r>
        <w:rPr>
          <w:rFonts w:ascii="Arial"/>
          <w:sz w:val="25"/>
        </w:rPr>
      </w:r>
    </w:p>
    <w:p>
      <w:pPr>
        <w:spacing w:line="158" w:lineRule="auto" w:before="0"/>
        <w:ind w:left="202" w:right="-20" w:hanging="100"/>
        <w:jc w:val="left"/>
        <w:rPr>
          <w:rFonts w:ascii="Arial" w:hAnsi="Arial"/>
          <w:sz w:val="30"/>
        </w:rPr>
      </w:pPr>
      <w:r>
        <w:rPr>
          <w:rFonts w:ascii="Arial" w:hAnsi="Arial"/>
          <w:spacing w:val="-224"/>
          <w:w w:val="133"/>
          <w:sz w:val="30"/>
        </w:rPr>
        <w:t>è</w:t>
      </w:r>
      <w:r>
        <w:rPr>
          <w:rFonts w:ascii="Arial" w:hAnsi="Arial"/>
          <w:color w:val="FFFFFF"/>
          <w:spacing w:val="-224"/>
          <w:w w:val="133"/>
          <w:sz w:val="30"/>
        </w:rPr>
        <w:t>é</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w w:val="267"/>
          <w:sz w:val="30"/>
        </w:rPr>
        <w:t>í </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spacing w:val="-224"/>
          <w:w w:val="267"/>
          <w:sz w:val="30"/>
        </w:rPr>
        <w:t>í</w:t>
      </w:r>
      <w:r>
        <w:rPr>
          <w:rFonts w:ascii="Arial" w:hAnsi="Arial"/>
          <w:spacing w:val="-224"/>
          <w:w w:val="133"/>
          <w:sz w:val="30"/>
        </w:rPr>
        <w:t>è</w:t>
      </w:r>
      <w:r>
        <w:rPr>
          <w:rFonts w:ascii="Arial" w:hAnsi="Arial"/>
          <w:color w:val="FFFFFF"/>
          <w:spacing w:val="-146"/>
          <w:w w:val="133"/>
          <w:sz w:val="30"/>
        </w:rPr>
        <w:t>é</w:t>
      </w:r>
    </w:p>
    <w:p>
      <w:pPr>
        <w:spacing w:line="54" w:lineRule="exact" w:before="0"/>
        <w:ind w:left="0" w:right="43" w:firstLine="0"/>
        <w:jc w:val="right"/>
        <w:rPr>
          <w:rFonts w:ascii="Arial" w:hAnsi="Arial"/>
          <w:sz w:val="30"/>
        </w:rPr>
      </w:pPr>
      <w:r>
        <w:rPr/>
        <w:pict>
          <v:shape style="position:absolute;margin-left:478.482635pt;margin-top:-15.979324pt;width:37.9pt;height:6.65pt;mso-position-horizontal-relative:page;mso-position-vertical-relative:paragraph;z-index:252238848;rotation:69" type="#_x0000_t136" fillcolor="#4d4d4d" stroked="f">
            <o:extrusion v:ext="view" autorotationcenter="t"/>
            <v:textpath style="font-family:&quot;Century Gothic&quot;;font-size:6pt;v-text-kern:t;mso-text-shadow:auto;font-weight:bold" string="Jadwin Ave"/>
            <w10:wrap type="none"/>
          </v:shape>
        </w:pict>
      </w:r>
      <w:r>
        <w:rPr>
          <w:rFonts w:ascii="Arial" w:hAnsi="Arial"/>
          <w:color w:val="FFFFFF"/>
          <w:spacing w:val="-224"/>
          <w:w w:val="133"/>
          <w:sz w:val="30"/>
        </w:rPr>
        <w:t>é</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spacing w:val="-224"/>
          <w:w w:val="267"/>
          <w:sz w:val="30"/>
        </w:rPr>
        <w:t>í</w:t>
      </w:r>
    </w:p>
    <w:p>
      <w:pPr>
        <w:spacing w:line="480" w:lineRule="atLeast" w:before="46"/>
        <w:ind w:left="141" w:right="5505" w:hanging="12"/>
        <w:jc w:val="left"/>
        <w:rPr>
          <w:rFonts w:ascii="Arial" w:hAnsi="Arial"/>
          <w:sz w:val="30"/>
        </w:rPr>
      </w:pPr>
      <w:r>
        <w:rPr/>
        <w:br w:type="column"/>
      </w:r>
      <w:r>
        <w:rPr>
          <w:rFonts w:ascii="Arial" w:hAnsi="Arial"/>
          <w:color w:val="CC2D31"/>
          <w:spacing w:val="-224"/>
          <w:w w:val="267"/>
          <w:sz w:val="30"/>
        </w:rPr>
        <w:t>í</w:t>
      </w:r>
      <w:r>
        <w:rPr>
          <w:rFonts w:ascii="Arial" w:hAnsi="Arial"/>
          <w:spacing w:val="-224"/>
          <w:w w:val="133"/>
          <w:sz w:val="30"/>
        </w:rPr>
        <w:t>è</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FFFFFF"/>
          <w:w w:val="133"/>
          <w:sz w:val="30"/>
        </w:rPr>
        <w:t>é </w:t>
      </w:r>
      <w:r>
        <w:rPr>
          <w:rFonts w:ascii="Arial" w:hAnsi="Arial"/>
          <w:color w:val="FFFFFF"/>
          <w:spacing w:val="-224"/>
          <w:w w:val="133"/>
          <w:sz w:val="30"/>
        </w:rPr>
        <w:t>é</w:t>
      </w:r>
      <w:r>
        <w:rPr>
          <w:rFonts w:ascii="Arial" w:hAnsi="Arial"/>
          <w:spacing w:val="-224"/>
          <w:w w:val="133"/>
          <w:sz w:val="30"/>
        </w:rPr>
        <w:t>è</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w w:val="267"/>
          <w:sz w:val="30"/>
        </w:rPr>
        <w:t>í</w:t>
      </w:r>
    </w:p>
    <w:p>
      <w:pPr>
        <w:spacing w:after="0" w:line="480" w:lineRule="atLeast"/>
        <w:jc w:val="left"/>
        <w:rPr>
          <w:rFonts w:ascii="Arial" w:hAnsi="Arial"/>
          <w:sz w:val="30"/>
        </w:rPr>
        <w:sectPr>
          <w:type w:val="continuous"/>
          <w:pgSz w:w="15840" w:h="24480"/>
          <w:pgMar w:top="1480" w:bottom="1320" w:left="0" w:right="0"/>
          <w:cols w:num="7" w:equalWidth="0">
            <w:col w:w="4497" w:space="40"/>
            <w:col w:w="2328" w:space="39"/>
            <w:col w:w="1749" w:space="40"/>
            <w:col w:w="471" w:space="39"/>
            <w:col w:w="343" w:space="39"/>
            <w:col w:w="326" w:space="39"/>
            <w:col w:w="5890"/>
          </w:cols>
        </w:sectPr>
      </w:pPr>
    </w:p>
    <w:p>
      <w:pPr>
        <w:spacing w:before="75"/>
        <w:ind w:left="0" w:right="0" w:firstLine="0"/>
        <w:jc w:val="right"/>
        <w:rPr>
          <w:rFonts w:ascii="Century Gothic" w:hAnsi="Century Gothic"/>
          <w:b/>
          <w:sz w:val="13"/>
        </w:rPr>
      </w:pPr>
      <w:r>
        <w:rPr/>
        <w:pict>
          <v:shape style="position:absolute;margin-left:414.476715pt;margin-top:-2.811538pt;width:10.65pt;height:36.85pt;mso-position-horizontal-relative:page;mso-position-vertical-relative:paragraph;z-index:252246016" type="#_x0000_t202" filled="false" stroked="false">
            <v:textbox inset="0,0,0,0" style="layout-flow:vertical;mso-layout-flow-alt:bottom-to-top">
              <w:txbxContent>
                <w:p>
                  <w:pPr>
                    <w:spacing w:before="22"/>
                    <w:ind w:left="20" w:right="0" w:firstLine="0"/>
                    <w:jc w:val="left"/>
                    <w:rPr>
                      <w:rFonts w:ascii="Century Gothic"/>
                      <w:b/>
                      <w:sz w:val="13"/>
                    </w:rPr>
                  </w:pPr>
                  <w:r>
                    <w:rPr>
                      <w:rFonts w:ascii="Century Gothic"/>
                      <w:b/>
                      <w:color w:val="4D4D4D"/>
                      <w:sz w:val="13"/>
                    </w:rPr>
                    <w:t>Wrigh</w:t>
                  </w:r>
                  <w:r>
                    <w:rPr>
                      <w:rFonts w:ascii="Century Gothic"/>
                      <w:b/>
                      <w:color w:val="4D4D4D"/>
                      <w:position w:val="1"/>
                      <w:sz w:val="13"/>
                    </w:rPr>
                    <w:t>t Ave</w:t>
                  </w:r>
                </w:p>
              </w:txbxContent>
            </v:textbox>
            <w10:wrap type="none"/>
          </v:shape>
        </w:pict>
      </w:r>
      <w:r>
        <w:rPr>
          <w:rFonts w:ascii="Century Gothic" w:hAnsi="Century Gothic"/>
          <w:b/>
          <w:color w:val="4D4D4D"/>
          <w:spacing w:val="-6"/>
          <w:w w:val="102"/>
          <w:sz w:val="13"/>
        </w:rPr>
        <w:t>W</w:t>
      </w:r>
      <w:r>
        <w:rPr>
          <w:rFonts w:ascii="Century Gothic" w:hAnsi="Century Gothic"/>
          <w:b/>
          <w:color w:val="4D4D4D"/>
          <w:spacing w:val="-1"/>
          <w:w w:val="102"/>
          <w:sz w:val="13"/>
        </w:rPr>
        <w:t>ill</w:t>
      </w:r>
      <w:r>
        <w:rPr>
          <w:rFonts w:ascii="Century Gothic" w:hAnsi="Century Gothic"/>
          <w:b/>
          <w:color w:val="4D4D4D"/>
          <w:spacing w:val="-7"/>
          <w:w w:val="102"/>
          <w:sz w:val="13"/>
        </w:rPr>
        <w:t>i</w:t>
      </w:r>
      <w:r>
        <w:rPr>
          <w:rFonts w:ascii="Century Gothic" w:hAnsi="Century Gothic"/>
          <w:b/>
          <w:color w:val="4D4D4D"/>
          <w:spacing w:val="-2"/>
          <w:w w:val="102"/>
          <w:sz w:val="13"/>
        </w:rPr>
        <w:t>am</w:t>
      </w:r>
      <w:r>
        <w:rPr>
          <w:rFonts w:ascii="Century Gothic" w:hAnsi="Century Gothic"/>
          <w:b/>
          <w:color w:val="4D4D4D"/>
          <w:spacing w:val="-41"/>
          <w:w w:val="102"/>
          <w:position w:val="1"/>
          <w:sz w:val="13"/>
        </w:rPr>
        <w:t>s</w:t>
      </w:r>
      <w:r>
        <w:rPr>
          <w:rFonts w:ascii="Arial" w:hAnsi="Arial"/>
          <w:color w:val="38A700"/>
          <w:spacing w:val="-224"/>
          <w:w w:val="133"/>
          <w:position w:val="-16"/>
          <w:sz w:val="30"/>
        </w:rPr>
        <w:t>ë</w:t>
      </w:r>
      <w:r>
        <w:rPr>
          <w:rFonts w:ascii="Arial" w:hAnsi="Arial"/>
          <w:color w:val="FFFF00"/>
          <w:spacing w:val="-224"/>
          <w:w w:val="267"/>
          <w:position w:val="-16"/>
          <w:sz w:val="30"/>
        </w:rPr>
        <w:t>ì</w:t>
      </w:r>
      <w:r>
        <w:rPr>
          <w:rFonts w:ascii="Arial" w:hAnsi="Arial"/>
          <w:spacing w:val="-224"/>
          <w:w w:val="133"/>
          <w:position w:val="-16"/>
          <w:sz w:val="30"/>
        </w:rPr>
        <w:t>è</w:t>
      </w:r>
      <w:r>
        <w:rPr>
          <w:rFonts w:ascii="Arial" w:hAnsi="Arial"/>
          <w:color w:val="FFFFFF"/>
          <w:spacing w:val="-224"/>
          <w:w w:val="133"/>
          <w:position w:val="-16"/>
          <w:sz w:val="30"/>
        </w:rPr>
        <w:t>é</w:t>
      </w:r>
      <w:r>
        <w:rPr>
          <w:rFonts w:ascii="Arial" w:hAnsi="Arial"/>
          <w:color w:val="CC2D31"/>
          <w:spacing w:val="-148"/>
          <w:w w:val="267"/>
          <w:position w:val="-16"/>
          <w:sz w:val="30"/>
        </w:rPr>
        <w:t>í</w:t>
      </w:r>
      <w:r>
        <w:rPr>
          <w:rFonts w:ascii="Century Gothic" w:hAnsi="Century Gothic"/>
          <w:b/>
          <w:color w:val="4D4D4D"/>
          <w:spacing w:val="-2"/>
          <w:w w:val="102"/>
          <w:position w:val="1"/>
          <w:sz w:val="13"/>
        </w:rPr>
        <w:t>B</w:t>
      </w:r>
      <w:r>
        <w:rPr>
          <w:rFonts w:ascii="Century Gothic" w:hAnsi="Century Gothic"/>
          <w:b/>
          <w:color w:val="4D4D4D"/>
          <w:spacing w:val="-1"/>
          <w:w w:val="102"/>
          <w:position w:val="1"/>
          <w:sz w:val="13"/>
        </w:rPr>
        <w:t>l</w:t>
      </w:r>
      <w:r>
        <w:rPr>
          <w:rFonts w:ascii="Century Gothic" w:hAnsi="Century Gothic"/>
          <w:b/>
          <w:color w:val="4D4D4D"/>
          <w:spacing w:val="1"/>
          <w:w w:val="102"/>
          <w:position w:val="1"/>
          <w:sz w:val="13"/>
        </w:rPr>
        <w:t>v</w:t>
      </w:r>
      <w:r>
        <w:rPr>
          <w:rFonts w:ascii="Century Gothic" w:hAnsi="Century Gothic"/>
          <w:b/>
          <w:color w:val="4D4D4D"/>
          <w:w w:val="102"/>
          <w:position w:val="1"/>
          <w:sz w:val="13"/>
        </w:rPr>
        <w:t>d</w:t>
      </w:r>
    </w:p>
    <w:p>
      <w:pPr>
        <w:spacing w:line="57" w:lineRule="exact" w:before="0"/>
        <w:ind w:left="143" w:right="0" w:firstLine="0"/>
        <w:jc w:val="left"/>
        <w:rPr>
          <w:rFonts w:ascii="Arial" w:hAnsi="Arial"/>
          <w:sz w:val="30"/>
        </w:rPr>
      </w:pPr>
      <w:r>
        <w:rPr/>
        <w:br w:type="column"/>
      </w:r>
      <w:r>
        <w:rPr>
          <w:rFonts w:ascii="Arial" w:hAnsi="Arial"/>
          <w:w w:val="135"/>
          <w:sz w:val="30"/>
        </w:rPr>
        <w:t>è</w:t>
      </w:r>
    </w:p>
    <w:p>
      <w:pPr>
        <w:pStyle w:val="Heading9"/>
        <w:spacing w:before="37"/>
        <w:ind w:left="116"/>
      </w:pPr>
      <w:r>
        <w:rPr>
          <w:color w:val="38A700"/>
          <w:spacing w:val="-224"/>
          <w:w w:val="133"/>
        </w:rPr>
        <w:t>ë</w:t>
      </w:r>
      <w:r>
        <w:rPr>
          <w:color w:val="FFFF00"/>
          <w:spacing w:val="-224"/>
          <w:w w:val="267"/>
        </w:rPr>
        <w:t>ì</w:t>
      </w:r>
      <w:r>
        <w:rPr>
          <w:color w:val="FFFFFF"/>
          <w:spacing w:val="-224"/>
          <w:w w:val="133"/>
        </w:rPr>
        <w:t>é</w:t>
      </w:r>
      <w:r>
        <w:rPr>
          <w:color w:val="CC2D31"/>
          <w:spacing w:val="-224"/>
          <w:w w:val="267"/>
        </w:rPr>
        <w:t>í</w:t>
      </w:r>
      <w:r>
        <w:rPr>
          <w:w w:val="133"/>
        </w:rPr>
        <w:t>è</w:t>
      </w:r>
      <w:r>
        <w:rPr>
          <w:spacing w:val="-41"/>
        </w:rPr>
        <w:t> </w:t>
      </w:r>
      <w:r>
        <w:rPr>
          <w:spacing w:val="-224"/>
          <w:w w:val="133"/>
        </w:rPr>
        <w:t>è</w:t>
      </w:r>
      <w:r>
        <w:rPr>
          <w:color w:val="CC2D31"/>
          <w:spacing w:val="-224"/>
          <w:w w:val="267"/>
        </w:rPr>
        <w:t>í</w:t>
      </w:r>
      <w:r>
        <w:rPr>
          <w:color w:val="38A700"/>
          <w:spacing w:val="-224"/>
          <w:w w:val="133"/>
        </w:rPr>
        <w:t>ë</w:t>
      </w:r>
      <w:r>
        <w:rPr>
          <w:color w:val="FFFF00"/>
          <w:spacing w:val="-224"/>
          <w:w w:val="267"/>
        </w:rPr>
        <w:t>ì</w:t>
      </w:r>
      <w:r>
        <w:rPr>
          <w:color w:val="FFFFFF"/>
          <w:w w:val="133"/>
        </w:rPr>
        <w:t>é</w:t>
      </w:r>
    </w:p>
    <w:p>
      <w:pPr>
        <w:spacing w:after="0"/>
        <w:sectPr>
          <w:type w:val="continuous"/>
          <w:pgSz w:w="15840" w:h="24480"/>
          <w:pgMar w:top="1480" w:bottom="1320" w:left="0" w:right="0"/>
          <w:cols w:num="2" w:equalWidth="0">
            <w:col w:w="9681" w:space="40"/>
            <w:col w:w="6119"/>
          </w:cols>
        </w:sectPr>
      </w:pPr>
    </w:p>
    <w:p>
      <w:pPr>
        <w:pStyle w:val="BodyText"/>
        <w:spacing w:before="7"/>
        <w:rPr>
          <w:rFonts w:ascii="Arial"/>
          <w:sz w:val="28"/>
        </w:rPr>
      </w:pPr>
    </w:p>
    <w:p>
      <w:pPr>
        <w:spacing w:before="0"/>
        <w:ind w:left="0" w:right="-15" w:firstLine="0"/>
        <w:jc w:val="right"/>
        <w:rPr>
          <w:rFonts w:ascii="Century Gothic" w:hAnsi="Century Gothic"/>
          <w:b/>
          <w:sz w:val="13"/>
        </w:rPr>
      </w:pPr>
      <w:r>
        <w:rPr/>
        <w:pict>
          <v:shape style="position:absolute;margin-left:382.898438pt;margin-top:-17.08078pt;width:10.65pt;height:42.8pt;mso-position-horizontal-relative:page;mso-position-vertical-relative:paragraph;z-index:-267792384"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sz w:val="13"/>
                    </w:rPr>
                    <w:t>By-pas</w:t>
                  </w:r>
                  <w:r>
                    <w:rPr>
                      <w:rFonts w:ascii="Century Gothic"/>
                      <w:b/>
                      <w:color w:val="4D4D4D"/>
                      <w:position w:val="1"/>
                      <w:sz w:val="13"/>
                    </w:rPr>
                    <w:t>s Hwy</w:t>
                  </w:r>
                </w:p>
              </w:txbxContent>
            </v:textbox>
            <w10:wrap type="none"/>
          </v:shape>
        </w:pict>
      </w:r>
      <w:r>
        <w:rPr>
          <w:rFonts w:ascii="Arial" w:hAnsi="Arial"/>
          <w:color w:val="FFFF00"/>
          <w:spacing w:val="-224"/>
          <w:w w:val="267"/>
          <w:position w:val="-19"/>
          <w:sz w:val="30"/>
        </w:rPr>
        <w:t>ì</w:t>
      </w:r>
      <w:r>
        <w:rPr>
          <w:rFonts w:ascii="Arial" w:hAnsi="Arial"/>
          <w:color w:val="FFFFFF"/>
          <w:spacing w:val="-224"/>
          <w:w w:val="133"/>
          <w:position w:val="-19"/>
          <w:sz w:val="30"/>
        </w:rPr>
        <w:t>é</w:t>
      </w:r>
      <w:r>
        <w:rPr>
          <w:rFonts w:ascii="Arial" w:hAnsi="Arial"/>
          <w:spacing w:val="-224"/>
          <w:w w:val="133"/>
          <w:position w:val="-19"/>
          <w:sz w:val="30"/>
        </w:rPr>
        <w:t>è</w:t>
      </w:r>
      <w:r>
        <w:rPr>
          <w:rFonts w:ascii="Arial" w:hAnsi="Arial"/>
          <w:color w:val="CC2D31"/>
          <w:spacing w:val="-224"/>
          <w:w w:val="267"/>
          <w:position w:val="-19"/>
          <w:sz w:val="30"/>
        </w:rPr>
        <w:t>í</w:t>
      </w:r>
      <w:r>
        <w:rPr>
          <w:rFonts w:ascii="Arial" w:hAnsi="Arial"/>
          <w:color w:val="38A700"/>
          <w:spacing w:val="-91"/>
          <w:w w:val="133"/>
          <w:position w:val="-19"/>
          <w:sz w:val="30"/>
        </w:rPr>
        <w:t>ë</w:t>
      </w:r>
      <w:r>
        <w:rPr>
          <w:rFonts w:ascii="Century Gothic" w:hAnsi="Century Gothic"/>
          <w:b/>
          <w:color w:val="4D4D4D"/>
          <w:spacing w:val="-6"/>
          <w:w w:val="102"/>
          <w:sz w:val="13"/>
        </w:rPr>
        <w:t>S</w:t>
      </w:r>
      <w:r>
        <w:rPr>
          <w:rFonts w:ascii="Century Gothic" w:hAnsi="Century Gothic"/>
          <w:b/>
          <w:color w:val="4D4D4D"/>
          <w:spacing w:val="-4"/>
          <w:w w:val="102"/>
          <w:sz w:val="13"/>
        </w:rPr>
        <w:t>w</w:t>
      </w:r>
      <w:r>
        <w:rPr>
          <w:rFonts w:ascii="Century Gothic" w:hAnsi="Century Gothic"/>
          <w:b/>
          <w:color w:val="4D4D4D"/>
          <w:spacing w:val="-2"/>
          <w:w w:val="102"/>
          <w:sz w:val="13"/>
        </w:rPr>
        <w:t>i</w:t>
      </w:r>
      <w:r>
        <w:rPr>
          <w:rFonts w:ascii="Century Gothic" w:hAnsi="Century Gothic"/>
          <w:b/>
          <w:color w:val="4D4D4D"/>
          <w:spacing w:val="-1"/>
          <w:w w:val="102"/>
          <w:sz w:val="13"/>
        </w:rPr>
        <w:t>f</w:t>
      </w:r>
      <w:r>
        <w:rPr>
          <w:rFonts w:ascii="Century Gothic" w:hAnsi="Century Gothic"/>
          <w:b/>
          <w:color w:val="4D4D4D"/>
          <w:w w:val="102"/>
          <w:sz w:val="13"/>
        </w:rPr>
        <w:t>t</w:t>
      </w:r>
      <w:r>
        <w:rPr>
          <w:rFonts w:ascii="Century Gothic" w:hAnsi="Century Gothic"/>
          <w:b/>
          <w:color w:val="4D4D4D"/>
          <w:spacing w:val="-2"/>
          <w:sz w:val="13"/>
        </w:rPr>
        <w:t> </w:t>
      </w:r>
      <w:r>
        <w:rPr>
          <w:rFonts w:ascii="Century Gothic" w:hAnsi="Century Gothic"/>
          <w:b/>
          <w:color w:val="4D4D4D"/>
          <w:spacing w:val="-3"/>
          <w:w w:val="102"/>
          <w:position w:val="1"/>
          <w:sz w:val="13"/>
        </w:rPr>
        <w:t>B</w:t>
      </w:r>
      <w:r>
        <w:rPr>
          <w:rFonts w:ascii="Century Gothic" w:hAnsi="Century Gothic"/>
          <w:b/>
          <w:color w:val="4D4D4D"/>
          <w:spacing w:val="-2"/>
          <w:w w:val="102"/>
          <w:position w:val="1"/>
          <w:sz w:val="13"/>
        </w:rPr>
        <w:t>l</w:t>
      </w:r>
      <w:r>
        <w:rPr>
          <w:rFonts w:ascii="Century Gothic" w:hAnsi="Century Gothic"/>
          <w:b/>
          <w:color w:val="4D4D4D"/>
          <w:spacing w:val="-8"/>
          <w:w w:val="102"/>
          <w:position w:val="1"/>
          <w:sz w:val="13"/>
        </w:rPr>
        <w:t>v</w:t>
      </w:r>
      <w:r>
        <w:rPr>
          <w:rFonts w:ascii="Century Gothic" w:hAnsi="Century Gothic"/>
          <w:b/>
          <w:color w:val="4D4D4D"/>
          <w:spacing w:val="-60"/>
          <w:w w:val="102"/>
          <w:position w:val="1"/>
          <w:sz w:val="13"/>
        </w:rPr>
        <w:t>d</w:t>
      </w:r>
    </w:p>
    <w:p>
      <w:pPr>
        <w:spacing w:before="199"/>
        <w:ind w:left="1566" w:right="0" w:firstLine="0"/>
        <w:jc w:val="left"/>
        <w:rPr>
          <w:rFonts w:ascii="Arial" w:hAnsi="Arial"/>
          <w:sz w:val="24"/>
        </w:rPr>
      </w:pPr>
      <w:r>
        <w:rPr/>
        <w:br w:type="column"/>
      </w:r>
      <w:r>
        <w:rPr>
          <w:rFonts w:ascii="Arial" w:hAnsi="Arial"/>
          <w:color w:val="FFFFFF"/>
          <w:spacing w:val="-224"/>
          <w:w w:val="133"/>
          <w:sz w:val="30"/>
        </w:rPr>
        <w:t>é</w:t>
      </w:r>
      <w:r>
        <w:rPr>
          <w:rFonts w:ascii="Arial" w:hAnsi="Arial"/>
          <w:spacing w:val="-224"/>
          <w:w w:val="133"/>
          <w:sz w:val="30"/>
        </w:rPr>
        <w:t>è</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spacing w:val="-85"/>
          <w:w w:val="267"/>
          <w:sz w:val="30"/>
        </w:rPr>
        <w:t>í</w:t>
      </w:r>
      <w:r>
        <w:rPr>
          <w:rFonts w:ascii="Arial" w:hAnsi="Arial"/>
          <w:color w:val="FFFF00"/>
          <w:spacing w:val="-167"/>
          <w:w w:val="250"/>
          <w:position w:val="2"/>
          <w:sz w:val="24"/>
        </w:rPr>
        <w:t>!</w:t>
      </w:r>
      <w:r>
        <w:rPr>
          <w:rFonts w:ascii="Arial" w:hAnsi="Arial"/>
          <w:spacing w:val="-167"/>
          <w:w w:val="208"/>
          <w:position w:val="2"/>
          <w:sz w:val="24"/>
        </w:rPr>
        <w:t>(</w:t>
      </w:r>
    </w:p>
    <w:p>
      <w:pPr>
        <w:spacing w:line="171" w:lineRule="exact" w:before="53"/>
        <w:ind w:left="1250" w:right="0" w:firstLine="0"/>
        <w:jc w:val="left"/>
        <w:rPr>
          <w:rFonts w:ascii="Century Gothic" w:hAnsi="Century Gothic"/>
          <w:b/>
          <w:sz w:val="13"/>
        </w:rPr>
      </w:pPr>
      <w:r>
        <w:rPr/>
        <w:pict>
          <v:shape style="position:absolute;margin-left:442.228058pt;margin-top:-23.36352pt;width:10.55pt;height:32.2pt;mso-position-horizontal-relative:page;mso-position-vertical-relative:paragraph;z-index:252247040" type="#_x0000_t202" filled="false" stroked="false">
            <v:textbox inset="0,0,0,0" style="layout-flow:vertical;mso-layout-flow-alt:bottom-to-top">
              <w:txbxContent>
                <w:p>
                  <w:pPr>
                    <w:spacing w:before="20"/>
                    <w:ind w:left="20" w:right="0" w:firstLine="0"/>
                    <w:jc w:val="left"/>
                    <w:rPr>
                      <w:rFonts w:ascii="Century Gothic"/>
                      <w:b/>
                      <w:sz w:val="13"/>
                    </w:rPr>
                  </w:pPr>
                  <w:r>
                    <w:rPr>
                      <w:rFonts w:ascii="Century Gothic"/>
                      <w:b/>
                      <w:color w:val="4D4D4D"/>
                      <w:sz w:val="13"/>
                    </w:rPr>
                    <w:t>Thayer </w:t>
                  </w:r>
                  <w:r>
                    <w:rPr>
                      <w:rFonts w:ascii="Century Gothic"/>
                      <w:b/>
                      <w:color w:val="4D4D4D"/>
                      <w:position w:val="1"/>
                      <w:sz w:val="13"/>
                    </w:rPr>
                    <w:t>Dr</w:t>
                  </w:r>
                </w:p>
              </w:txbxContent>
            </v:textbox>
            <w10:wrap type="none"/>
          </v:shape>
        </w:pict>
      </w:r>
      <w:r>
        <w:rPr>
          <w:rFonts w:ascii="Century Gothic" w:hAnsi="Century Gothic"/>
          <w:b/>
          <w:color w:val="4D4D4D"/>
          <w:spacing w:val="-8"/>
          <w:w w:val="102"/>
          <w:position w:val="13"/>
          <w:sz w:val="13"/>
        </w:rPr>
        <w:t>K</w:t>
      </w:r>
      <w:r>
        <w:rPr>
          <w:rFonts w:ascii="Century Gothic" w:hAnsi="Century Gothic"/>
          <w:b/>
          <w:color w:val="4D4D4D"/>
          <w:w w:val="102"/>
          <w:position w:val="13"/>
          <w:sz w:val="13"/>
        </w:rPr>
        <w:t>n</w:t>
      </w:r>
      <w:r>
        <w:rPr>
          <w:rFonts w:ascii="Century Gothic" w:hAnsi="Century Gothic"/>
          <w:b/>
          <w:color w:val="4D4D4D"/>
          <w:spacing w:val="-2"/>
          <w:w w:val="102"/>
          <w:position w:val="14"/>
          <w:sz w:val="13"/>
        </w:rPr>
        <w:t>i</w:t>
      </w:r>
      <w:r>
        <w:rPr>
          <w:rFonts w:ascii="Century Gothic" w:hAnsi="Century Gothic"/>
          <w:b/>
          <w:color w:val="4D4D4D"/>
          <w:spacing w:val="-5"/>
          <w:w w:val="102"/>
          <w:position w:val="14"/>
          <w:sz w:val="13"/>
        </w:rPr>
        <w:t>g</w:t>
      </w:r>
      <w:r>
        <w:rPr>
          <w:rFonts w:ascii="Century Gothic" w:hAnsi="Century Gothic"/>
          <w:b/>
          <w:color w:val="4D4D4D"/>
          <w:spacing w:val="-42"/>
          <w:w w:val="102"/>
          <w:position w:val="14"/>
          <w:sz w:val="13"/>
        </w:rPr>
        <w:t>h</w:t>
      </w:r>
      <w:r>
        <w:rPr>
          <w:rFonts w:ascii="Arial" w:hAnsi="Arial"/>
          <w:spacing w:val="-224"/>
          <w:w w:val="133"/>
          <w:sz w:val="30"/>
        </w:rPr>
        <w:t>è</w:t>
      </w:r>
      <w:r>
        <w:rPr>
          <w:rFonts w:ascii="Arial" w:hAnsi="Arial"/>
          <w:color w:val="FFFFFF"/>
          <w:spacing w:val="-224"/>
          <w:w w:val="133"/>
          <w:sz w:val="30"/>
        </w:rPr>
        <w:t>é</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spacing w:val="-185"/>
          <w:w w:val="267"/>
          <w:sz w:val="30"/>
        </w:rPr>
        <w:t>í</w:t>
      </w:r>
      <w:r>
        <w:rPr>
          <w:rFonts w:ascii="Century Gothic" w:hAnsi="Century Gothic"/>
          <w:b/>
          <w:color w:val="4D4D4D"/>
          <w:w w:val="102"/>
          <w:position w:val="14"/>
          <w:sz w:val="13"/>
        </w:rPr>
        <w:t>t</w:t>
      </w:r>
      <w:r>
        <w:rPr>
          <w:rFonts w:ascii="Century Gothic" w:hAnsi="Century Gothic"/>
          <w:b/>
          <w:color w:val="4D4D4D"/>
          <w:spacing w:val="-7"/>
          <w:position w:val="14"/>
          <w:sz w:val="13"/>
        </w:rPr>
        <w:t> </w:t>
      </w:r>
      <w:r>
        <w:rPr>
          <w:rFonts w:ascii="Arial" w:hAnsi="Arial"/>
          <w:spacing w:val="-224"/>
          <w:w w:val="133"/>
          <w:sz w:val="30"/>
        </w:rPr>
        <w:t>è</w:t>
      </w:r>
      <w:r>
        <w:rPr>
          <w:rFonts w:ascii="Arial" w:hAnsi="Arial"/>
          <w:color w:val="FFFFFF"/>
          <w:spacing w:val="-224"/>
          <w:w w:val="133"/>
          <w:sz w:val="30"/>
        </w:rPr>
        <w:t>é</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spacing w:val="-218"/>
          <w:w w:val="267"/>
          <w:sz w:val="30"/>
        </w:rPr>
        <w:t>í</w:t>
      </w:r>
      <w:r>
        <w:rPr>
          <w:rFonts w:ascii="Century Gothic" w:hAnsi="Century Gothic"/>
          <w:b/>
          <w:color w:val="4D4D4D"/>
          <w:w w:val="102"/>
          <w:position w:val="14"/>
          <w:sz w:val="13"/>
        </w:rPr>
        <w:t>St</w:t>
      </w:r>
    </w:p>
    <w:p>
      <w:pPr>
        <w:spacing w:after="0" w:line="171" w:lineRule="exact"/>
        <w:jc w:val="left"/>
        <w:rPr>
          <w:rFonts w:ascii="Century Gothic" w:hAnsi="Century Gothic"/>
          <w:sz w:val="13"/>
        </w:rPr>
        <w:sectPr>
          <w:type w:val="continuous"/>
          <w:pgSz w:w="15840" w:h="24480"/>
          <w:pgMar w:top="1480" w:bottom="1320" w:left="0" w:right="0"/>
          <w:cols w:num="2" w:equalWidth="0">
            <w:col w:w="8436" w:space="40"/>
            <w:col w:w="7364"/>
          </w:cols>
        </w:sectPr>
      </w:pPr>
    </w:p>
    <w:p>
      <w:pPr>
        <w:pStyle w:val="BodyText"/>
        <w:rPr>
          <w:rFonts w:ascii="Century Gothic"/>
          <w:b/>
          <w:sz w:val="30"/>
        </w:rPr>
      </w:pPr>
    </w:p>
    <w:p>
      <w:pPr>
        <w:pStyle w:val="BodyText"/>
        <w:spacing w:before="10"/>
        <w:rPr>
          <w:rFonts w:ascii="Century Gothic"/>
          <w:b/>
          <w:sz w:val="33"/>
        </w:rPr>
      </w:pPr>
    </w:p>
    <w:p>
      <w:pPr>
        <w:pStyle w:val="Heading9"/>
        <w:spacing w:line="342" w:lineRule="exact"/>
        <w:jc w:val="right"/>
      </w:pPr>
      <w:r>
        <w:rPr/>
        <w:pict>
          <v:shape style="position:absolute;margin-left:388.879413pt;margin-top:.147092pt;width:36.5pt;height:6.65pt;mso-position-horizontal-relative:page;mso-position-vertical-relative:paragraph;z-index:-267776000;rotation:312" type="#_x0000_t136" fillcolor="#4d4d4d" stroked="f">
            <o:extrusion v:ext="view" autorotationcenter="t"/>
            <v:textpath style="font-family:&quot;Century Gothic&quot;;font-size:6pt;v-text-kern:t;mso-text-shadow:auto;font-weight:bold" string="Duportail St"/>
            <w10:wrap type="none"/>
          </v:shape>
        </w:pict>
      </w:r>
      <w:r>
        <w:rPr>
          <w:color w:val="CC2D31"/>
          <w:spacing w:val="-224"/>
          <w:w w:val="267"/>
        </w:rPr>
        <w:t>í</w:t>
      </w:r>
      <w:r>
        <w:rPr>
          <w:color w:val="38A700"/>
          <w:spacing w:val="-224"/>
          <w:w w:val="133"/>
        </w:rPr>
        <w:t>ë</w:t>
      </w:r>
      <w:r>
        <w:rPr>
          <w:color w:val="FFFF00"/>
          <w:spacing w:val="-224"/>
          <w:w w:val="267"/>
        </w:rPr>
        <w:t>ì</w:t>
      </w:r>
      <w:r>
        <w:rPr>
          <w:color w:val="FFFFFF"/>
          <w:spacing w:val="-224"/>
          <w:w w:val="133"/>
        </w:rPr>
        <w:t>é</w:t>
      </w:r>
      <w:r>
        <w:rPr>
          <w:w w:val="133"/>
        </w:rPr>
        <w:t>è</w:t>
      </w:r>
    </w:p>
    <w:p>
      <w:pPr>
        <w:spacing w:before="48"/>
        <w:ind w:left="55" w:right="0" w:firstLine="0"/>
        <w:jc w:val="left"/>
        <w:rPr>
          <w:rFonts w:ascii="Arial"/>
          <w:sz w:val="28"/>
        </w:rPr>
      </w:pPr>
      <w:r>
        <w:rPr/>
        <w:br w:type="column"/>
      </w:r>
      <w:r>
        <w:rPr>
          <w:rFonts w:ascii="Arial"/>
          <w:color w:val="FFFFFF"/>
          <w:spacing w:val="-226"/>
          <w:w w:val="145"/>
          <w:sz w:val="28"/>
        </w:rPr>
        <w:t>$</w:t>
      </w:r>
      <w:r>
        <w:rPr>
          <w:rFonts w:ascii="Arial"/>
          <w:color w:val="FFFFFF"/>
          <w:spacing w:val="-226"/>
          <w:w w:val="290"/>
          <w:sz w:val="28"/>
        </w:rPr>
        <w:t>!</w:t>
      </w:r>
      <w:r>
        <w:rPr>
          <w:rFonts w:ascii="Arial"/>
          <w:color w:val="CC2D31"/>
          <w:w w:val="227"/>
          <w:sz w:val="28"/>
        </w:rPr>
        <w:t>"</w:t>
      </w:r>
    </w:p>
    <w:p>
      <w:pPr>
        <w:spacing w:before="48"/>
        <w:ind w:left="113" w:right="0" w:firstLine="0"/>
        <w:jc w:val="left"/>
        <w:rPr>
          <w:rFonts w:ascii="Arial"/>
          <w:sz w:val="16"/>
        </w:rPr>
      </w:pPr>
      <w:r>
        <w:rPr>
          <w:rFonts w:ascii="Arial Black"/>
          <w:spacing w:val="-244"/>
          <w:w w:val="104"/>
          <w:sz w:val="36"/>
        </w:rPr>
        <w:t>2</w:t>
      </w:r>
      <w:r>
        <w:rPr>
          <w:rFonts w:ascii="Arial"/>
          <w:color w:val="FFAA00"/>
          <w:spacing w:val="-177"/>
          <w:w w:val="254"/>
          <w:position w:val="1"/>
          <w:sz w:val="34"/>
        </w:rPr>
        <w:t>!</w:t>
      </w:r>
      <w:r>
        <w:rPr>
          <w:rFonts w:ascii="Arial"/>
          <w:color w:val="FFFFFF"/>
          <w:w w:val="252"/>
          <w:position w:val="7"/>
          <w:sz w:val="16"/>
        </w:rPr>
        <w:t>!</w:t>
      </w:r>
    </w:p>
    <w:p>
      <w:pPr>
        <w:spacing w:before="24"/>
        <w:ind w:left="268" w:right="0" w:firstLine="0"/>
        <w:jc w:val="left"/>
        <w:rPr>
          <w:rFonts w:ascii="Arial" w:hAnsi="Arial"/>
          <w:sz w:val="28"/>
        </w:rPr>
      </w:pPr>
      <w:r>
        <w:rPr/>
        <w:br w:type="column"/>
      </w:r>
      <w:r>
        <w:rPr>
          <w:rFonts w:ascii="Arial" w:hAnsi="Arial"/>
          <w:color w:val="CC2D31"/>
          <w:spacing w:val="-224"/>
          <w:w w:val="267"/>
          <w:sz w:val="30"/>
        </w:rPr>
        <w:t>í</w:t>
      </w:r>
      <w:r>
        <w:rPr>
          <w:rFonts w:ascii="Arial" w:hAnsi="Arial"/>
          <w:color w:val="38A700"/>
          <w:spacing w:val="-224"/>
          <w:w w:val="133"/>
          <w:sz w:val="30"/>
        </w:rPr>
        <w:t>ë</w:t>
      </w:r>
      <w:r>
        <w:rPr>
          <w:rFonts w:ascii="Arial" w:hAnsi="Arial"/>
          <w:color w:val="FFFF00"/>
          <w:spacing w:val="-224"/>
          <w:w w:val="267"/>
          <w:sz w:val="30"/>
        </w:rPr>
        <w:t>ì</w:t>
      </w:r>
      <w:r>
        <w:rPr>
          <w:rFonts w:ascii="Arial" w:hAnsi="Arial"/>
          <w:color w:val="FFFFFF"/>
          <w:spacing w:val="-224"/>
          <w:w w:val="133"/>
          <w:sz w:val="30"/>
        </w:rPr>
        <w:t>é</w:t>
      </w:r>
      <w:r>
        <w:rPr>
          <w:rFonts w:ascii="Arial" w:hAnsi="Arial"/>
          <w:spacing w:val="-78"/>
          <w:w w:val="133"/>
          <w:sz w:val="30"/>
        </w:rPr>
        <w:t>è</w:t>
      </w:r>
      <w:r>
        <w:rPr>
          <w:rFonts w:ascii="Century Gothic" w:hAnsi="Century Gothic"/>
          <w:b/>
          <w:color w:val="4D4D4D"/>
          <w:spacing w:val="-5"/>
          <w:w w:val="102"/>
          <w:position w:val="14"/>
          <w:sz w:val="13"/>
        </w:rPr>
        <w:t>L</w:t>
      </w:r>
      <w:r>
        <w:rPr>
          <w:rFonts w:ascii="Century Gothic" w:hAnsi="Century Gothic"/>
          <w:b/>
          <w:color w:val="4D4D4D"/>
          <w:spacing w:val="2"/>
          <w:w w:val="102"/>
          <w:position w:val="14"/>
          <w:sz w:val="13"/>
        </w:rPr>
        <w:t>e</w:t>
      </w:r>
      <w:r>
        <w:rPr>
          <w:rFonts w:ascii="Century Gothic" w:hAnsi="Century Gothic"/>
          <w:b/>
          <w:color w:val="4D4D4D"/>
          <w:spacing w:val="6"/>
          <w:w w:val="102"/>
          <w:position w:val="14"/>
          <w:sz w:val="13"/>
        </w:rPr>
        <w:t>e</w:t>
      </w:r>
      <w:r>
        <w:rPr>
          <w:rFonts w:ascii="Arial" w:hAnsi="Arial"/>
          <w:color w:val="FFFF00"/>
          <w:spacing w:val="-224"/>
          <w:w w:val="267"/>
          <w:sz w:val="30"/>
        </w:rPr>
        <w:t>ì</w:t>
      </w:r>
      <w:r>
        <w:rPr>
          <w:rFonts w:ascii="Arial" w:hAnsi="Arial"/>
          <w:color w:val="FFFFFF"/>
          <w:spacing w:val="-224"/>
          <w:w w:val="133"/>
          <w:sz w:val="30"/>
        </w:rPr>
        <w:t>é</w:t>
      </w:r>
      <w:r>
        <w:rPr>
          <w:rFonts w:ascii="Arial" w:hAnsi="Arial"/>
          <w:spacing w:val="-224"/>
          <w:w w:val="133"/>
          <w:sz w:val="30"/>
        </w:rPr>
        <w:t>è</w:t>
      </w:r>
      <w:r>
        <w:rPr>
          <w:rFonts w:ascii="Arial" w:hAnsi="Arial"/>
          <w:color w:val="CC2D31"/>
          <w:spacing w:val="-224"/>
          <w:w w:val="267"/>
          <w:sz w:val="30"/>
        </w:rPr>
        <w:t>í</w:t>
      </w:r>
      <w:r>
        <w:rPr>
          <w:rFonts w:ascii="Arial" w:hAnsi="Arial"/>
          <w:color w:val="38A700"/>
          <w:spacing w:val="-195"/>
          <w:w w:val="133"/>
          <w:sz w:val="30"/>
        </w:rPr>
        <w:t>ë</w:t>
      </w:r>
      <w:r>
        <w:rPr>
          <w:rFonts w:ascii="Century Gothic" w:hAnsi="Century Gothic"/>
          <w:b/>
          <w:color w:val="4D4D4D"/>
          <w:spacing w:val="-1"/>
          <w:w w:val="102"/>
          <w:position w:val="14"/>
          <w:sz w:val="13"/>
        </w:rPr>
        <w:t>Bl</w:t>
      </w:r>
      <w:r>
        <w:rPr>
          <w:rFonts w:ascii="Century Gothic" w:hAnsi="Century Gothic"/>
          <w:b/>
          <w:color w:val="4D4D4D"/>
          <w:spacing w:val="-6"/>
          <w:w w:val="102"/>
          <w:position w:val="14"/>
          <w:sz w:val="13"/>
        </w:rPr>
        <w:t>v</w:t>
      </w:r>
      <w:r>
        <w:rPr>
          <w:rFonts w:ascii="Century Gothic" w:hAnsi="Century Gothic"/>
          <w:b/>
          <w:color w:val="4D4D4D"/>
          <w:spacing w:val="-79"/>
          <w:w w:val="102"/>
          <w:position w:val="14"/>
          <w:sz w:val="13"/>
        </w:rPr>
        <w:t>d</w:t>
      </w:r>
      <w:r>
        <w:rPr>
          <w:rFonts w:ascii="Arial" w:hAnsi="Arial"/>
          <w:color w:val="38A700"/>
          <w:spacing w:val="-224"/>
          <w:w w:val="133"/>
          <w:sz w:val="30"/>
        </w:rPr>
        <w:t>ë</w:t>
      </w:r>
      <w:r>
        <w:rPr>
          <w:rFonts w:ascii="Arial" w:hAnsi="Arial"/>
          <w:color w:val="FFFF00"/>
          <w:spacing w:val="-224"/>
          <w:w w:val="267"/>
          <w:sz w:val="30"/>
        </w:rPr>
        <w:t>ì</w:t>
      </w:r>
      <w:r>
        <w:rPr>
          <w:rFonts w:ascii="Arial" w:hAnsi="Arial"/>
          <w:spacing w:val="-224"/>
          <w:w w:val="133"/>
          <w:sz w:val="30"/>
        </w:rPr>
        <w:t>è</w:t>
      </w:r>
      <w:r>
        <w:rPr>
          <w:rFonts w:ascii="Arial" w:hAnsi="Arial"/>
          <w:color w:val="CC2D31"/>
          <w:spacing w:val="-224"/>
          <w:w w:val="267"/>
          <w:sz w:val="30"/>
        </w:rPr>
        <w:t>í</w:t>
      </w:r>
      <w:r>
        <w:rPr>
          <w:rFonts w:ascii="Arial" w:hAnsi="Arial"/>
          <w:color w:val="FFFFFF"/>
          <w:spacing w:val="-99"/>
          <w:w w:val="133"/>
          <w:sz w:val="30"/>
        </w:rPr>
        <w:t>é</w:t>
      </w:r>
      <w:r>
        <w:rPr>
          <w:rFonts w:ascii="Arial" w:hAnsi="Arial"/>
          <w:color w:val="CC2D31"/>
          <w:spacing w:val="-226"/>
          <w:w w:val="227"/>
          <w:position w:val="1"/>
          <w:sz w:val="28"/>
        </w:rPr>
        <w:t>"</w:t>
      </w:r>
      <w:r>
        <w:rPr>
          <w:rFonts w:ascii="Arial" w:hAnsi="Arial"/>
          <w:color w:val="FFFFFF"/>
          <w:spacing w:val="-226"/>
          <w:w w:val="290"/>
          <w:position w:val="1"/>
          <w:sz w:val="28"/>
        </w:rPr>
        <w:t>!</w:t>
      </w:r>
      <w:r>
        <w:rPr>
          <w:rFonts w:ascii="Arial" w:hAnsi="Arial"/>
          <w:color w:val="FFFFFF"/>
          <w:w w:val="145"/>
          <w:position w:val="1"/>
          <w:sz w:val="28"/>
        </w:rPr>
        <w:t>$</w:t>
      </w:r>
    </w:p>
    <w:p>
      <w:pPr>
        <w:tabs>
          <w:tab w:pos="661" w:val="left" w:leader="none"/>
        </w:tabs>
        <w:spacing w:line="170" w:lineRule="auto" w:before="149"/>
        <w:ind w:left="262" w:right="0" w:firstLine="0"/>
        <w:jc w:val="left"/>
        <w:rPr>
          <w:rFonts w:ascii="Arial" w:hAnsi="Arial"/>
          <w:sz w:val="30"/>
        </w:rPr>
      </w:pPr>
      <w:r>
        <w:rPr/>
        <w:pict>
          <v:shape style="position:absolute;margin-left:462.055511pt;margin-top:-.441311pt;width:10.75pt;height:44.5pt;mso-position-horizontal-relative:page;mso-position-vertical-relative:paragraph;z-index:-267788288" type="#_x0000_t202" filled="false" stroked="false">
            <v:textbox inset="0,0,0,0" style="layout-flow:vertical;mso-layout-flow-alt:bottom-to-top">
              <w:txbxContent>
                <w:p>
                  <w:pPr>
                    <w:spacing w:before="24"/>
                    <w:ind w:left="20" w:right="0" w:firstLine="0"/>
                    <w:jc w:val="left"/>
                    <w:rPr>
                      <w:rFonts w:ascii="Century Gothic"/>
                      <w:b/>
                      <w:sz w:val="13"/>
                    </w:rPr>
                  </w:pPr>
                  <w:r>
                    <w:rPr>
                      <w:rFonts w:ascii="Century Gothic"/>
                      <w:b/>
                      <w:color w:val="4D4D4D"/>
                      <w:sz w:val="13"/>
                    </w:rPr>
                    <w:t>Wellsi</w:t>
                  </w:r>
                  <w:r>
                    <w:rPr>
                      <w:rFonts w:ascii="Century Gothic"/>
                      <w:b/>
                      <w:color w:val="4D4D4D"/>
                      <w:position w:val="1"/>
                      <w:sz w:val="13"/>
                    </w:rPr>
                    <w:t>an Way</w:t>
                  </w:r>
                </w:p>
              </w:txbxContent>
            </v:textbox>
            <w10:wrap type="none"/>
          </v:shape>
        </w:pict>
      </w:r>
      <w:r>
        <w:rPr/>
        <w:pict>
          <v:shape style="position:absolute;margin-left:479.536377pt;margin-top:11.395629pt;width:10.7pt;height:39.7pt;mso-position-horizontal-relative:page;mso-position-vertical-relative:paragraph;z-index:-267787264" type="#_x0000_t202" filled="false" stroked="false">
            <v:textbox inset="0,0,0,0" style="layout-flow:vertical;mso-layout-flow-alt:bottom-to-top">
              <w:txbxContent>
                <w:p>
                  <w:pPr>
                    <w:spacing w:before="23"/>
                    <w:ind w:left="20" w:right="0" w:firstLine="0"/>
                    <w:jc w:val="left"/>
                    <w:rPr>
                      <w:rFonts w:ascii="Century Gothic"/>
                      <w:b/>
                      <w:sz w:val="13"/>
                    </w:rPr>
                  </w:pPr>
                  <w:r>
                    <w:rPr>
                      <w:rFonts w:ascii="Century Gothic"/>
                      <w:b/>
                      <w:color w:val="4D4D4D"/>
                      <w:sz w:val="13"/>
                    </w:rPr>
                    <w:t>Goeth</w:t>
                  </w:r>
                  <w:r>
                    <w:rPr>
                      <w:rFonts w:ascii="Century Gothic"/>
                      <w:b/>
                      <w:color w:val="4D4D4D"/>
                      <w:position w:val="1"/>
                      <w:sz w:val="13"/>
                    </w:rPr>
                    <w:t>als Dr</w:t>
                  </w:r>
                </w:p>
              </w:txbxContent>
            </v:textbox>
            <w10:wrap type="none"/>
          </v:shape>
        </w:pict>
      </w:r>
      <w:r>
        <w:rPr>
          <w:rFonts w:ascii="Arial Black" w:hAnsi="Arial Black"/>
          <w:spacing w:val="-244"/>
          <w:w w:val="104"/>
          <w:position w:val="-17"/>
          <w:sz w:val="36"/>
        </w:rPr>
        <w:t>2</w:t>
      </w:r>
      <w:r>
        <w:rPr>
          <w:rFonts w:ascii="Arial" w:hAnsi="Arial"/>
          <w:color w:val="FFAA00"/>
          <w:spacing w:val="-177"/>
          <w:w w:val="254"/>
          <w:position w:val="-16"/>
          <w:sz w:val="34"/>
        </w:rPr>
        <w:t>!</w:t>
      </w:r>
      <w:r>
        <w:rPr>
          <w:rFonts w:ascii="Arial" w:hAnsi="Arial"/>
          <w:color w:val="FFFFFF"/>
          <w:w w:val="252"/>
          <w:position w:val="-10"/>
          <w:sz w:val="16"/>
        </w:rPr>
        <w:t>!</w:t>
      </w:r>
      <w:r>
        <w:rPr>
          <w:rFonts w:ascii="Arial" w:hAnsi="Arial"/>
          <w:color w:val="FFFFFF"/>
          <w:position w:val="-10"/>
          <w:sz w:val="16"/>
        </w:rPr>
        <w:tab/>
      </w:r>
      <w:r>
        <w:rPr>
          <w:rFonts w:ascii="Arial" w:hAnsi="Arial"/>
          <w:spacing w:val="-224"/>
          <w:w w:val="133"/>
          <w:sz w:val="30"/>
        </w:rPr>
        <w:t>è</w:t>
      </w:r>
      <w:r>
        <w:rPr>
          <w:rFonts w:ascii="Arial" w:hAnsi="Arial"/>
          <w:color w:val="FFFFFF"/>
          <w:spacing w:val="-224"/>
          <w:w w:val="133"/>
          <w:sz w:val="30"/>
        </w:rPr>
        <w:t>é</w:t>
      </w:r>
      <w:r>
        <w:rPr>
          <w:rFonts w:ascii="Arial" w:hAnsi="Arial"/>
          <w:color w:val="38A700"/>
          <w:spacing w:val="-224"/>
          <w:w w:val="133"/>
          <w:sz w:val="30"/>
        </w:rPr>
        <w:t>ë</w:t>
      </w:r>
      <w:r>
        <w:rPr>
          <w:rFonts w:ascii="Arial" w:hAnsi="Arial"/>
          <w:color w:val="CC2D31"/>
          <w:spacing w:val="-224"/>
          <w:w w:val="267"/>
          <w:sz w:val="30"/>
        </w:rPr>
        <w:t>í</w:t>
      </w:r>
      <w:r>
        <w:rPr>
          <w:rFonts w:ascii="Arial" w:hAnsi="Arial"/>
          <w:color w:val="FFFF00"/>
          <w:w w:val="267"/>
          <w:sz w:val="30"/>
        </w:rPr>
        <w:t>ì</w:t>
      </w:r>
    </w:p>
    <w:p>
      <w:pPr>
        <w:spacing w:line="174" w:lineRule="exact" w:before="7"/>
        <w:ind w:left="282" w:right="0" w:firstLine="0"/>
        <w:jc w:val="left"/>
        <w:rPr>
          <w:rFonts w:ascii="Arial"/>
          <w:sz w:val="28"/>
        </w:rPr>
      </w:pPr>
      <w:r>
        <w:rPr/>
        <w:pict>
          <v:shape style="position:absolute;margin-left:492.68277pt;margin-top:4.893492pt;width:40.25pt;height:6.65pt;mso-position-horizontal-relative:page;mso-position-vertical-relative:paragraph;z-index:-267773952;rotation:354" type="#_x0000_t136" fillcolor="#4d4d4d" stroked="f">
            <o:extrusion v:ext="view" autorotationcenter="t"/>
            <v:textpath style="font-family:&quot;Century Gothic&quot;;font-size:6pt;v-text-kern:t;mso-text-shadow:auto;font-weight:bold" string="Comstock St"/>
            <w10:wrap type="none"/>
          </v:shape>
        </w:pict>
      </w:r>
      <w:r>
        <w:rPr>
          <w:rFonts w:ascii="Arial"/>
          <w:color w:val="FFFFFF"/>
          <w:spacing w:val="-226"/>
          <w:w w:val="145"/>
          <w:sz w:val="28"/>
        </w:rPr>
        <w:t>$</w:t>
      </w:r>
      <w:r>
        <w:rPr>
          <w:rFonts w:ascii="Arial"/>
          <w:color w:val="FFFFFF"/>
          <w:spacing w:val="-226"/>
          <w:w w:val="290"/>
          <w:sz w:val="28"/>
        </w:rPr>
        <w:t>!</w:t>
      </w:r>
      <w:r>
        <w:rPr>
          <w:rFonts w:ascii="Arial"/>
          <w:color w:val="CC2D31"/>
          <w:w w:val="227"/>
          <w:sz w:val="28"/>
        </w:rPr>
        <w:t>"</w:t>
      </w:r>
    </w:p>
    <w:p>
      <w:pPr>
        <w:spacing w:line="264" w:lineRule="exact" w:before="18"/>
        <w:ind w:left="96" w:right="0" w:firstLine="0"/>
        <w:jc w:val="left"/>
        <w:rPr>
          <w:rFonts w:ascii="Arial" w:hAnsi="Arial"/>
          <w:sz w:val="30"/>
        </w:rPr>
      </w:pPr>
      <w:r>
        <w:rPr/>
        <w:br w:type="column"/>
      </w:r>
      <w:r>
        <w:rPr>
          <w:rFonts w:ascii="Arial" w:hAnsi="Arial"/>
          <w:color w:val="CC2D31"/>
          <w:spacing w:val="-224"/>
          <w:w w:val="267"/>
          <w:sz w:val="30"/>
        </w:rPr>
        <w:t>í</w:t>
      </w:r>
      <w:r>
        <w:rPr>
          <w:rFonts w:ascii="Arial" w:hAnsi="Arial"/>
          <w:color w:val="38A700"/>
          <w:spacing w:val="-224"/>
          <w:w w:val="133"/>
          <w:sz w:val="30"/>
        </w:rPr>
        <w:t>ë</w:t>
      </w:r>
      <w:r>
        <w:rPr>
          <w:rFonts w:ascii="Arial" w:hAnsi="Arial"/>
          <w:color w:val="FFFF00"/>
          <w:spacing w:val="-224"/>
          <w:w w:val="267"/>
          <w:sz w:val="30"/>
        </w:rPr>
        <w:t>ì</w:t>
      </w:r>
      <w:r>
        <w:rPr>
          <w:rFonts w:ascii="Arial" w:hAnsi="Arial"/>
          <w:color w:val="FFFFFF"/>
          <w:spacing w:val="-224"/>
          <w:w w:val="133"/>
          <w:sz w:val="30"/>
        </w:rPr>
        <w:t>é</w:t>
      </w:r>
      <w:r>
        <w:rPr>
          <w:rFonts w:ascii="Arial" w:hAnsi="Arial"/>
          <w:spacing w:val="-118"/>
          <w:w w:val="133"/>
          <w:sz w:val="30"/>
        </w:rPr>
        <w:t>è</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spacing w:val="-224"/>
          <w:w w:val="267"/>
          <w:sz w:val="30"/>
        </w:rPr>
        <w:t>í</w:t>
      </w:r>
      <w:r>
        <w:rPr>
          <w:rFonts w:ascii="Arial" w:hAnsi="Arial"/>
          <w:color w:val="FFFFFF"/>
          <w:spacing w:val="-224"/>
          <w:w w:val="133"/>
          <w:sz w:val="30"/>
        </w:rPr>
        <w:t>é</w:t>
      </w:r>
      <w:r>
        <w:rPr>
          <w:rFonts w:ascii="Arial" w:hAnsi="Arial"/>
          <w:w w:val="133"/>
          <w:sz w:val="30"/>
        </w:rPr>
        <w:t>è</w:t>
      </w:r>
    </w:p>
    <w:p>
      <w:pPr>
        <w:spacing w:line="170" w:lineRule="auto" w:before="0"/>
        <w:ind w:left="235" w:right="0" w:firstLine="0"/>
        <w:jc w:val="left"/>
        <w:rPr>
          <w:rFonts w:ascii="Arial" w:hAnsi="Arial"/>
          <w:sz w:val="30"/>
        </w:rPr>
      </w:pPr>
      <w:r>
        <w:rPr>
          <w:rFonts w:ascii="Arial" w:hAnsi="Arial"/>
          <w:color w:val="FFFFFF"/>
          <w:spacing w:val="-224"/>
          <w:w w:val="133"/>
          <w:sz w:val="30"/>
        </w:rPr>
        <w:t>é</w:t>
      </w:r>
      <w:r>
        <w:rPr>
          <w:rFonts w:ascii="Arial" w:hAnsi="Arial"/>
          <w:spacing w:val="-224"/>
          <w:w w:val="133"/>
          <w:sz w:val="30"/>
        </w:rPr>
        <w:t>è</w:t>
      </w:r>
      <w:r>
        <w:rPr>
          <w:rFonts w:ascii="Arial" w:hAnsi="Arial"/>
          <w:color w:val="CC2D31"/>
          <w:spacing w:val="-224"/>
          <w:w w:val="267"/>
          <w:sz w:val="30"/>
        </w:rPr>
        <w:t>í</w:t>
      </w:r>
      <w:r>
        <w:rPr>
          <w:rFonts w:ascii="Arial" w:hAnsi="Arial"/>
          <w:color w:val="38A700"/>
          <w:spacing w:val="-224"/>
          <w:w w:val="133"/>
          <w:sz w:val="30"/>
        </w:rPr>
        <w:t>ë</w:t>
      </w:r>
      <w:r>
        <w:rPr>
          <w:rFonts w:ascii="Arial" w:hAnsi="Arial"/>
          <w:color w:val="FFFF00"/>
          <w:spacing w:val="-113"/>
          <w:w w:val="267"/>
          <w:sz w:val="30"/>
        </w:rPr>
        <w:t>ì</w:t>
      </w:r>
      <w:r>
        <w:rPr>
          <w:rFonts w:ascii="Arial" w:hAnsi="Arial"/>
          <w:color w:val="38A700"/>
          <w:spacing w:val="-224"/>
          <w:w w:val="133"/>
          <w:position w:val="-17"/>
          <w:sz w:val="30"/>
        </w:rPr>
        <w:t>ë</w:t>
      </w:r>
      <w:r>
        <w:rPr>
          <w:rFonts w:ascii="Arial" w:hAnsi="Arial"/>
          <w:color w:val="FFFF00"/>
          <w:spacing w:val="-224"/>
          <w:w w:val="267"/>
          <w:position w:val="-17"/>
          <w:sz w:val="30"/>
        </w:rPr>
        <w:t>ì</w:t>
      </w:r>
      <w:r>
        <w:rPr>
          <w:rFonts w:ascii="Arial" w:hAnsi="Arial"/>
          <w:color w:val="FFFFFF"/>
          <w:spacing w:val="-224"/>
          <w:w w:val="133"/>
          <w:position w:val="-17"/>
          <w:sz w:val="30"/>
        </w:rPr>
        <w:t>é</w:t>
      </w:r>
      <w:r>
        <w:rPr>
          <w:rFonts w:ascii="Arial" w:hAnsi="Arial"/>
          <w:spacing w:val="-224"/>
          <w:w w:val="133"/>
          <w:position w:val="-17"/>
          <w:sz w:val="30"/>
        </w:rPr>
        <w:t>è</w:t>
      </w:r>
      <w:r>
        <w:rPr>
          <w:rFonts w:ascii="Arial" w:hAnsi="Arial"/>
          <w:color w:val="CC2D31"/>
          <w:w w:val="267"/>
          <w:position w:val="-17"/>
          <w:sz w:val="30"/>
        </w:rPr>
        <w:t>í</w:t>
      </w:r>
    </w:p>
    <w:p>
      <w:pPr>
        <w:spacing w:before="48"/>
        <w:ind w:left="0" w:right="0" w:firstLine="0"/>
        <w:jc w:val="right"/>
        <w:rPr>
          <w:rFonts w:ascii="Arial" w:hAnsi="Arial"/>
          <w:sz w:val="30"/>
        </w:rPr>
      </w:pPr>
      <w:r>
        <w:rPr>
          <w:rFonts w:ascii="Arial" w:hAnsi="Arial"/>
          <w:color w:val="FFFFFF"/>
          <w:spacing w:val="-224"/>
          <w:w w:val="133"/>
          <w:sz w:val="30"/>
        </w:rPr>
        <w:t>é</w:t>
      </w:r>
      <w:r>
        <w:rPr>
          <w:rFonts w:ascii="Arial" w:hAnsi="Arial"/>
          <w:spacing w:val="-224"/>
          <w:w w:val="133"/>
          <w:sz w:val="30"/>
        </w:rPr>
        <w:t>è</w:t>
      </w:r>
      <w:r>
        <w:rPr>
          <w:rFonts w:ascii="Arial" w:hAnsi="Arial"/>
          <w:color w:val="CC2D31"/>
          <w:spacing w:val="-224"/>
          <w:w w:val="267"/>
          <w:sz w:val="30"/>
        </w:rPr>
        <w:t>í</w:t>
      </w:r>
      <w:r>
        <w:rPr>
          <w:rFonts w:ascii="Arial" w:hAnsi="Arial"/>
          <w:color w:val="38A700"/>
          <w:spacing w:val="-224"/>
          <w:w w:val="133"/>
          <w:sz w:val="30"/>
        </w:rPr>
        <w:t>ë</w:t>
      </w:r>
      <w:r>
        <w:rPr>
          <w:rFonts w:ascii="Arial" w:hAnsi="Arial"/>
          <w:color w:val="FFFF00"/>
          <w:w w:val="267"/>
          <w:sz w:val="30"/>
        </w:rPr>
        <w:t>ì</w:t>
      </w:r>
    </w:p>
    <w:p>
      <w:pPr>
        <w:pStyle w:val="BodyText"/>
        <w:spacing w:before="1"/>
        <w:rPr>
          <w:rFonts w:ascii="Arial"/>
          <w:sz w:val="57"/>
        </w:rPr>
      </w:pPr>
      <w:r>
        <w:rPr/>
        <w:br w:type="column"/>
      </w:r>
      <w:r>
        <w:rPr>
          <w:rFonts w:ascii="Arial"/>
          <w:sz w:val="57"/>
        </w:rPr>
      </w:r>
    </w:p>
    <w:p>
      <w:pPr>
        <w:spacing w:line="468" w:lineRule="exact" w:before="0"/>
        <w:ind w:left="2013" w:right="2826" w:firstLine="0"/>
        <w:jc w:val="center"/>
        <w:rPr>
          <w:rFonts w:ascii="Arial" w:hAnsi="Arial"/>
          <w:b/>
          <w:sz w:val="11"/>
        </w:rPr>
      </w:pPr>
      <w:r>
        <w:rPr>
          <w:rFonts w:ascii="Arial" w:hAnsi="Arial"/>
          <w:color w:val="FF0000"/>
          <w:spacing w:val="-284"/>
          <w:w w:val="127"/>
          <w:position w:val="-8"/>
          <w:sz w:val="40"/>
        </w:rPr>
        <w:t>§</w:t>
      </w:r>
      <w:r>
        <w:rPr>
          <w:rFonts w:ascii="Arial" w:hAnsi="Arial"/>
          <w:spacing w:val="-284"/>
          <w:w w:val="272"/>
          <w:position w:val="-9"/>
          <w:sz w:val="40"/>
        </w:rPr>
        <w:t>¦</w:t>
      </w:r>
      <w:r>
        <w:rPr>
          <w:rFonts w:ascii="Arial" w:hAnsi="Arial"/>
          <w:color w:val="0000FF"/>
          <w:spacing w:val="-236"/>
          <w:w w:val="21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spacing w:after="0" w:line="468" w:lineRule="exact"/>
        <w:jc w:val="center"/>
        <w:rPr>
          <w:rFonts w:ascii="Arial" w:hAnsi="Arial"/>
          <w:sz w:val="11"/>
        </w:rPr>
        <w:sectPr>
          <w:type w:val="continuous"/>
          <w:pgSz w:w="15840" w:h="24480"/>
          <w:pgMar w:top="1480" w:bottom="1320" w:left="0" w:right="0"/>
          <w:cols w:num="5" w:equalWidth="0">
            <w:col w:w="8316" w:space="40"/>
            <w:col w:w="298" w:space="39"/>
            <w:col w:w="1223" w:space="40"/>
            <w:col w:w="725" w:space="40"/>
            <w:col w:w="5119"/>
          </w:cols>
        </w:sectPr>
      </w:pPr>
    </w:p>
    <w:p>
      <w:pPr>
        <w:tabs>
          <w:tab w:pos="10639" w:val="left" w:leader="none"/>
        </w:tabs>
        <w:spacing w:line="299" w:lineRule="exact" w:before="17"/>
        <w:ind w:left="9357" w:right="0" w:firstLine="0"/>
        <w:jc w:val="left"/>
        <w:rPr>
          <w:rFonts w:ascii="Arial"/>
          <w:sz w:val="24"/>
        </w:rPr>
      </w:pPr>
      <w:r>
        <w:rPr>
          <w:rFonts w:ascii="Arial"/>
          <w:color w:val="FFFFFF"/>
          <w:spacing w:val="-226"/>
          <w:w w:val="290"/>
          <w:sz w:val="28"/>
        </w:rPr>
        <w:t>!</w:t>
      </w:r>
      <w:r>
        <w:rPr>
          <w:rFonts w:ascii="Arial"/>
          <w:color w:val="CC2D31"/>
          <w:spacing w:val="-226"/>
          <w:w w:val="227"/>
          <w:sz w:val="28"/>
        </w:rPr>
        <w:t>"</w:t>
      </w:r>
      <w:r>
        <w:rPr>
          <w:rFonts w:ascii="Arial"/>
          <w:color w:val="FFFFFF"/>
          <w:w w:val="145"/>
          <w:sz w:val="28"/>
        </w:rPr>
        <w:t>$</w:t>
      </w:r>
      <w:r>
        <w:rPr>
          <w:rFonts w:ascii="Arial"/>
          <w:color w:val="FFFFFF"/>
          <w:sz w:val="28"/>
        </w:rPr>
        <w:tab/>
      </w:r>
      <w:r>
        <w:rPr>
          <w:rFonts w:ascii="Arial"/>
          <w:color w:val="FFFF00"/>
          <w:spacing w:val="-167"/>
          <w:w w:val="250"/>
          <w:position w:val="4"/>
          <w:sz w:val="24"/>
        </w:rPr>
        <w:t>!</w:t>
      </w:r>
      <w:r>
        <w:rPr>
          <w:rFonts w:ascii="Arial"/>
          <w:w w:val="208"/>
          <w:position w:val="4"/>
          <w:sz w:val="24"/>
        </w:rPr>
        <w:t>(</w:t>
      </w:r>
    </w:p>
    <w:p>
      <w:pPr>
        <w:spacing w:line="212" w:lineRule="exact" w:before="0"/>
        <w:ind w:left="3842" w:right="246" w:firstLine="0"/>
        <w:jc w:val="center"/>
        <w:rPr>
          <w:rFonts w:ascii="Century Gothic"/>
          <w:b/>
          <w:sz w:val="13"/>
        </w:rPr>
      </w:pPr>
      <w:r>
        <w:rPr/>
        <w:pict>
          <v:shape style="position:absolute;margin-left:388.109027pt;margin-top:42.472781pt;width:48.75pt;height:6.65pt;mso-position-horizontal-relative:page;mso-position-vertical-relative:paragraph;z-index:-267799552;rotation:64" type="#_x0000_t136" fillcolor="#4d4d4d" stroked="f">
            <o:extrusion v:ext="view" autorotationcenter="t"/>
            <v:textpath style="font-family:&quot;Century Gothic&quot;;font-size:6pt;v-text-kern:t;mso-text-shadow:auto;font-weight:bold" string="Queensgate Dr"/>
            <w10:wrap type="none"/>
          </v:shape>
        </w:pict>
      </w:r>
      <w:r>
        <w:rPr>
          <w:rFonts w:ascii="Arial"/>
          <w:color w:val="FFFFFF"/>
          <w:spacing w:val="-226"/>
          <w:w w:val="290"/>
          <w:sz w:val="28"/>
        </w:rPr>
        <w:t>!</w:t>
      </w:r>
      <w:r>
        <w:rPr>
          <w:rFonts w:ascii="Arial"/>
          <w:color w:val="CC2D31"/>
          <w:spacing w:val="-226"/>
          <w:w w:val="227"/>
          <w:sz w:val="28"/>
        </w:rPr>
        <w:t>"</w:t>
      </w:r>
      <w:r>
        <w:rPr>
          <w:rFonts w:ascii="Arial"/>
          <w:color w:val="FFFFFF"/>
          <w:w w:val="145"/>
          <w:sz w:val="28"/>
        </w:rPr>
        <w:t>$</w:t>
      </w:r>
      <w:r>
        <w:rPr>
          <w:rFonts w:ascii="Arial"/>
          <w:color w:val="FFFFFF"/>
          <w:spacing w:val="-8"/>
          <w:sz w:val="28"/>
        </w:rPr>
        <w:t> </w:t>
      </w:r>
      <w:r>
        <w:rPr>
          <w:rFonts w:ascii="Arial"/>
          <w:color w:val="FFFF00"/>
          <w:spacing w:val="-167"/>
          <w:w w:val="250"/>
          <w:position w:val="-13"/>
          <w:sz w:val="24"/>
        </w:rPr>
        <w:t>!</w:t>
      </w:r>
      <w:r>
        <w:rPr>
          <w:rFonts w:ascii="Arial"/>
          <w:w w:val="208"/>
          <w:position w:val="-13"/>
          <w:sz w:val="24"/>
        </w:rPr>
        <w:t>(</w:t>
      </w:r>
      <w:r>
        <w:rPr>
          <w:rFonts w:ascii="Arial"/>
          <w:spacing w:val="4"/>
          <w:position w:val="-13"/>
          <w:sz w:val="24"/>
        </w:rPr>
        <w:t> </w:t>
      </w:r>
      <w:r>
        <w:rPr>
          <w:rFonts w:ascii="Arial"/>
          <w:color w:val="00FF00"/>
          <w:spacing w:val="-167"/>
          <w:w w:val="250"/>
          <w:position w:val="-12"/>
          <w:sz w:val="24"/>
        </w:rPr>
        <w:t>!</w:t>
      </w:r>
      <w:r>
        <w:rPr>
          <w:rFonts w:ascii="Arial"/>
          <w:spacing w:val="-31"/>
          <w:w w:val="208"/>
          <w:position w:val="-12"/>
          <w:sz w:val="24"/>
        </w:rPr>
        <w:t>(</w:t>
      </w:r>
      <w:r>
        <w:rPr>
          <w:rFonts w:ascii="Century Gothic"/>
          <w:b/>
          <w:color w:val="4D4D4D"/>
          <w:spacing w:val="-7"/>
          <w:w w:val="102"/>
          <w:position w:val="1"/>
          <w:sz w:val="13"/>
        </w:rPr>
        <w:t>A</w:t>
      </w:r>
      <w:r>
        <w:rPr>
          <w:rFonts w:ascii="Century Gothic"/>
          <w:b/>
          <w:color w:val="4D4D4D"/>
          <w:spacing w:val="-2"/>
          <w:w w:val="102"/>
          <w:position w:val="1"/>
          <w:sz w:val="13"/>
        </w:rPr>
        <w:t>a</w:t>
      </w:r>
      <w:r>
        <w:rPr>
          <w:rFonts w:ascii="Century Gothic"/>
          <w:b/>
          <w:color w:val="4D4D4D"/>
          <w:spacing w:val="-1"/>
          <w:w w:val="102"/>
          <w:position w:val="1"/>
          <w:sz w:val="13"/>
        </w:rPr>
        <w:t>r</w:t>
      </w:r>
      <w:r>
        <w:rPr>
          <w:rFonts w:ascii="Century Gothic"/>
          <w:b/>
          <w:color w:val="4D4D4D"/>
          <w:spacing w:val="-5"/>
          <w:w w:val="102"/>
          <w:position w:val="1"/>
          <w:sz w:val="13"/>
        </w:rPr>
        <w:t>o</w:t>
      </w:r>
      <w:r>
        <w:rPr>
          <w:rFonts w:ascii="Century Gothic"/>
          <w:b/>
          <w:color w:val="4D4D4D"/>
          <w:w w:val="102"/>
          <w:position w:val="1"/>
          <w:sz w:val="13"/>
        </w:rPr>
        <w:t>n</w:t>
      </w:r>
      <w:r>
        <w:rPr>
          <w:rFonts w:ascii="Century Gothic"/>
          <w:b/>
          <w:color w:val="4D4D4D"/>
          <w:spacing w:val="3"/>
          <w:position w:val="1"/>
          <w:sz w:val="13"/>
        </w:rPr>
        <w:t> </w:t>
      </w:r>
      <w:r>
        <w:rPr>
          <w:rFonts w:ascii="Century Gothic"/>
          <w:b/>
          <w:color w:val="4D4D4D"/>
          <w:spacing w:val="-2"/>
          <w:w w:val="102"/>
          <w:position w:val="1"/>
          <w:sz w:val="13"/>
        </w:rPr>
        <w:t>D</w:t>
      </w:r>
      <w:r>
        <w:rPr>
          <w:rFonts w:ascii="Century Gothic"/>
          <w:b/>
          <w:color w:val="4D4D4D"/>
          <w:w w:val="102"/>
          <w:position w:val="1"/>
          <w:sz w:val="13"/>
        </w:rPr>
        <w:t>r</w:t>
      </w:r>
    </w:p>
    <w:p>
      <w:pPr>
        <w:spacing w:after="0" w:line="212" w:lineRule="exact"/>
        <w:jc w:val="center"/>
        <w:rPr>
          <w:rFonts w:ascii="Century Gothic"/>
          <w:sz w:val="13"/>
        </w:rPr>
        <w:sectPr>
          <w:type w:val="continuous"/>
          <w:pgSz w:w="15840" w:h="24480"/>
          <w:pgMar w:top="1480" w:bottom="1320" w:left="0" w:right="0"/>
        </w:sectPr>
      </w:pPr>
    </w:p>
    <w:p>
      <w:pPr>
        <w:pStyle w:val="BodyText"/>
        <w:rPr>
          <w:rFonts w:ascii="Century Gothic"/>
          <w:b/>
          <w:sz w:val="40"/>
        </w:rPr>
      </w:pPr>
    </w:p>
    <w:p>
      <w:pPr>
        <w:pStyle w:val="BodyText"/>
        <w:rPr>
          <w:rFonts w:ascii="Century Gothic"/>
          <w:b/>
          <w:sz w:val="40"/>
        </w:rPr>
      </w:pPr>
    </w:p>
    <w:p>
      <w:pPr>
        <w:pStyle w:val="BodyText"/>
        <w:spacing w:before="9"/>
        <w:rPr>
          <w:rFonts w:ascii="Century Gothic"/>
          <w:b/>
          <w:sz w:val="30"/>
        </w:rPr>
      </w:pPr>
    </w:p>
    <w:p>
      <w:pPr>
        <w:spacing w:before="0"/>
        <w:ind w:left="0" w:right="0" w:firstLine="0"/>
        <w:jc w:val="right"/>
        <w:rPr>
          <w:rFonts w:ascii="Arial" w:hAnsi="Arial"/>
          <w:b/>
          <w:sz w:val="11"/>
        </w:rPr>
      </w:pPr>
      <w:r>
        <w:rPr>
          <w:rFonts w:ascii="Arial" w:hAnsi="Arial"/>
          <w:color w:val="FF0000"/>
          <w:spacing w:val="-284"/>
          <w:w w:val="127"/>
          <w:position w:val="-8"/>
          <w:sz w:val="40"/>
        </w:rPr>
        <w:t>§</w:t>
      </w:r>
      <w:r>
        <w:rPr>
          <w:rFonts w:ascii="Arial" w:hAnsi="Arial"/>
          <w:spacing w:val="-284"/>
          <w:w w:val="272"/>
          <w:position w:val="-9"/>
          <w:sz w:val="40"/>
        </w:rPr>
        <w:t>¦</w:t>
      </w:r>
      <w:r>
        <w:rPr>
          <w:rFonts w:ascii="Arial" w:hAnsi="Arial"/>
          <w:color w:val="0000FF"/>
          <w:spacing w:val="-242"/>
          <w:w w:val="212"/>
          <w:position w:val="-9"/>
          <w:sz w:val="40"/>
        </w:rPr>
        <w:t>¨</w:t>
      </w:r>
      <w:r>
        <w:rPr>
          <w:rFonts w:ascii="Arial" w:hAnsi="Arial"/>
          <w:b/>
          <w:color w:val="FFFFFF"/>
          <w:spacing w:val="-4"/>
          <w:w w:val="105"/>
          <w:sz w:val="11"/>
        </w:rPr>
        <w:t>1</w:t>
      </w:r>
      <w:r>
        <w:rPr>
          <w:rFonts w:ascii="Arial" w:hAnsi="Arial"/>
          <w:b/>
          <w:color w:val="FFFFFF"/>
          <w:spacing w:val="1"/>
          <w:w w:val="105"/>
          <w:sz w:val="11"/>
        </w:rPr>
        <w:t>8</w:t>
      </w:r>
      <w:r>
        <w:rPr>
          <w:rFonts w:ascii="Arial" w:hAnsi="Arial"/>
          <w:b/>
          <w:color w:val="FFFFFF"/>
          <w:w w:val="105"/>
          <w:sz w:val="11"/>
        </w:rPr>
        <w:t>2</w:t>
      </w:r>
    </w:p>
    <w:p>
      <w:pPr>
        <w:pStyle w:val="BodyText"/>
        <w:rPr>
          <w:rFonts w:ascii="Arial"/>
          <w:b/>
          <w:sz w:val="30"/>
        </w:rPr>
      </w:pPr>
      <w:r>
        <w:rPr/>
        <w:br w:type="column"/>
      </w:r>
      <w:r>
        <w:rPr>
          <w:rFonts w:ascii="Arial"/>
          <w:b/>
          <w:sz w:val="30"/>
        </w:rPr>
      </w:r>
    </w:p>
    <w:p>
      <w:pPr>
        <w:pStyle w:val="BodyText"/>
        <w:spacing w:before="3"/>
        <w:rPr>
          <w:rFonts w:ascii="Arial"/>
          <w:b/>
          <w:sz w:val="27"/>
        </w:rPr>
      </w:pPr>
    </w:p>
    <w:p>
      <w:pPr>
        <w:pStyle w:val="Heading9"/>
        <w:jc w:val="right"/>
      </w:pPr>
      <w:r>
        <w:rPr/>
        <w:pict>
          <v:shape style="position:absolute;margin-left:340.231781pt;margin-top:-8.460742pt;width:36.450pt;height:6.65pt;mso-position-horizontal-relative:page;mso-position-vertical-relative:paragraph;z-index:-267774976;rotation:334" type="#_x0000_t136" fillcolor="#4d4d4d" stroked="f">
            <o:extrusion v:ext="view" autorotationcenter="t"/>
            <v:textpath style="font-family:&quot;Century Gothic&quot;;font-size:6pt;v-text-kern:t;mso-text-shadow:auto;font-weight:bold" string="Duportail St"/>
            <w10:wrap type="none"/>
          </v:shape>
        </w:pict>
      </w:r>
      <w:r>
        <w:rPr>
          <w:color w:val="FFFFFF"/>
          <w:spacing w:val="-224"/>
          <w:w w:val="133"/>
        </w:rPr>
        <w:t>é</w:t>
      </w:r>
      <w:r>
        <w:rPr>
          <w:spacing w:val="-224"/>
          <w:w w:val="133"/>
        </w:rPr>
        <w:t>è</w:t>
      </w:r>
      <w:r>
        <w:rPr>
          <w:color w:val="CC2D31"/>
          <w:spacing w:val="-224"/>
          <w:w w:val="267"/>
        </w:rPr>
        <w:t>í</w:t>
      </w:r>
      <w:r>
        <w:rPr>
          <w:color w:val="38A700"/>
          <w:spacing w:val="-224"/>
          <w:w w:val="133"/>
        </w:rPr>
        <w:t>ë</w:t>
      </w:r>
      <w:r>
        <w:rPr>
          <w:color w:val="FFFF00"/>
          <w:w w:val="267"/>
        </w:rPr>
        <w:t>ì</w:t>
      </w:r>
    </w:p>
    <w:p>
      <w:pPr>
        <w:pStyle w:val="BodyText"/>
        <w:spacing w:before="2"/>
        <w:rPr>
          <w:rFonts w:ascii="Arial"/>
          <w:sz w:val="37"/>
        </w:rPr>
      </w:pPr>
      <w:r>
        <w:rPr/>
        <w:br w:type="column"/>
      </w:r>
      <w:r>
        <w:rPr>
          <w:rFonts w:ascii="Arial"/>
          <w:sz w:val="37"/>
        </w:rPr>
      </w:r>
    </w:p>
    <w:p>
      <w:pPr>
        <w:spacing w:before="0"/>
        <w:ind w:left="88" w:right="0" w:firstLine="0"/>
        <w:jc w:val="left"/>
        <w:rPr>
          <w:rFonts w:ascii="Arial"/>
          <w:sz w:val="28"/>
        </w:rPr>
      </w:pPr>
      <w:r>
        <w:rPr/>
        <w:pict>
          <v:shape style="position:absolute;margin-left:319.687775pt;margin-top:-11.161655pt;width:39.050pt;height:6.65pt;mso-position-horizontal-relative:page;mso-position-vertical-relative:paragraph;z-index:252231680;rotation:13" type="#_x0000_t136" fillcolor="#4d4d4d" stroked="f">
            <o:extrusion v:ext="view" autorotationcenter="t"/>
            <v:textpath style="font-family:&quot;Century Gothic&quot;;font-size:6pt;v-text-kern:t;mso-text-shadow:auto;font-weight:bold" string="Kennedy Rd"/>
            <w10:wrap type="none"/>
          </v:shape>
        </w:pict>
      </w:r>
      <w:r>
        <w:rPr>
          <w:rFonts w:ascii="Arial"/>
          <w:color w:val="FFFFFF"/>
          <w:spacing w:val="-226"/>
          <w:w w:val="290"/>
          <w:sz w:val="28"/>
        </w:rPr>
        <w:t>!</w:t>
      </w:r>
      <w:r>
        <w:rPr>
          <w:rFonts w:ascii="Arial"/>
          <w:color w:val="CC2D31"/>
          <w:spacing w:val="-226"/>
          <w:w w:val="227"/>
          <w:sz w:val="28"/>
        </w:rPr>
        <w:t>"</w:t>
      </w:r>
      <w:r>
        <w:rPr>
          <w:rFonts w:ascii="Arial"/>
          <w:color w:val="FFFFFF"/>
          <w:w w:val="145"/>
          <w:sz w:val="28"/>
        </w:rPr>
        <w:t>$</w:t>
      </w:r>
    </w:p>
    <w:p>
      <w:pPr>
        <w:spacing w:before="127"/>
        <w:ind w:left="218" w:right="0" w:firstLine="0"/>
        <w:jc w:val="left"/>
        <w:rPr>
          <w:rFonts w:ascii="Arial" w:hAnsi="Arial"/>
          <w:sz w:val="30"/>
        </w:rPr>
      </w:pPr>
      <w:r>
        <w:rPr/>
        <w:br w:type="column"/>
      </w:r>
      <w:r>
        <w:rPr>
          <w:rFonts w:ascii="Arial" w:hAnsi="Arial"/>
          <w:color w:val="CC2D31"/>
          <w:spacing w:val="-224"/>
          <w:w w:val="267"/>
          <w:sz w:val="30"/>
        </w:rPr>
        <w:t>í</w:t>
      </w:r>
      <w:r>
        <w:rPr>
          <w:rFonts w:ascii="Arial" w:hAnsi="Arial"/>
          <w:spacing w:val="-224"/>
          <w:w w:val="133"/>
          <w:sz w:val="30"/>
        </w:rPr>
        <w:t>è</w:t>
      </w:r>
      <w:r>
        <w:rPr>
          <w:rFonts w:ascii="Arial" w:hAnsi="Arial"/>
          <w:color w:val="FFFFFF"/>
          <w:spacing w:val="-224"/>
          <w:w w:val="133"/>
          <w:sz w:val="30"/>
        </w:rPr>
        <w:t>é</w:t>
      </w:r>
      <w:r>
        <w:rPr>
          <w:rFonts w:ascii="Arial" w:hAnsi="Arial"/>
          <w:color w:val="FFFF00"/>
          <w:spacing w:val="-224"/>
          <w:w w:val="267"/>
          <w:sz w:val="30"/>
        </w:rPr>
        <w:t>ì</w:t>
      </w:r>
      <w:r>
        <w:rPr>
          <w:rFonts w:ascii="Arial" w:hAnsi="Arial"/>
          <w:color w:val="38A700"/>
          <w:w w:val="133"/>
          <w:sz w:val="30"/>
        </w:rPr>
        <w:t>ë</w:t>
      </w:r>
    </w:p>
    <w:p>
      <w:pPr>
        <w:spacing w:before="11"/>
        <w:ind w:left="0" w:right="0" w:firstLine="0"/>
        <w:jc w:val="right"/>
        <w:rPr>
          <w:rFonts w:ascii="Arial"/>
          <w:sz w:val="24"/>
        </w:rPr>
      </w:pPr>
      <w:r>
        <w:rPr/>
        <w:br w:type="column"/>
      </w:r>
      <w:r>
        <w:rPr>
          <w:rFonts w:ascii="Arial"/>
          <w:w w:val="205"/>
          <w:sz w:val="24"/>
        </w:rPr>
        <w:t>(</w:t>
      </w:r>
    </w:p>
    <w:p>
      <w:pPr>
        <w:pStyle w:val="BodyText"/>
        <w:rPr>
          <w:rFonts w:ascii="Arial"/>
          <w:sz w:val="24"/>
        </w:rPr>
      </w:pPr>
    </w:p>
    <w:p>
      <w:pPr>
        <w:spacing w:line="216" w:lineRule="exact" w:before="146"/>
        <w:ind w:left="168" w:right="0" w:firstLine="0"/>
        <w:jc w:val="left"/>
        <w:rPr>
          <w:rFonts w:ascii="Arial"/>
          <w:sz w:val="24"/>
        </w:rPr>
      </w:pPr>
      <w:r>
        <w:rPr>
          <w:rFonts w:ascii="Arial"/>
          <w:color w:val="FFFF00"/>
          <w:spacing w:val="-167"/>
          <w:w w:val="250"/>
          <w:sz w:val="24"/>
        </w:rPr>
        <w:t>!</w:t>
      </w:r>
      <w:r>
        <w:rPr>
          <w:rFonts w:ascii="Arial"/>
          <w:w w:val="208"/>
          <w:sz w:val="24"/>
        </w:rPr>
        <w:t>(</w:t>
      </w:r>
    </w:p>
    <w:p>
      <w:pPr>
        <w:spacing w:line="216" w:lineRule="exact" w:before="0"/>
        <w:ind w:left="240" w:right="0" w:firstLine="0"/>
        <w:jc w:val="left"/>
        <w:rPr>
          <w:rFonts w:ascii="Arial"/>
          <w:sz w:val="24"/>
        </w:rPr>
      </w:pPr>
      <w:r>
        <w:rPr>
          <w:rFonts w:ascii="Arial"/>
          <w:spacing w:val="-167"/>
          <w:w w:val="208"/>
          <w:sz w:val="24"/>
        </w:rPr>
        <w:t>(</w:t>
      </w:r>
      <w:r>
        <w:rPr>
          <w:rFonts w:ascii="Arial"/>
          <w:color w:val="00FF00"/>
          <w:w w:val="250"/>
          <w:sz w:val="24"/>
        </w:rPr>
        <w:t>!</w:t>
      </w:r>
    </w:p>
    <w:p>
      <w:pPr>
        <w:spacing w:before="101"/>
        <w:ind w:left="152" w:right="0" w:firstLine="0"/>
        <w:jc w:val="left"/>
        <w:rPr>
          <w:rFonts w:ascii="Arial"/>
          <w:sz w:val="24"/>
        </w:rPr>
      </w:pPr>
      <w:r>
        <w:rPr>
          <w:rFonts w:ascii="Arial"/>
          <w:color w:val="FFFF00"/>
          <w:spacing w:val="-167"/>
          <w:w w:val="250"/>
          <w:sz w:val="24"/>
        </w:rPr>
        <w:t>!</w:t>
      </w:r>
      <w:r>
        <w:rPr>
          <w:rFonts w:ascii="Arial"/>
          <w:w w:val="208"/>
          <w:sz w:val="24"/>
        </w:rPr>
        <w:t>(</w:t>
      </w:r>
    </w:p>
    <w:p>
      <w:pPr>
        <w:pStyle w:val="BodyText"/>
        <w:spacing w:before="1"/>
        <w:rPr>
          <w:rFonts w:ascii="Arial"/>
          <w:sz w:val="20"/>
        </w:rPr>
      </w:pPr>
    </w:p>
    <w:p>
      <w:pPr>
        <w:spacing w:before="0"/>
        <w:ind w:left="97" w:right="0" w:firstLine="0"/>
        <w:jc w:val="left"/>
        <w:rPr>
          <w:rFonts w:ascii="Arial" w:hAnsi="Arial"/>
          <w:sz w:val="30"/>
        </w:rPr>
      </w:pPr>
      <w:r>
        <w:rPr/>
        <w:pict>
          <v:shape style="position:absolute;margin-left:446.434021pt;margin-top:10.774149pt;width:31.05pt;height:6.65pt;mso-position-horizontal-relative:page;mso-position-vertical-relative:paragraph;z-index:-267801600;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438.859766pt;margin-top:19.557422pt;width:22.2pt;height:6.65pt;mso-position-horizontal-relative:page;mso-position-vertical-relative:paragraph;z-index:252236800;rotation:48" type="#_x0000_t136" fillcolor="#4d4d4d" stroked="f">
            <o:extrusion v:ext="view" autorotationcenter="t"/>
            <v:textpath style="font-family:&quot;Century Gothic&quot;;font-size:6pt;v-text-kern:t;mso-text-shadow:auto;font-weight:bold" string="Fuji Wy"/>
            <w10:wrap type="none"/>
          </v:shape>
        </w:pict>
      </w:r>
      <w:r>
        <w:rPr>
          <w:rFonts w:ascii="Century Gothic" w:hAnsi="Century Gothic"/>
          <w:b/>
          <w:color w:val="4D4D4D"/>
          <w:spacing w:val="-5"/>
          <w:w w:val="102"/>
          <w:sz w:val="13"/>
        </w:rPr>
        <w:t>S</w:t>
      </w:r>
      <w:r>
        <w:rPr>
          <w:rFonts w:ascii="Century Gothic" w:hAnsi="Century Gothic"/>
          <w:b/>
          <w:color w:val="4D4D4D"/>
          <w:spacing w:val="1"/>
          <w:w w:val="102"/>
          <w:sz w:val="13"/>
        </w:rPr>
        <w:t>h</w:t>
      </w:r>
      <w:r>
        <w:rPr>
          <w:rFonts w:ascii="Century Gothic" w:hAnsi="Century Gothic"/>
          <w:b/>
          <w:color w:val="4D4D4D"/>
          <w:spacing w:val="-4"/>
          <w:w w:val="102"/>
          <w:sz w:val="13"/>
        </w:rPr>
        <w:t>oc</w:t>
      </w:r>
      <w:r>
        <w:rPr>
          <w:rFonts w:ascii="Century Gothic" w:hAnsi="Century Gothic"/>
          <w:b/>
          <w:color w:val="4D4D4D"/>
          <w:spacing w:val="-2"/>
          <w:w w:val="102"/>
          <w:sz w:val="13"/>
        </w:rPr>
        <w:t>k</w:t>
      </w:r>
      <w:r>
        <w:rPr>
          <w:rFonts w:ascii="Century Gothic" w:hAnsi="Century Gothic"/>
          <w:b/>
          <w:color w:val="4D4D4D"/>
          <w:spacing w:val="-1"/>
          <w:w w:val="102"/>
          <w:sz w:val="13"/>
        </w:rPr>
        <w:t>l</w:t>
      </w:r>
      <w:r>
        <w:rPr>
          <w:rFonts w:ascii="Century Gothic" w:hAnsi="Century Gothic"/>
          <w:b/>
          <w:color w:val="4D4D4D"/>
          <w:spacing w:val="1"/>
          <w:w w:val="102"/>
          <w:position w:val="1"/>
          <w:sz w:val="13"/>
        </w:rPr>
        <w:t>e</w:t>
      </w:r>
      <w:r>
        <w:rPr>
          <w:rFonts w:ascii="Century Gothic" w:hAnsi="Century Gothic"/>
          <w:b/>
          <w:color w:val="4D4D4D"/>
          <w:w w:val="102"/>
          <w:position w:val="1"/>
          <w:sz w:val="13"/>
        </w:rPr>
        <w:t>y</w:t>
      </w:r>
      <w:r>
        <w:rPr>
          <w:rFonts w:ascii="Century Gothic" w:hAnsi="Century Gothic"/>
          <w:b/>
          <w:color w:val="4D4D4D"/>
          <w:spacing w:val="-5"/>
          <w:position w:val="1"/>
          <w:sz w:val="13"/>
        </w:rPr>
        <w:t> </w:t>
      </w:r>
      <w:r>
        <w:rPr>
          <w:rFonts w:ascii="Century Gothic" w:hAnsi="Century Gothic"/>
          <w:b/>
          <w:color w:val="4D4D4D"/>
          <w:spacing w:val="-4"/>
          <w:w w:val="102"/>
          <w:position w:val="1"/>
          <w:sz w:val="13"/>
        </w:rPr>
        <w:t>R</w:t>
      </w:r>
      <w:r>
        <w:rPr>
          <w:rFonts w:ascii="Century Gothic" w:hAnsi="Century Gothic"/>
          <w:b/>
          <w:color w:val="4D4D4D"/>
          <w:spacing w:val="-73"/>
          <w:w w:val="102"/>
          <w:position w:val="1"/>
          <w:sz w:val="13"/>
        </w:rPr>
        <w:t>d</w:t>
      </w:r>
      <w:r>
        <w:rPr>
          <w:rFonts w:ascii="Arial" w:hAnsi="Arial"/>
          <w:spacing w:val="-224"/>
          <w:w w:val="133"/>
          <w:position w:val="-6"/>
          <w:sz w:val="30"/>
        </w:rPr>
        <w:t>è</w:t>
      </w:r>
      <w:r>
        <w:rPr>
          <w:rFonts w:ascii="Arial" w:hAnsi="Arial"/>
          <w:color w:val="FFFF00"/>
          <w:spacing w:val="-224"/>
          <w:w w:val="267"/>
          <w:position w:val="-6"/>
          <w:sz w:val="30"/>
        </w:rPr>
        <w:t>ì</w:t>
      </w:r>
      <w:r>
        <w:rPr>
          <w:rFonts w:ascii="Arial" w:hAnsi="Arial"/>
          <w:color w:val="38A700"/>
          <w:spacing w:val="-224"/>
          <w:w w:val="133"/>
          <w:position w:val="-6"/>
          <w:sz w:val="30"/>
        </w:rPr>
        <w:t>ë</w:t>
      </w:r>
      <w:r>
        <w:rPr>
          <w:rFonts w:ascii="Arial" w:hAnsi="Arial"/>
          <w:color w:val="FFFFFF"/>
          <w:spacing w:val="-224"/>
          <w:w w:val="133"/>
          <w:position w:val="-6"/>
          <w:sz w:val="30"/>
        </w:rPr>
        <w:t>é</w:t>
      </w:r>
      <w:r>
        <w:rPr>
          <w:rFonts w:ascii="Arial" w:hAnsi="Arial"/>
          <w:color w:val="CC2D31"/>
          <w:w w:val="267"/>
          <w:position w:val="-6"/>
          <w:sz w:val="30"/>
        </w:rPr>
        <w:t>í</w:t>
      </w:r>
    </w:p>
    <w:p>
      <w:pPr>
        <w:pStyle w:val="BodyText"/>
        <w:rPr>
          <w:rFonts w:ascii="Arial"/>
          <w:sz w:val="36"/>
        </w:rPr>
      </w:pPr>
      <w:r>
        <w:rPr/>
        <w:br w:type="column"/>
      </w:r>
      <w:r>
        <w:rPr>
          <w:rFonts w:ascii="Arial"/>
          <w:sz w:val="36"/>
        </w:rPr>
      </w:r>
    </w:p>
    <w:p>
      <w:pPr>
        <w:pStyle w:val="BodyText"/>
        <w:rPr>
          <w:rFonts w:ascii="Arial"/>
          <w:sz w:val="36"/>
        </w:rPr>
      </w:pPr>
    </w:p>
    <w:p>
      <w:pPr>
        <w:pStyle w:val="BodyText"/>
        <w:spacing w:before="9"/>
        <w:rPr>
          <w:rFonts w:ascii="Arial"/>
          <w:sz w:val="28"/>
        </w:rPr>
      </w:pPr>
    </w:p>
    <w:p>
      <w:pPr>
        <w:spacing w:before="0"/>
        <w:ind w:left="0" w:right="0" w:firstLine="0"/>
        <w:jc w:val="right"/>
        <w:rPr>
          <w:rFonts w:ascii="Arial"/>
          <w:b/>
          <w:sz w:val="13"/>
        </w:rPr>
      </w:pPr>
      <w:r>
        <w:rPr>
          <w:rFonts w:ascii="Arial Black"/>
          <w:color w:val="FFFFFF"/>
          <w:spacing w:val="-271"/>
          <w:w w:val="101"/>
          <w:position w:val="-2"/>
          <w:sz w:val="32"/>
        </w:rPr>
        <w:t>U</w:t>
      </w:r>
      <w:r>
        <w:rPr>
          <w:rFonts w:ascii="Arial Black"/>
          <w:spacing w:val="-252"/>
          <w:w w:val="108"/>
          <w:position w:val="-2"/>
          <w:sz w:val="32"/>
        </w:rPr>
        <w:t>V</w:t>
      </w:r>
      <w:r>
        <w:rPr>
          <w:rFonts w:ascii="Arial"/>
          <w:b/>
          <w:spacing w:val="-2"/>
          <w:w w:val="102"/>
          <w:sz w:val="13"/>
        </w:rPr>
        <w:t>2</w:t>
      </w:r>
      <w:r>
        <w:rPr>
          <w:rFonts w:ascii="Arial"/>
          <w:b/>
          <w:spacing w:val="3"/>
          <w:w w:val="102"/>
          <w:sz w:val="13"/>
        </w:rPr>
        <w:t>4</w:t>
      </w:r>
      <w:r>
        <w:rPr>
          <w:rFonts w:ascii="Arial"/>
          <w:b/>
          <w:w w:val="102"/>
          <w:sz w:val="13"/>
        </w:rPr>
        <w:t>0</w:t>
      </w:r>
    </w:p>
    <w:p>
      <w:pPr>
        <w:spacing w:before="234"/>
        <w:ind w:left="0" w:right="681" w:firstLine="0"/>
        <w:jc w:val="right"/>
        <w:rPr>
          <w:rFonts w:ascii="Arial"/>
          <w:sz w:val="24"/>
        </w:rPr>
      </w:pPr>
      <w:r>
        <w:rPr/>
        <w:pict>
          <v:shape style="position:absolute;margin-left:560.044678pt;margin-top:15.354452pt;width:56.3pt;height:6.65pt;mso-position-horizontal-relative:page;mso-position-vertical-relative:paragraph;z-index:-267804672;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482.537903pt;margin-top:27.350077pt;width:44.65pt;height:6.65pt;mso-position-horizontal-relative:page;mso-position-vertical-relative:paragraph;z-index:252264448;rotation:358" type="#_x0000_t136" fillcolor="#4d4d4d" stroked="f">
            <o:extrusion v:ext="view" autorotationcenter="t"/>
            <v:textpath style="font-family:&quot;Century Gothic&quot;;font-size:6pt;v-text-kern:t;mso-text-shadow:auto;font-weight:bold" string="Englewood Dr"/>
            <w10:wrap type="none"/>
          </v:shape>
        </w:pict>
      </w:r>
      <w:r>
        <w:rPr>
          <w:rFonts w:ascii="Arial"/>
          <w:color w:val="00FF00"/>
          <w:spacing w:val="-169"/>
          <w:w w:val="230"/>
          <w:sz w:val="24"/>
        </w:rPr>
        <w:t>!</w:t>
      </w:r>
      <w:r>
        <w:rPr>
          <w:rFonts w:ascii="Arial"/>
          <w:spacing w:val="-169"/>
          <w:w w:val="230"/>
          <w:sz w:val="24"/>
        </w:rPr>
        <w:t>(</w:t>
      </w:r>
    </w:p>
    <w:p>
      <w:pPr>
        <w:pStyle w:val="BodyText"/>
        <w:rPr>
          <w:rFonts w:ascii="Arial"/>
          <w:sz w:val="36"/>
        </w:rPr>
      </w:pPr>
      <w:r>
        <w:rPr/>
        <w:br w:type="column"/>
      </w:r>
      <w:r>
        <w:rPr>
          <w:rFonts w:ascii="Arial"/>
          <w:sz w:val="36"/>
        </w:rPr>
      </w:r>
    </w:p>
    <w:p>
      <w:pPr>
        <w:pStyle w:val="BodyText"/>
        <w:rPr>
          <w:rFonts w:ascii="Arial"/>
          <w:sz w:val="36"/>
        </w:rPr>
      </w:pPr>
    </w:p>
    <w:p>
      <w:pPr>
        <w:pStyle w:val="BodyText"/>
        <w:rPr>
          <w:rFonts w:ascii="Arial"/>
          <w:sz w:val="36"/>
        </w:rPr>
      </w:pPr>
    </w:p>
    <w:p>
      <w:pPr>
        <w:pStyle w:val="BodyText"/>
        <w:rPr>
          <w:rFonts w:ascii="Arial"/>
          <w:sz w:val="36"/>
        </w:rPr>
      </w:pPr>
    </w:p>
    <w:p>
      <w:pPr>
        <w:pStyle w:val="BodyText"/>
        <w:spacing w:before="5"/>
        <w:rPr>
          <w:rFonts w:ascii="Arial"/>
          <w:sz w:val="30"/>
        </w:rPr>
      </w:pPr>
    </w:p>
    <w:p>
      <w:pPr>
        <w:spacing w:line="341" w:lineRule="exact" w:before="0"/>
        <w:ind w:left="179" w:right="0" w:firstLine="0"/>
        <w:jc w:val="left"/>
        <w:rPr>
          <w:rFonts w:ascii="Arial"/>
          <w:sz w:val="16"/>
        </w:rPr>
      </w:pPr>
      <w:r>
        <w:rPr>
          <w:rFonts w:ascii="Arial Black"/>
          <w:spacing w:val="-244"/>
          <w:w w:val="104"/>
          <w:sz w:val="36"/>
        </w:rPr>
        <w:t>2</w:t>
      </w:r>
      <w:r>
        <w:rPr>
          <w:rFonts w:ascii="Arial"/>
          <w:color w:val="FFAA00"/>
          <w:spacing w:val="-177"/>
          <w:w w:val="254"/>
          <w:position w:val="1"/>
          <w:sz w:val="34"/>
        </w:rPr>
        <w:t>!</w:t>
      </w:r>
      <w:r>
        <w:rPr>
          <w:rFonts w:ascii="Arial"/>
          <w:color w:val="FFFFFF"/>
          <w:w w:val="252"/>
          <w:position w:val="7"/>
          <w:sz w:val="16"/>
        </w:rPr>
        <w:t>!</w:t>
      </w:r>
    </w:p>
    <w:p>
      <w:pPr>
        <w:pStyle w:val="BodyText"/>
        <w:rPr>
          <w:rFonts w:ascii="Arial"/>
          <w:sz w:val="28"/>
        </w:rPr>
      </w:pPr>
      <w:r>
        <w:rPr/>
        <w:br w:type="column"/>
      </w:r>
      <w:r>
        <w:rPr>
          <w:rFonts w:ascii="Arial"/>
          <w:sz w:val="28"/>
        </w:rPr>
      </w: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spacing w:before="10"/>
        <w:rPr>
          <w:rFonts w:ascii="Arial"/>
          <w:sz w:val="21"/>
        </w:rPr>
      </w:pPr>
    </w:p>
    <w:p>
      <w:pPr>
        <w:spacing w:line="163" w:lineRule="exact" w:before="0"/>
        <w:ind w:left="326" w:right="0" w:firstLine="0"/>
        <w:jc w:val="left"/>
        <w:rPr>
          <w:rFonts w:ascii="Arial"/>
          <w:sz w:val="28"/>
        </w:rPr>
      </w:pPr>
      <w:r>
        <w:rPr/>
        <w:pict>
          <v:shape style="position:absolute;margin-left:448.014178pt;margin-top:31.574742pt;width:27.75pt;height:6.65pt;mso-position-horizontal-relative:page;mso-position-vertical-relative:paragraph;z-index:-267782144;rotation:272" type="#_x0000_t136" fillcolor="#4d4d4d" stroked="f">
            <o:extrusion v:ext="view" autorotationcenter="t"/>
            <v:textpath style="font-family:&quot;Century Gothic&quot;;font-size:6pt;v-text-kern:t;mso-text-shadow:auto;font-weight:bold" string="Gala Wy"/>
            <w10:wrap type="none"/>
          </v:shape>
        </w:pict>
      </w:r>
      <w:r>
        <w:rPr>
          <w:rFonts w:ascii="Arial"/>
          <w:color w:val="FFFFFF"/>
          <w:spacing w:val="-226"/>
          <w:w w:val="290"/>
          <w:sz w:val="28"/>
        </w:rPr>
        <w:t>!</w:t>
      </w:r>
      <w:r>
        <w:rPr>
          <w:rFonts w:ascii="Arial"/>
          <w:color w:val="FFFFFF"/>
          <w:spacing w:val="-226"/>
          <w:w w:val="145"/>
          <w:sz w:val="28"/>
        </w:rPr>
        <w:t>$</w:t>
      </w:r>
      <w:r>
        <w:rPr>
          <w:rFonts w:ascii="Arial"/>
          <w:color w:val="CC2D31"/>
          <w:w w:val="227"/>
          <w:sz w:val="28"/>
        </w:rPr>
        <w:t>"</w:t>
      </w:r>
    </w:p>
    <w:p>
      <w:pPr>
        <w:pStyle w:val="BodyText"/>
        <w:rPr>
          <w:rFonts w:ascii="Arial"/>
          <w:sz w:val="28"/>
        </w:rPr>
      </w:pPr>
      <w:r>
        <w:rPr/>
        <w:br w:type="column"/>
      </w:r>
      <w:r>
        <w:rPr>
          <w:rFonts w:ascii="Arial"/>
          <w:sz w:val="28"/>
        </w:rPr>
      </w: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spacing w:before="4"/>
        <w:rPr>
          <w:rFonts w:ascii="Arial"/>
          <w:sz w:val="23"/>
        </w:rPr>
      </w:pPr>
    </w:p>
    <w:p>
      <w:pPr>
        <w:spacing w:line="146" w:lineRule="exact" w:before="0"/>
        <w:ind w:left="819" w:right="0" w:firstLine="0"/>
        <w:jc w:val="left"/>
        <w:rPr>
          <w:rFonts w:ascii="Arial"/>
          <w:sz w:val="28"/>
        </w:rPr>
      </w:pPr>
      <w:r>
        <w:rPr>
          <w:rFonts w:ascii="Arial"/>
          <w:color w:val="FFFFFF"/>
          <w:spacing w:val="-226"/>
          <w:w w:val="145"/>
          <w:sz w:val="28"/>
        </w:rPr>
        <w:t>$</w:t>
      </w:r>
      <w:r>
        <w:rPr>
          <w:rFonts w:ascii="Arial"/>
          <w:color w:val="FFFFFF"/>
          <w:spacing w:val="-226"/>
          <w:w w:val="290"/>
          <w:sz w:val="28"/>
        </w:rPr>
        <w:t>!</w:t>
      </w:r>
      <w:r>
        <w:rPr>
          <w:rFonts w:ascii="Arial"/>
          <w:color w:val="CC2D31"/>
          <w:w w:val="227"/>
          <w:sz w:val="28"/>
        </w:rPr>
        <w:t>"</w:t>
      </w:r>
    </w:p>
    <w:p>
      <w:pPr>
        <w:spacing w:after="0" w:line="146" w:lineRule="exact"/>
        <w:jc w:val="left"/>
        <w:rPr>
          <w:rFonts w:ascii="Arial"/>
          <w:sz w:val="28"/>
        </w:rPr>
        <w:sectPr>
          <w:type w:val="continuous"/>
          <w:pgSz w:w="15840" w:h="24480"/>
          <w:pgMar w:top="1480" w:bottom="1320" w:left="0" w:right="0"/>
          <w:cols w:num="9" w:equalWidth="0">
            <w:col w:w="5870" w:space="40"/>
            <w:col w:w="1144" w:space="39"/>
            <w:col w:w="315" w:space="39"/>
            <w:col w:w="442" w:space="39"/>
            <w:col w:w="1433" w:space="40"/>
            <w:col w:w="2637" w:space="40"/>
            <w:col w:w="365" w:space="39"/>
            <w:col w:w="553" w:space="39"/>
            <w:col w:w="2766"/>
          </w:cols>
        </w:sectPr>
      </w:pPr>
    </w:p>
    <w:p>
      <w:pPr>
        <w:spacing w:before="65"/>
        <w:ind w:left="0" w:right="0" w:firstLine="0"/>
        <w:jc w:val="right"/>
        <w:rPr>
          <w:rFonts w:ascii="Century Gothic"/>
          <w:b/>
          <w:sz w:val="13"/>
        </w:rPr>
      </w:pPr>
      <w:r>
        <w:rPr>
          <w:rFonts w:ascii="Century Gothic"/>
          <w:b/>
          <w:color w:val="4D4D4D"/>
          <w:spacing w:val="-4"/>
          <w:w w:val="102"/>
          <w:sz w:val="13"/>
        </w:rPr>
        <w:t>W</w:t>
      </w:r>
      <w:r>
        <w:rPr>
          <w:rFonts w:ascii="Century Gothic"/>
          <w:b/>
          <w:color w:val="4D4D4D"/>
          <w:spacing w:val="2"/>
          <w:w w:val="102"/>
          <w:sz w:val="13"/>
        </w:rPr>
        <w:t>e</w:t>
      </w:r>
      <w:r>
        <w:rPr>
          <w:rFonts w:ascii="Century Gothic"/>
          <w:b/>
          <w:color w:val="4D4D4D"/>
          <w:spacing w:val="-4"/>
          <w:w w:val="102"/>
          <w:sz w:val="13"/>
        </w:rPr>
        <w:t>s</w:t>
      </w:r>
      <w:r>
        <w:rPr>
          <w:rFonts w:ascii="Century Gothic"/>
          <w:b/>
          <w:color w:val="4D4D4D"/>
          <w:spacing w:val="3"/>
          <w:w w:val="102"/>
          <w:sz w:val="13"/>
        </w:rPr>
        <w:t>t</w:t>
      </w:r>
      <w:r>
        <w:rPr>
          <w:rFonts w:ascii="Century Gothic"/>
          <w:b/>
          <w:color w:val="4D4D4D"/>
          <w:spacing w:val="-3"/>
          <w:w w:val="102"/>
          <w:sz w:val="13"/>
        </w:rPr>
        <w:t>c</w:t>
      </w:r>
      <w:r>
        <w:rPr>
          <w:rFonts w:ascii="Century Gothic"/>
          <w:b/>
          <w:color w:val="4D4D4D"/>
          <w:w w:val="102"/>
          <w:sz w:val="13"/>
        </w:rPr>
        <w:t>li</w:t>
      </w:r>
      <w:r>
        <w:rPr>
          <w:rFonts w:ascii="Century Gothic"/>
          <w:b/>
          <w:color w:val="4D4D4D"/>
          <w:spacing w:val="-5"/>
          <w:w w:val="102"/>
          <w:sz w:val="13"/>
        </w:rPr>
        <w:t>f</w:t>
      </w:r>
      <w:r>
        <w:rPr>
          <w:rFonts w:ascii="Century Gothic"/>
          <w:b/>
          <w:color w:val="4D4D4D"/>
          <w:spacing w:val="1"/>
          <w:w w:val="102"/>
          <w:sz w:val="13"/>
        </w:rPr>
        <w:t>f</w:t>
      </w:r>
      <w:r>
        <w:rPr>
          <w:rFonts w:ascii="Century Gothic"/>
          <w:b/>
          <w:color w:val="4D4D4D"/>
          <w:w w:val="102"/>
          <w:sz w:val="13"/>
        </w:rPr>
        <w:t>e</w:t>
      </w:r>
      <w:r>
        <w:rPr>
          <w:rFonts w:ascii="Century Gothic"/>
          <w:b/>
          <w:color w:val="4D4D4D"/>
          <w:spacing w:val="-1"/>
          <w:sz w:val="13"/>
        </w:rPr>
        <w:t> </w:t>
      </w:r>
      <w:r>
        <w:rPr>
          <w:rFonts w:ascii="Century Gothic"/>
          <w:b/>
          <w:color w:val="4D4D4D"/>
          <w:spacing w:val="-14"/>
          <w:w w:val="102"/>
          <w:sz w:val="13"/>
        </w:rPr>
        <w:t>B</w:t>
      </w:r>
      <w:r>
        <w:rPr>
          <w:rFonts w:ascii="Arial"/>
          <w:color w:val="FFFFFF"/>
          <w:spacing w:val="-226"/>
          <w:w w:val="290"/>
          <w:position w:val="-11"/>
          <w:sz w:val="28"/>
        </w:rPr>
        <w:t>!</w:t>
      </w:r>
      <w:r>
        <w:rPr>
          <w:rFonts w:ascii="Arial"/>
          <w:color w:val="CC2D31"/>
          <w:spacing w:val="-226"/>
          <w:w w:val="227"/>
          <w:position w:val="-11"/>
          <w:sz w:val="28"/>
        </w:rPr>
        <w:t>"</w:t>
      </w:r>
      <w:r>
        <w:rPr>
          <w:rFonts w:ascii="Arial"/>
          <w:color w:val="FFFFFF"/>
          <w:spacing w:val="-213"/>
          <w:w w:val="145"/>
          <w:position w:val="-11"/>
          <w:sz w:val="28"/>
        </w:rPr>
        <w:t>$</w:t>
      </w:r>
      <w:r>
        <w:rPr>
          <w:rFonts w:ascii="Century Gothic"/>
          <w:b/>
          <w:color w:val="4D4D4D"/>
          <w:w w:val="102"/>
          <w:sz w:val="13"/>
        </w:rPr>
        <w:t>l</w:t>
      </w:r>
      <w:r>
        <w:rPr>
          <w:rFonts w:ascii="Century Gothic"/>
          <w:b/>
          <w:color w:val="4D4D4D"/>
          <w:spacing w:val="-4"/>
          <w:w w:val="102"/>
          <w:sz w:val="13"/>
        </w:rPr>
        <w:t>v</w:t>
      </w:r>
      <w:r>
        <w:rPr>
          <w:rFonts w:ascii="Century Gothic"/>
          <w:b/>
          <w:color w:val="4D4D4D"/>
          <w:w w:val="102"/>
          <w:sz w:val="13"/>
        </w:rPr>
        <w:t>d</w:t>
      </w:r>
    </w:p>
    <w:p>
      <w:pPr>
        <w:spacing w:line="213" w:lineRule="exact" w:before="192"/>
        <w:ind w:left="0" w:right="78" w:firstLine="0"/>
        <w:jc w:val="right"/>
        <w:rPr>
          <w:rFonts w:ascii="Arial"/>
          <w:sz w:val="28"/>
        </w:rPr>
      </w:pPr>
      <w:r>
        <w:rPr>
          <w:rFonts w:ascii="Arial"/>
          <w:color w:val="FFFFFF"/>
          <w:spacing w:val="-226"/>
          <w:w w:val="290"/>
          <w:sz w:val="28"/>
        </w:rPr>
        <w:t>!</w:t>
      </w:r>
      <w:r>
        <w:rPr>
          <w:rFonts w:ascii="Arial"/>
          <w:color w:val="FFFFFF"/>
          <w:spacing w:val="-226"/>
          <w:w w:val="145"/>
          <w:sz w:val="28"/>
        </w:rPr>
        <w:t>$</w:t>
      </w:r>
      <w:r>
        <w:rPr>
          <w:rFonts w:ascii="Arial"/>
          <w:color w:val="CC2D31"/>
          <w:w w:val="227"/>
          <w:sz w:val="28"/>
        </w:rPr>
        <w:t>"</w:t>
      </w:r>
    </w:p>
    <w:p>
      <w:pPr>
        <w:spacing w:before="18"/>
        <w:ind w:left="182" w:right="0" w:firstLine="0"/>
        <w:jc w:val="left"/>
        <w:rPr>
          <w:rFonts w:ascii="Arial" w:hAnsi="Arial"/>
          <w:sz w:val="30"/>
        </w:rPr>
      </w:pPr>
      <w:r>
        <w:rPr/>
        <w:br w:type="column"/>
      </w:r>
      <w:r>
        <w:rPr>
          <w:rFonts w:ascii="Arial" w:hAnsi="Arial"/>
          <w:color w:val="CC2D31"/>
          <w:spacing w:val="-224"/>
          <w:w w:val="267"/>
          <w:sz w:val="30"/>
        </w:rPr>
        <w:t>í</w:t>
      </w:r>
      <w:r>
        <w:rPr>
          <w:rFonts w:ascii="Arial" w:hAnsi="Arial"/>
          <w:color w:val="38A700"/>
          <w:spacing w:val="-224"/>
          <w:w w:val="133"/>
          <w:sz w:val="30"/>
        </w:rPr>
        <w:t>ë</w:t>
      </w:r>
      <w:r>
        <w:rPr>
          <w:rFonts w:ascii="Arial" w:hAnsi="Arial"/>
          <w:color w:val="FFFF00"/>
          <w:spacing w:val="-224"/>
          <w:w w:val="267"/>
          <w:sz w:val="30"/>
        </w:rPr>
        <w:t>ì</w:t>
      </w:r>
      <w:r>
        <w:rPr>
          <w:rFonts w:ascii="Arial" w:hAnsi="Arial"/>
          <w:color w:val="FFFFFF"/>
          <w:spacing w:val="-224"/>
          <w:w w:val="133"/>
          <w:sz w:val="30"/>
        </w:rPr>
        <w:t>é</w:t>
      </w:r>
      <w:r>
        <w:rPr>
          <w:rFonts w:ascii="Arial" w:hAnsi="Arial"/>
          <w:w w:val="133"/>
          <w:sz w:val="30"/>
        </w:rPr>
        <w:t>è</w:t>
      </w:r>
    </w:p>
    <w:p>
      <w:pPr>
        <w:pStyle w:val="BodyText"/>
        <w:spacing w:before="3"/>
        <w:rPr>
          <w:rFonts w:ascii="Arial"/>
          <w:sz w:val="33"/>
        </w:rPr>
      </w:pPr>
      <w:r>
        <w:rPr/>
        <w:br w:type="column"/>
      </w:r>
      <w:r>
        <w:rPr>
          <w:rFonts w:ascii="Arial"/>
          <w:sz w:val="33"/>
        </w:rPr>
      </w:r>
    </w:p>
    <w:p>
      <w:pPr>
        <w:spacing w:before="1"/>
        <w:ind w:left="0" w:right="0" w:firstLine="0"/>
        <w:jc w:val="right"/>
        <w:rPr>
          <w:rFonts w:ascii="Arial" w:hAnsi="Arial"/>
          <w:sz w:val="30"/>
        </w:rPr>
      </w:pPr>
      <w:r>
        <w:rPr>
          <w:rFonts w:ascii="Arial" w:hAnsi="Arial"/>
          <w:color w:val="FFFFFF"/>
          <w:spacing w:val="-224"/>
          <w:w w:val="133"/>
          <w:sz w:val="30"/>
        </w:rPr>
        <w:t>é</w:t>
      </w:r>
      <w:r>
        <w:rPr>
          <w:rFonts w:ascii="Arial" w:hAnsi="Arial"/>
          <w:spacing w:val="-224"/>
          <w:w w:val="133"/>
          <w:sz w:val="30"/>
        </w:rPr>
        <w:t>è</w:t>
      </w:r>
      <w:r>
        <w:rPr>
          <w:rFonts w:ascii="Arial" w:hAnsi="Arial"/>
          <w:color w:val="CC2D31"/>
          <w:spacing w:val="-224"/>
          <w:w w:val="267"/>
          <w:sz w:val="30"/>
        </w:rPr>
        <w:t>í</w:t>
      </w:r>
      <w:r>
        <w:rPr>
          <w:rFonts w:ascii="Arial" w:hAnsi="Arial"/>
          <w:color w:val="FFFF00"/>
          <w:spacing w:val="-224"/>
          <w:w w:val="267"/>
          <w:sz w:val="30"/>
        </w:rPr>
        <w:t>ì</w:t>
      </w:r>
      <w:r>
        <w:rPr>
          <w:rFonts w:ascii="Arial" w:hAnsi="Arial"/>
          <w:color w:val="38A700"/>
          <w:w w:val="133"/>
          <w:sz w:val="30"/>
        </w:rPr>
        <w:t>ë</w:t>
      </w:r>
    </w:p>
    <w:p>
      <w:pPr>
        <w:spacing w:before="90"/>
        <w:ind w:left="1242" w:right="1120" w:firstLine="0"/>
        <w:jc w:val="center"/>
        <w:rPr>
          <w:rFonts w:ascii="Arial"/>
          <w:sz w:val="24"/>
        </w:rPr>
      </w:pPr>
      <w:r>
        <w:rPr/>
        <w:br w:type="column"/>
      </w:r>
      <w:r>
        <w:rPr>
          <w:rFonts w:ascii="Arial"/>
          <w:color w:val="00FF00"/>
          <w:spacing w:val="-167"/>
          <w:w w:val="230"/>
          <w:sz w:val="24"/>
        </w:rPr>
        <w:t>!</w:t>
      </w:r>
      <w:r>
        <w:rPr>
          <w:rFonts w:ascii="Arial"/>
          <w:spacing w:val="-167"/>
          <w:w w:val="230"/>
          <w:sz w:val="24"/>
        </w:rPr>
        <w:t>(</w:t>
      </w:r>
    </w:p>
    <w:p>
      <w:pPr>
        <w:spacing w:line="268" w:lineRule="exact" w:before="158"/>
        <w:ind w:left="0" w:right="0" w:firstLine="0"/>
        <w:jc w:val="right"/>
        <w:rPr>
          <w:rFonts w:ascii="Arial"/>
          <w:sz w:val="28"/>
        </w:rPr>
      </w:pPr>
      <w:r>
        <w:rPr/>
        <w:pict>
          <v:shape style="position:absolute;margin-left:663.933105pt;margin-top:-9.187442pt;width:28.1pt;height:6.65pt;mso-position-horizontal-relative:page;mso-position-vertical-relative:paragraph;z-index:252230656;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639.650818pt;margin-top:14.851119pt;width:32.7pt;height:6.65pt;mso-position-horizontal-relative:page;mso-position-vertical-relative:paragraph;z-index:-267803648;rotation:25" type="#_x0000_t136" fillcolor="#4d4d4d" stroked="f">
            <o:extrusion v:ext="view" autorotationcenter="t"/>
            <v:textpath style="font-family:&quot;Century Gothic&quot;;font-size:6pt;v-text-kern:t;mso-text-shadow:auto;font-weight:bold" string="Tapteal Dr"/>
            <w10:wrap type="none"/>
          </v:shape>
        </w:pict>
      </w:r>
      <w:r>
        <w:rPr/>
        <w:pict>
          <v:shape style="position:absolute;margin-left:615.745056pt;margin-top:-6.173525pt;width:10.8pt;height:34.050pt;mso-position-horizontal-relative:page;mso-position-vertical-relative:paragraph;z-index:-267785216" type="#_x0000_t202" filled="false" stroked="false">
            <v:textbox inset="0,0,0,0" style="layout-flow:vertical;mso-layout-flow-alt:bottom-to-top">
              <w:txbxContent>
                <w:p>
                  <w:pPr>
                    <w:spacing w:before="25"/>
                    <w:ind w:left="20" w:right="0" w:firstLine="0"/>
                    <w:jc w:val="left"/>
                    <w:rPr>
                      <w:rFonts w:ascii="Century Gothic"/>
                      <w:b/>
                      <w:sz w:val="13"/>
                    </w:rPr>
                  </w:pPr>
                  <w:r>
                    <w:rPr>
                      <w:rFonts w:ascii="Century Gothic"/>
                      <w:b/>
                      <w:color w:val="4D4D4D"/>
                      <w:sz w:val="13"/>
                    </w:rPr>
                    <w:t>Step</w:t>
                  </w:r>
                  <w:r>
                    <w:rPr>
                      <w:rFonts w:ascii="Century Gothic"/>
                      <w:b/>
                      <w:color w:val="4D4D4D"/>
                      <w:position w:val="1"/>
                      <w:sz w:val="13"/>
                    </w:rPr>
                    <w:t>toe St</w:t>
                  </w:r>
                </w:p>
              </w:txbxContent>
            </v:textbox>
            <w10:wrap type="none"/>
          </v:shape>
        </w:pict>
      </w:r>
      <w:r>
        <w:rPr>
          <w:rFonts w:ascii="Arial"/>
          <w:color w:val="FFFFFF"/>
          <w:spacing w:val="-226"/>
          <w:w w:val="145"/>
          <w:sz w:val="28"/>
        </w:rPr>
        <w:t>$</w:t>
      </w:r>
      <w:r>
        <w:rPr>
          <w:rFonts w:ascii="Arial"/>
          <w:color w:val="FFFFFF"/>
          <w:spacing w:val="-226"/>
          <w:w w:val="290"/>
          <w:sz w:val="28"/>
        </w:rPr>
        <w:t>!</w:t>
      </w:r>
      <w:r>
        <w:rPr>
          <w:rFonts w:ascii="Arial"/>
          <w:color w:val="CC2D31"/>
          <w:w w:val="227"/>
          <w:sz w:val="28"/>
        </w:rPr>
        <w:t>"</w:t>
      </w:r>
    </w:p>
    <w:p>
      <w:pPr>
        <w:spacing w:line="374" w:lineRule="exact" w:before="179"/>
        <w:ind w:left="279" w:right="0" w:firstLine="0"/>
        <w:jc w:val="left"/>
        <w:rPr>
          <w:rFonts w:ascii="Arial" w:hAnsi="Arial"/>
          <w:sz w:val="28"/>
        </w:rPr>
      </w:pPr>
      <w:r>
        <w:rPr/>
        <w:br w:type="column"/>
      </w:r>
      <w:r>
        <w:rPr>
          <w:rFonts w:ascii="Arial" w:hAnsi="Arial"/>
          <w:spacing w:val="-224"/>
          <w:w w:val="133"/>
          <w:sz w:val="30"/>
        </w:rPr>
        <w:t>è</w:t>
      </w:r>
      <w:r>
        <w:rPr>
          <w:rFonts w:ascii="Arial" w:hAnsi="Arial"/>
          <w:color w:val="FFFFFF"/>
          <w:spacing w:val="-224"/>
          <w:w w:val="133"/>
          <w:sz w:val="30"/>
        </w:rPr>
        <w:t>é</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spacing w:val="-221"/>
          <w:w w:val="267"/>
          <w:sz w:val="30"/>
        </w:rPr>
        <w:t>í</w:t>
      </w:r>
      <w:r>
        <w:rPr>
          <w:rFonts w:ascii="Arial" w:hAnsi="Arial"/>
          <w:color w:val="FFFFFF"/>
          <w:spacing w:val="-226"/>
          <w:w w:val="290"/>
          <w:position w:val="9"/>
          <w:sz w:val="28"/>
        </w:rPr>
        <w:t>!</w:t>
      </w:r>
      <w:r>
        <w:rPr>
          <w:rFonts w:ascii="Arial" w:hAnsi="Arial"/>
          <w:color w:val="CC2D31"/>
          <w:spacing w:val="-226"/>
          <w:w w:val="227"/>
          <w:position w:val="9"/>
          <w:sz w:val="28"/>
        </w:rPr>
        <w:t>"</w:t>
      </w:r>
      <w:r>
        <w:rPr>
          <w:rFonts w:ascii="Arial" w:hAnsi="Arial"/>
          <w:color w:val="FFFFFF"/>
          <w:w w:val="145"/>
          <w:position w:val="9"/>
          <w:sz w:val="28"/>
        </w:rPr>
        <w:t>$</w:t>
      </w:r>
    </w:p>
    <w:p>
      <w:pPr>
        <w:spacing w:line="239" w:lineRule="exact" w:before="0"/>
        <w:ind w:left="260" w:right="0" w:firstLine="0"/>
        <w:jc w:val="left"/>
        <w:rPr>
          <w:rFonts w:ascii="Arial" w:hAnsi="Arial"/>
          <w:sz w:val="30"/>
        </w:rPr>
      </w:pPr>
      <w:r>
        <w:rPr/>
        <w:pict>
          <v:shape style="position:absolute;margin-left:595.561658pt;margin-top:56.174434pt;width:36.050pt;height:6.65pt;mso-position-horizontal-relative:page;mso-position-vertical-relative:paragraph;z-index:252239872;rotation:75" type="#_x0000_t136" fillcolor="#4d4d4d" stroked="f">
            <o:extrusion v:ext="view" autorotationcenter="t"/>
            <v:textpath style="font-family:&quot;Century Gothic&quot;;font-size:6pt;v-text-kern:t;mso-text-shadow:auto;font-weight:bold" string="Bellerive Dr"/>
            <w10:wrap type="none"/>
          </v:shape>
        </w:pict>
      </w:r>
      <w:r>
        <w:rPr>
          <w:rFonts w:ascii="Arial" w:hAnsi="Arial"/>
          <w:color w:val="FFFFFF"/>
          <w:spacing w:val="-226"/>
          <w:w w:val="145"/>
          <w:position w:val="-11"/>
          <w:sz w:val="28"/>
        </w:rPr>
        <w:t>$</w:t>
      </w:r>
      <w:r>
        <w:rPr>
          <w:rFonts w:ascii="Arial" w:hAnsi="Arial"/>
          <w:color w:val="CC2D31"/>
          <w:spacing w:val="-226"/>
          <w:w w:val="227"/>
          <w:position w:val="-11"/>
          <w:sz w:val="28"/>
        </w:rPr>
        <w:t>"</w:t>
      </w:r>
      <w:r>
        <w:rPr>
          <w:rFonts w:ascii="Arial" w:hAnsi="Arial"/>
          <w:color w:val="FFFFFF"/>
          <w:spacing w:val="-218"/>
          <w:w w:val="290"/>
          <w:position w:val="-11"/>
          <w:sz w:val="28"/>
        </w:rPr>
        <w:t>!</w:t>
      </w:r>
      <w:r>
        <w:rPr>
          <w:rFonts w:ascii="Arial" w:hAnsi="Arial"/>
          <w:spacing w:val="-224"/>
          <w:w w:val="133"/>
          <w:sz w:val="30"/>
        </w:rPr>
        <w:t>è</w:t>
      </w:r>
      <w:r>
        <w:rPr>
          <w:rFonts w:ascii="Arial" w:hAnsi="Arial"/>
          <w:color w:val="FFFFFF"/>
          <w:spacing w:val="-224"/>
          <w:w w:val="133"/>
          <w:sz w:val="30"/>
        </w:rPr>
        <w:t>é</w:t>
      </w:r>
      <w:r>
        <w:rPr>
          <w:rFonts w:ascii="Arial" w:hAnsi="Arial"/>
          <w:color w:val="FFFF00"/>
          <w:spacing w:val="-224"/>
          <w:w w:val="267"/>
          <w:sz w:val="30"/>
        </w:rPr>
        <w:t>ì</w:t>
      </w:r>
      <w:r>
        <w:rPr>
          <w:rFonts w:ascii="Arial" w:hAnsi="Arial"/>
          <w:color w:val="38A700"/>
          <w:spacing w:val="-224"/>
          <w:w w:val="133"/>
          <w:sz w:val="30"/>
        </w:rPr>
        <w:t>ë</w:t>
      </w:r>
      <w:r>
        <w:rPr>
          <w:rFonts w:ascii="Arial" w:hAnsi="Arial"/>
          <w:color w:val="CC2D31"/>
          <w:w w:val="267"/>
          <w:sz w:val="30"/>
        </w:rPr>
        <w:t>í</w:t>
      </w:r>
    </w:p>
    <w:p>
      <w:pPr>
        <w:spacing w:after="0" w:line="239" w:lineRule="exact"/>
        <w:jc w:val="left"/>
        <w:rPr>
          <w:rFonts w:ascii="Arial" w:hAnsi="Arial"/>
          <w:sz w:val="30"/>
        </w:rPr>
        <w:sectPr>
          <w:type w:val="continuous"/>
          <w:pgSz w:w="15840" w:h="24480"/>
          <w:pgMar w:top="1480" w:bottom="1320" w:left="0" w:right="0"/>
          <w:cols w:num="5" w:equalWidth="0">
            <w:col w:w="9238" w:space="40"/>
            <w:col w:w="406" w:space="39"/>
            <w:col w:w="1395" w:space="40"/>
            <w:col w:w="2420" w:space="39"/>
            <w:col w:w="2223"/>
          </w:cols>
        </w:sectPr>
      </w:pPr>
    </w:p>
    <w:p>
      <w:pPr>
        <w:tabs>
          <w:tab w:pos="9260" w:val="left" w:leader="none"/>
        </w:tabs>
        <w:spacing w:line="269" w:lineRule="exact" w:before="20"/>
        <w:ind w:left="8817" w:right="0" w:firstLine="0"/>
        <w:jc w:val="left"/>
        <w:rPr>
          <w:rFonts w:ascii="Arial"/>
          <w:sz w:val="28"/>
        </w:rPr>
      </w:pPr>
      <w:r>
        <w:rPr/>
        <w:pict>
          <v:shape style="position:absolute;margin-left:448.654663pt;margin-top:9.157082pt;width:31.25pt;height:6.65pt;mso-position-horizontal-relative:page;mso-position-vertical-relative:paragraph;z-index:-267802624;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555.806763pt;margin-top:11.042788pt;width:34.1pt;height:6.65pt;mso-position-horizontal-relative:page;mso-position-vertical-relative:paragraph;z-index:252265472;rotation:359" type="#_x0000_t136" fillcolor="#4d4d4d" stroked="f">
            <o:extrusion v:ext="view" autorotationcenter="t"/>
            <v:textpath style="font-family:&quot;Century Gothic&quot;;font-size:6pt;v-text-kern:t;mso-text-shadow:auto;font-weight:bold" string="Gage Blvd"/>
            <w10:wrap type="none"/>
          </v:shape>
        </w:pict>
      </w:r>
      <w:r>
        <w:rPr>
          <w:rFonts w:ascii="Arial"/>
          <w:color w:val="FFFFFF"/>
          <w:w w:val="181"/>
          <w:sz w:val="28"/>
          <w:u w:val="single" w:color="B2B2B2"/>
        </w:rPr>
        <w:t> </w:t>
      </w:r>
      <w:r>
        <w:rPr>
          <w:rFonts w:ascii="Arial"/>
          <w:color w:val="FFFFFF"/>
          <w:sz w:val="28"/>
        </w:rPr>
        <w:tab/>
      </w:r>
      <w:r>
        <w:rPr>
          <w:rFonts w:ascii="Arial"/>
          <w:color w:val="FFFFFF"/>
          <w:w w:val="181"/>
          <w:sz w:val="28"/>
          <w:u w:val="single" w:color="B2B2B2"/>
        </w:rPr>
        <w:t> </w:t>
      </w:r>
      <w:r>
        <w:rPr>
          <w:rFonts w:ascii="Arial"/>
          <w:color w:val="FFFFFF"/>
          <w:sz w:val="28"/>
        </w:rPr>
        <w:t> </w:t>
      </w:r>
      <w:r>
        <w:rPr>
          <w:rFonts w:ascii="Arial"/>
          <w:color w:val="FFFFFF"/>
          <w:spacing w:val="-20"/>
          <w:sz w:val="28"/>
        </w:rPr>
        <w:t> </w:t>
      </w:r>
      <w:r>
        <w:rPr>
          <w:rFonts w:ascii="Arial"/>
          <w:color w:val="FFFFFF"/>
          <w:spacing w:val="-226"/>
          <w:w w:val="290"/>
          <w:sz w:val="28"/>
        </w:rPr>
        <w:t>!</w:t>
      </w:r>
      <w:r>
        <w:rPr>
          <w:rFonts w:ascii="Arial"/>
          <w:color w:val="FFFFFF"/>
          <w:spacing w:val="-226"/>
          <w:w w:val="145"/>
          <w:sz w:val="28"/>
        </w:rPr>
        <w:t>$</w:t>
      </w:r>
      <w:r>
        <w:rPr>
          <w:rFonts w:ascii="Arial"/>
          <w:color w:val="CC2D31"/>
          <w:w w:val="227"/>
          <w:sz w:val="28"/>
        </w:rPr>
        <w:t>"</w:t>
      </w:r>
    </w:p>
    <w:p>
      <w:pPr>
        <w:spacing w:line="269" w:lineRule="exact" w:before="0"/>
        <w:ind w:left="9684" w:right="0" w:firstLine="0"/>
        <w:jc w:val="left"/>
        <w:rPr>
          <w:rFonts w:ascii="Arial"/>
          <w:sz w:val="28"/>
        </w:rPr>
      </w:pPr>
      <w:r>
        <w:rPr/>
        <w:pict>
          <v:shape style="position:absolute;margin-left:233.99942pt;margin-top:4.312475pt;width:10.5pt;height:31.7pt;mso-position-horizontal-relative:page;mso-position-vertical-relative:paragraph;z-index:252241920" type="#_x0000_t202" filled="false" stroked="false">
            <v:textbox inset="0,0,0,0" style="layout-flow:vertical;mso-layout-flow-alt:bottom-to-top">
              <w:txbxContent>
                <w:p>
                  <w:pPr>
                    <w:spacing w:before="18"/>
                    <w:ind w:left="20" w:right="0" w:firstLine="0"/>
                    <w:jc w:val="left"/>
                    <w:rPr>
                      <w:rFonts w:ascii="Century Gothic"/>
                      <w:b/>
                      <w:sz w:val="13"/>
                    </w:rPr>
                  </w:pPr>
                  <w:r>
                    <w:rPr>
                      <w:rFonts w:ascii="Century Gothic"/>
                      <w:b/>
                      <w:color w:val="4D4D4D"/>
                      <w:position w:val="1"/>
                      <w:sz w:val="13"/>
                    </w:rPr>
                    <w:t>D</w:t>
                  </w:r>
                  <w:r>
                    <w:rPr>
                      <w:rFonts w:ascii="Century Gothic"/>
                      <w:b/>
                      <w:color w:val="4D4D4D"/>
                      <w:sz w:val="13"/>
                    </w:rPr>
                    <w:t>allas Rd</w:t>
                  </w:r>
                </w:p>
              </w:txbxContent>
            </v:textbox>
            <w10:wrap type="none"/>
          </v:shape>
        </w:pict>
      </w:r>
      <w:r>
        <w:rPr/>
        <w:pict>
          <v:shape style="position:absolute;margin-left:536.930603pt;margin-top:16.328184pt;width:10.55pt;height:29.8pt;mso-position-horizontal-relative:page;mso-position-vertical-relative:paragraph;z-index:252251136" type="#_x0000_t202" filled="false" stroked="false">
            <v:textbox inset="0,0,0,0" style="layout-flow:vertical;mso-layout-flow-alt:bottom-to-top">
              <w:txbxContent>
                <w:p>
                  <w:pPr>
                    <w:spacing w:before="19"/>
                    <w:ind w:left="20" w:right="0" w:firstLine="0"/>
                    <w:jc w:val="left"/>
                    <w:rPr>
                      <w:rFonts w:ascii="Century Gothic"/>
                      <w:b/>
                      <w:sz w:val="13"/>
                    </w:rPr>
                  </w:pPr>
                  <w:r>
                    <w:rPr>
                      <w:rFonts w:ascii="Century Gothic"/>
                      <w:b/>
                      <w:color w:val="4D4D4D"/>
                      <w:position w:val="1"/>
                      <w:sz w:val="13"/>
                    </w:rPr>
                    <w:t>Le</w:t>
                  </w:r>
                  <w:r>
                    <w:rPr>
                      <w:rFonts w:ascii="Century Gothic"/>
                      <w:b/>
                      <w:color w:val="4D4D4D"/>
                      <w:sz w:val="13"/>
                    </w:rPr>
                    <w:t>slie Rd</w:t>
                  </w:r>
                </w:p>
              </w:txbxContent>
            </v:textbox>
            <w10:wrap type="none"/>
          </v:shape>
        </w:pict>
      </w:r>
      <w:r>
        <w:rPr>
          <w:rFonts w:ascii="Arial"/>
          <w:color w:val="FFFFFF"/>
          <w:spacing w:val="-226"/>
          <w:w w:val="290"/>
          <w:sz w:val="28"/>
        </w:rPr>
        <w:t>!</w:t>
      </w:r>
      <w:r>
        <w:rPr>
          <w:rFonts w:ascii="Arial"/>
          <w:color w:val="CC2D31"/>
          <w:spacing w:val="-226"/>
          <w:w w:val="227"/>
          <w:sz w:val="28"/>
        </w:rPr>
        <w:t>"</w:t>
      </w:r>
      <w:r>
        <w:rPr>
          <w:rFonts w:ascii="Arial"/>
          <w:color w:val="FFFFFF"/>
          <w:w w:val="145"/>
          <w:sz w:val="28"/>
        </w:rPr>
        <w:t>$</w:t>
      </w:r>
    </w:p>
    <w:p>
      <w:pPr>
        <w:spacing w:before="218"/>
        <w:ind w:left="683" w:right="0" w:firstLine="0"/>
        <w:jc w:val="left"/>
        <w:rPr>
          <w:rFonts w:ascii="Arial" w:hAnsi="Arial"/>
          <w:sz w:val="30"/>
        </w:rPr>
      </w:pPr>
      <w:r>
        <w:rPr/>
        <w:br w:type="column"/>
      </w:r>
      <w:r>
        <w:rPr>
          <w:rFonts w:ascii="Arial" w:hAnsi="Arial"/>
          <w:color w:val="CC2D31"/>
          <w:spacing w:val="-224"/>
          <w:w w:val="267"/>
          <w:position w:val="1"/>
          <w:sz w:val="30"/>
        </w:rPr>
        <w:t>í</w:t>
      </w:r>
      <w:r>
        <w:rPr>
          <w:rFonts w:ascii="Arial" w:hAnsi="Arial"/>
          <w:color w:val="38A700"/>
          <w:spacing w:val="-224"/>
          <w:w w:val="133"/>
          <w:position w:val="1"/>
          <w:sz w:val="30"/>
        </w:rPr>
        <w:t>ë</w:t>
      </w:r>
      <w:r>
        <w:rPr>
          <w:rFonts w:ascii="Arial" w:hAnsi="Arial"/>
          <w:color w:val="FFFF00"/>
          <w:spacing w:val="-224"/>
          <w:w w:val="267"/>
          <w:position w:val="1"/>
          <w:sz w:val="30"/>
        </w:rPr>
        <w:t>ì</w:t>
      </w:r>
      <w:r>
        <w:rPr>
          <w:rFonts w:ascii="Arial" w:hAnsi="Arial"/>
          <w:color w:val="FFFFFF"/>
          <w:spacing w:val="-224"/>
          <w:w w:val="133"/>
          <w:position w:val="1"/>
          <w:sz w:val="30"/>
        </w:rPr>
        <w:t>é</w:t>
      </w:r>
      <w:r>
        <w:rPr>
          <w:rFonts w:ascii="Arial" w:hAnsi="Arial"/>
          <w:spacing w:val="31"/>
          <w:w w:val="133"/>
          <w:position w:val="1"/>
          <w:sz w:val="30"/>
        </w:rPr>
        <w:t>è</w:t>
      </w:r>
      <w:r>
        <w:rPr>
          <w:rFonts w:ascii="Arial" w:hAnsi="Arial"/>
          <w:color w:val="FFFFFF"/>
          <w:spacing w:val="-224"/>
          <w:w w:val="133"/>
          <w:sz w:val="30"/>
        </w:rPr>
        <w:t>é</w:t>
      </w:r>
      <w:r>
        <w:rPr>
          <w:rFonts w:ascii="Arial" w:hAnsi="Arial"/>
          <w:color w:val="CC2D31"/>
          <w:spacing w:val="-224"/>
          <w:w w:val="267"/>
          <w:sz w:val="30"/>
        </w:rPr>
        <w:t>í</w:t>
      </w:r>
      <w:r>
        <w:rPr>
          <w:rFonts w:ascii="Arial" w:hAnsi="Arial"/>
          <w:color w:val="38A700"/>
          <w:spacing w:val="-224"/>
          <w:w w:val="133"/>
          <w:sz w:val="30"/>
        </w:rPr>
        <w:t>ë</w:t>
      </w:r>
      <w:r>
        <w:rPr>
          <w:rFonts w:ascii="Arial" w:hAnsi="Arial"/>
          <w:color w:val="FFFF00"/>
          <w:spacing w:val="-224"/>
          <w:w w:val="267"/>
          <w:sz w:val="30"/>
        </w:rPr>
        <w:t>ì</w:t>
      </w:r>
      <w:r>
        <w:rPr>
          <w:rFonts w:ascii="Arial" w:hAnsi="Arial"/>
          <w:w w:val="133"/>
          <w:sz w:val="30"/>
        </w:rPr>
        <w:t>è</w:t>
      </w:r>
    </w:p>
    <w:p>
      <w:pPr>
        <w:spacing w:before="200"/>
        <w:ind w:left="0" w:right="0" w:firstLine="0"/>
        <w:jc w:val="right"/>
        <w:rPr>
          <w:rFonts w:ascii="Arial" w:hAnsi="Arial"/>
          <w:sz w:val="30"/>
        </w:rPr>
      </w:pPr>
      <w:r>
        <w:rPr/>
        <w:br w:type="column"/>
      </w:r>
      <w:r>
        <w:rPr>
          <w:rFonts w:ascii="Arial" w:hAnsi="Arial"/>
          <w:color w:val="38A700"/>
          <w:spacing w:val="-224"/>
          <w:w w:val="133"/>
          <w:sz w:val="30"/>
        </w:rPr>
        <w:t>ë</w:t>
      </w:r>
      <w:r>
        <w:rPr>
          <w:rFonts w:ascii="Arial" w:hAnsi="Arial"/>
          <w:color w:val="FFFF00"/>
          <w:spacing w:val="-224"/>
          <w:w w:val="267"/>
          <w:sz w:val="30"/>
        </w:rPr>
        <w:t>ì</w:t>
      </w:r>
      <w:r>
        <w:rPr>
          <w:rFonts w:ascii="Arial" w:hAnsi="Arial"/>
          <w:spacing w:val="-224"/>
          <w:w w:val="133"/>
          <w:sz w:val="30"/>
        </w:rPr>
        <w:t>è</w:t>
      </w:r>
      <w:r>
        <w:rPr>
          <w:rFonts w:ascii="Arial" w:hAnsi="Arial"/>
          <w:color w:val="CC2D31"/>
          <w:spacing w:val="-224"/>
          <w:w w:val="267"/>
          <w:sz w:val="30"/>
        </w:rPr>
        <w:t>í</w:t>
      </w:r>
      <w:r>
        <w:rPr>
          <w:rFonts w:ascii="Arial" w:hAnsi="Arial"/>
          <w:color w:val="FFFFFF"/>
          <w:w w:val="133"/>
          <w:sz w:val="30"/>
        </w:rPr>
        <w:t>é</w:t>
      </w:r>
    </w:p>
    <w:p>
      <w:pPr>
        <w:spacing w:before="189"/>
        <w:ind w:left="246" w:right="0" w:firstLine="0"/>
        <w:jc w:val="left"/>
        <w:rPr>
          <w:rFonts w:ascii="Arial" w:hAnsi="Arial"/>
          <w:sz w:val="30"/>
        </w:rPr>
      </w:pPr>
      <w:r>
        <w:rPr/>
        <w:br w:type="column"/>
      </w:r>
      <w:r>
        <w:rPr>
          <w:rFonts w:ascii="Arial" w:hAnsi="Arial"/>
          <w:color w:val="38A700"/>
          <w:spacing w:val="-224"/>
          <w:w w:val="133"/>
          <w:sz w:val="30"/>
        </w:rPr>
        <w:t>ë</w:t>
      </w:r>
      <w:r>
        <w:rPr>
          <w:rFonts w:ascii="Arial" w:hAnsi="Arial"/>
          <w:color w:val="CC2D31"/>
          <w:spacing w:val="-224"/>
          <w:w w:val="267"/>
          <w:sz w:val="30"/>
        </w:rPr>
        <w:t>í</w:t>
      </w:r>
      <w:r>
        <w:rPr>
          <w:rFonts w:ascii="Arial" w:hAnsi="Arial"/>
          <w:color w:val="FFFFFF"/>
          <w:spacing w:val="-224"/>
          <w:w w:val="133"/>
          <w:sz w:val="30"/>
        </w:rPr>
        <w:t>é</w:t>
      </w:r>
      <w:r>
        <w:rPr>
          <w:rFonts w:ascii="Arial" w:hAnsi="Arial"/>
          <w:spacing w:val="-224"/>
          <w:w w:val="133"/>
          <w:sz w:val="30"/>
        </w:rPr>
        <w:t>è</w:t>
      </w:r>
      <w:r>
        <w:rPr>
          <w:rFonts w:ascii="Arial" w:hAnsi="Arial"/>
          <w:color w:val="FFFF00"/>
          <w:w w:val="267"/>
          <w:sz w:val="30"/>
        </w:rPr>
        <w:t>ì</w:t>
      </w:r>
    </w:p>
    <w:p>
      <w:pPr>
        <w:spacing w:after="0"/>
        <w:jc w:val="left"/>
        <w:rPr>
          <w:rFonts w:ascii="Arial" w:hAnsi="Arial"/>
          <w:sz w:val="30"/>
        </w:rPr>
        <w:sectPr>
          <w:type w:val="continuous"/>
          <w:pgSz w:w="15840" w:h="24480"/>
          <w:pgMar w:top="1480" w:bottom="1320" w:left="0" w:right="0"/>
          <w:cols w:num="4" w:equalWidth="0">
            <w:col w:w="9911" w:space="40"/>
            <w:col w:w="1162" w:space="39"/>
            <w:col w:w="969" w:space="40"/>
            <w:col w:w="3679"/>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after="0"/>
        <w:rPr>
          <w:rFonts w:ascii="Arial"/>
          <w:sz w:val="20"/>
        </w:rPr>
        <w:sectPr>
          <w:type w:val="continuous"/>
          <w:pgSz w:w="15840" w:h="24480"/>
          <w:pgMar w:top="1480" w:bottom="1320" w:left="0" w:right="0"/>
        </w:sect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6"/>
        <w:rPr>
          <w:rFonts w:ascii="Arial"/>
          <w:sz w:val="17"/>
        </w:rPr>
      </w:pPr>
    </w:p>
    <w:p>
      <w:pPr>
        <w:spacing w:line="191" w:lineRule="exact" w:before="1"/>
        <w:ind w:left="1013" w:right="0" w:firstLine="0"/>
        <w:jc w:val="left"/>
        <w:rPr>
          <w:rFonts w:ascii="Arial"/>
          <w:b/>
          <w:sz w:val="17"/>
        </w:rPr>
      </w:pPr>
      <w:r>
        <w:rPr>
          <w:rFonts w:ascii="Arial"/>
          <w:b/>
          <w:sz w:val="17"/>
        </w:rPr>
        <w:t>Intersection Control Evaluation</w:t>
      </w:r>
    </w:p>
    <w:p>
      <w:pPr>
        <w:spacing w:line="275" w:lineRule="exact" w:before="0"/>
        <w:ind w:left="1099" w:right="0" w:firstLine="0"/>
        <w:jc w:val="left"/>
        <w:rPr>
          <w:rFonts w:ascii="Arial"/>
          <w:sz w:val="12"/>
        </w:rPr>
      </w:pPr>
      <w:r>
        <w:rPr>
          <w:rFonts w:ascii="Arial"/>
          <w:color w:val="FFFFFF"/>
          <w:spacing w:val="-226"/>
          <w:w w:val="145"/>
          <w:position w:val="-3"/>
          <w:sz w:val="28"/>
        </w:rPr>
        <w:t>$</w:t>
      </w:r>
      <w:r>
        <w:rPr>
          <w:rFonts w:ascii="Arial"/>
          <w:color w:val="CC2D31"/>
          <w:w w:val="227"/>
          <w:position w:val="-3"/>
          <w:sz w:val="28"/>
        </w:rPr>
        <w:t>"</w:t>
      </w:r>
      <w:r>
        <w:rPr>
          <w:rFonts w:ascii="Arial"/>
          <w:color w:val="CC2D31"/>
          <w:position w:val="-3"/>
          <w:sz w:val="28"/>
        </w:rPr>
        <w:t> </w:t>
      </w:r>
      <w:r>
        <w:rPr>
          <w:rFonts w:ascii="Arial"/>
          <w:color w:val="CC2D31"/>
          <w:spacing w:val="-3"/>
          <w:position w:val="-3"/>
          <w:sz w:val="28"/>
        </w:rPr>
        <w:t> </w:t>
      </w:r>
      <w:r>
        <w:rPr>
          <w:rFonts w:ascii="Arial"/>
          <w:spacing w:val="-6"/>
          <w:w w:val="106"/>
          <w:sz w:val="12"/>
        </w:rPr>
        <w:t>T</w:t>
      </w:r>
      <w:r>
        <w:rPr>
          <w:rFonts w:ascii="Arial"/>
          <w:spacing w:val="-4"/>
          <w:w w:val="106"/>
          <w:sz w:val="12"/>
        </w:rPr>
        <w:t>w</w:t>
      </w:r>
      <w:r>
        <w:rPr>
          <w:rFonts w:ascii="Arial"/>
          <w:spacing w:val="6"/>
          <w:w w:val="106"/>
          <w:sz w:val="12"/>
        </w:rPr>
        <w:t>o</w:t>
      </w:r>
      <w:r>
        <w:rPr>
          <w:rFonts w:ascii="Arial"/>
          <w:spacing w:val="-4"/>
          <w:w w:val="106"/>
          <w:sz w:val="12"/>
        </w:rPr>
        <w:t>-</w:t>
      </w:r>
      <w:r>
        <w:rPr>
          <w:rFonts w:ascii="Arial"/>
          <w:spacing w:val="2"/>
          <w:w w:val="106"/>
          <w:sz w:val="12"/>
        </w:rPr>
        <w:t>w</w:t>
      </w:r>
      <w:r>
        <w:rPr>
          <w:rFonts w:ascii="Arial"/>
          <w:spacing w:val="1"/>
          <w:w w:val="106"/>
          <w:sz w:val="12"/>
        </w:rPr>
        <w:t>a</w:t>
      </w:r>
      <w:r>
        <w:rPr>
          <w:rFonts w:ascii="Arial"/>
          <w:w w:val="106"/>
          <w:sz w:val="12"/>
        </w:rPr>
        <w:t>y</w:t>
      </w:r>
      <w:r>
        <w:rPr>
          <w:rFonts w:ascii="Arial"/>
          <w:spacing w:val="8"/>
          <w:sz w:val="12"/>
        </w:rPr>
        <w:t> </w:t>
      </w:r>
      <w:r>
        <w:rPr>
          <w:rFonts w:ascii="Arial"/>
          <w:spacing w:val="-2"/>
          <w:w w:val="106"/>
          <w:sz w:val="12"/>
        </w:rPr>
        <w:t>S</w:t>
      </w:r>
      <w:r>
        <w:rPr>
          <w:rFonts w:ascii="Arial"/>
          <w:spacing w:val="3"/>
          <w:w w:val="106"/>
          <w:sz w:val="12"/>
        </w:rPr>
        <w:t>t</w:t>
      </w:r>
      <w:r>
        <w:rPr>
          <w:rFonts w:ascii="Arial"/>
          <w:spacing w:val="1"/>
          <w:w w:val="106"/>
          <w:sz w:val="12"/>
        </w:rPr>
        <w:t>o</w:t>
      </w:r>
      <w:r>
        <w:rPr>
          <w:rFonts w:ascii="Arial"/>
          <w:w w:val="106"/>
          <w:sz w:val="12"/>
        </w:rPr>
        <w:t>p</w:t>
      </w:r>
      <w:r>
        <w:rPr>
          <w:rFonts w:ascii="Arial"/>
          <w:spacing w:val="6"/>
          <w:sz w:val="12"/>
        </w:rPr>
        <w:t> </w:t>
      </w:r>
      <w:r>
        <w:rPr>
          <w:rFonts w:ascii="Arial"/>
          <w:spacing w:val="2"/>
          <w:w w:val="106"/>
          <w:sz w:val="12"/>
        </w:rPr>
        <w:t>C</w:t>
      </w:r>
      <w:r>
        <w:rPr>
          <w:rFonts w:ascii="Arial"/>
          <w:spacing w:val="1"/>
          <w:w w:val="106"/>
          <w:sz w:val="12"/>
        </w:rPr>
        <w:t>on</w:t>
      </w:r>
      <w:r>
        <w:rPr>
          <w:rFonts w:ascii="Arial"/>
          <w:spacing w:val="-3"/>
          <w:w w:val="106"/>
          <w:sz w:val="12"/>
        </w:rPr>
        <w:t>t</w:t>
      </w:r>
      <w:r>
        <w:rPr>
          <w:rFonts w:ascii="Arial"/>
          <w:spacing w:val="1"/>
          <w:w w:val="106"/>
          <w:sz w:val="12"/>
        </w:rPr>
        <w:t>ro</w:t>
      </w:r>
      <w:r>
        <w:rPr>
          <w:rFonts w:ascii="Arial"/>
          <w:spacing w:val="4"/>
          <w:w w:val="106"/>
          <w:sz w:val="12"/>
        </w:rPr>
        <w:t>l</w:t>
      </w:r>
      <w:r>
        <w:rPr>
          <w:rFonts w:ascii="Arial"/>
          <w:spacing w:val="-1"/>
          <w:w w:val="106"/>
          <w:sz w:val="12"/>
        </w:rPr>
        <w:t>l</w:t>
      </w:r>
      <w:r>
        <w:rPr>
          <w:rFonts w:ascii="Arial"/>
          <w:spacing w:val="1"/>
          <w:w w:val="106"/>
          <w:sz w:val="12"/>
        </w:rPr>
        <w:t>ed</w:t>
      </w:r>
      <w:r>
        <w:rPr>
          <w:rFonts w:ascii="Arial"/>
          <w:w w:val="106"/>
          <w:sz w:val="12"/>
        </w:rPr>
        <w:t>,</w:t>
      </w:r>
      <w:r>
        <w:rPr>
          <w:rFonts w:ascii="Arial"/>
          <w:spacing w:val="3"/>
          <w:sz w:val="12"/>
        </w:rPr>
        <w:t> </w:t>
      </w:r>
      <w:r>
        <w:rPr>
          <w:rFonts w:ascii="Arial"/>
          <w:spacing w:val="1"/>
          <w:w w:val="106"/>
          <w:sz w:val="12"/>
        </w:rPr>
        <w:t>a</w:t>
      </w:r>
      <w:r>
        <w:rPr>
          <w:rFonts w:ascii="Arial"/>
          <w:spacing w:val="2"/>
          <w:w w:val="106"/>
          <w:sz w:val="12"/>
        </w:rPr>
        <w:t>cc</w:t>
      </w:r>
      <w:r>
        <w:rPr>
          <w:rFonts w:ascii="Arial"/>
          <w:spacing w:val="1"/>
          <w:w w:val="106"/>
          <w:sz w:val="12"/>
        </w:rPr>
        <w:t>ep</w:t>
      </w:r>
      <w:r>
        <w:rPr>
          <w:rFonts w:ascii="Arial"/>
          <w:spacing w:val="-3"/>
          <w:w w:val="106"/>
          <w:sz w:val="12"/>
        </w:rPr>
        <w:t>t</w:t>
      </w:r>
      <w:r>
        <w:rPr>
          <w:rFonts w:ascii="Arial"/>
          <w:spacing w:val="6"/>
          <w:w w:val="106"/>
          <w:sz w:val="12"/>
        </w:rPr>
        <w:t>a</w:t>
      </w:r>
      <w:r>
        <w:rPr>
          <w:rFonts w:ascii="Arial"/>
          <w:spacing w:val="1"/>
          <w:w w:val="106"/>
          <w:sz w:val="12"/>
        </w:rPr>
        <w:t>b</w:t>
      </w:r>
      <w:r>
        <w:rPr>
          <w:rFonts w:ascii="Arial"/>
          <w:spacing w:val="-1"/>
          <w:w w:val="106"/>
          <w:sz w:val="12"/>
        </w:rPr>
        <w:t>l</w:t>
      </w:r>
      <w:r>
        <w:rPr>
          <w:rFonts w:ascii="Arial"/>
          <w:w w:val="106"/>
          <w:sz w:val="12"/>
        </w:rPr>
        <w:t>e</w:t>
      </w:r>
      <w:r>
        <w:rPr>
          <w:rFonts w:ascii="Arial"/>
          <w:spacing w:val="6"/>
          <w:sz w:val="12"/>
        </w:rPr>
        <w:t> </w:t>
      </w:r>
      <w:r>
        <w:rPr>
          <w:rFonts w:ascii="Arial"/>
          <w:spacing w:val="1"/>
          <w:w w:val="106"/>
          <w:sz w:val="12"/>
        </w:rPr>
        <w:t>Le</w:t>
      </w:r>
      <w:r>
        <w:rPr>
          <w:rFonts w:ascii="Arial"/>
          <w:spacing w:val="-3"/>
          <w:w w:val="106"/>
          <w:sz w:val="12"/>
        </w:rPr>
        <w:t>v</w:t>
      </w:r>
      <w:r>
        <w:rPr>
          <w:rFonts w:ascii="Arial"/>
          <w:spacing w:val="1"/>
          <w:w w:val="106"/>
          <w:sz w:val="12"/>
        </w:rPr>
        <w:t>e</w:t>
      </w:r>
      <w:r>
        <w:rPr>
          <w:rFonts w:ascii="Arial"/>
          <w:w w:val="106"/>
          <w:sz w:val="12"/>
        </w:rPr>
        <w:t>l</w:t>
      </w:r>
      <w:r>
        <w:rPr>
          <w:rFonts w:ascii="Arial"/>
          <w:spacing w:val="4"/>
          <w:sz w:val="12"/>
        </w:rPr>
        <w:t> </w:t>
      </w:r>
      <w:r>
        <w:rPr>
          <w:rFonts w:ascii="Arial"/>
          <w:spacing w:val="1"/>
          <w:w w:val="106"/>
          <w:sz w:val="12"/>
        </w:rPr>
        <w:t>o</w:t>
      </w:r>
      <w:r>
        <w:rPr>
          <w:rFonts w:ascii="Arial"/>
          <w:w w:val="106"/>
          <w:sz w:val="12"/>
        </w:rPr>
        <w:t>f</w:t>
      </w:r>
      <w:r>
        <w:rPr>
          <w:rFonts w:ascii="Arial"/>
          <w:spacing w:val="8"/>
          <w:sz w:val="12"/>
        </w:rPr>
        <w:t> </w:t>
      </w:r>
      <w:r>
        <w:rPr>
          <w:rFonts w:ascii="Arial"/>
          <w:spacing w:val="-2"/>
          <w:w w:val="106"/>
          <w:sz w:val="12"/>
        </w:rPr>
        <w:t>S</w:t>
      </w:r>
      <w:r>
        <w:rPr>
          <w:rFonts w:ascii="Arial"/>
          <w:spacing w:val="1"/>
          <w:w w:val="106"/>
          <w:sz w:val="12"/>
        </w:rPr>
        <w:t>er</w:t>
      </w:r>
      <w:r>
        <w:rPr>
          <w:rFonts w:ascii="Arial"/>
          <w:spacing w:val="2"/>
          <w:w w:val="106"/>
          <w:sz w:val="12"/>
        </w:rPr>
        <w:t>v</w:t>
      </w:r>
      <w:r>
        <w:rPr>
          <w:rFonts w:ascii="Arial"/>
          <w:spacing w:val="-1"/>
          <w:w w:val="106"/>
          <w:sz w:val="12"/>
        </w:rPr>
        <w:t>i</w:t>
      </w:r>
      <w:r>
        <w:rPr>
          <w:rFonts w:ascii="Arial"/>
          <w:spacing w:val="2"/>
          <w:w w:val="106"/>
          <w:sz w:val="12"/>
        </w:rPr>
        <w:t>c</w:t>
      </w:r>
      <w:r>
        <w:rPr>
          <w:rFonts w:ascii="Arial"/>
          <w:w w:val="106"/>
          <w:sz w:val="12"/>
        </w:rPr>
        <w:t>e</w:t>
      </w:r>
      <w:r>
        <w:rPr>
          <w:rFonts w:ascii="Arial"/>
          <w:spacing w:val="6"/>
          <w:sz w:val="12"/>
        </w:rPr>
        <w:t> </w:t>
      </w:r>
      <w:r>
        <w:rPr>
          <w:rFonts w:ascii="Arial"/>
          <w:spacing w:val="-4"/>
          <w:w w:val="106"/>
          <w:sz w:val="12"/>
        </w:rPr>
        <w:t>(</w:t>
      </w:r>
      <w:r>
        <w:rPr>
          <w:rFonts w:ascii="Arial"/>
          <w:spacing w:val="6"/>
          <w:w w:val="106"/>
          <w:sz w:val="12"/>
        </w:rPr>
        <w:t>2</w:t>
      </w:r>
      <w:r>
        <w:rPr>
          <w:rFonts w:ascii="Arial"/>
          <w:spacing w:val="1"/>
          <w:w w:val="106"/>
          <w:sz w:val="12"/>
        </w:rPr>
        <w:t>4</w:t>
      </w:r>
      <w:r>
        <w:rPr>
          <w:rFonts w:ascii="Arial"/>
          <w:w w:val="106"/>
          <w:sz w:val="12"/>
        </w:rPr>
        <w:t>)</w:t>
      </w:r>
    </w:p>
    <w:p>
      <w:pPr>
        <w:pStyle w:val="Heading9"/>
        <w:spacing w:before="253"/>
        <w:jc w:val="right"/>
      </w:pPr>
      <w:r>
        <w:rPr/>
        <w:br w:type="column"/>
      </w:r>
      <w:r>
        <w:rPr>
          <w:color w:val="FFFF00"/>
          <w:spacing w:val="-224"/>
          <w:w w:val="267"/>
        </w:rPr>
        <w:t>ì</w:t>
      </w:r>
      <w:r>
        <w:rPr>
          <w:color w:val="FFFFFF"/>
          <w:spacing w:val="-224"/>
          <w:w w:val="133"/>
        </w:rPr>
        <w:t>é</w:t>
      </w:r>
      <w:r>
        <w:rPr>
          <w:spacing w:val="-224"/>
          <w:w w:val="133"/>
        </w:rPr>
        <w:t>è</w:t>
      </w:r>
      <w:r>
        <w:rPr>
          <w:color w:val="CC2D31"/>
          <w:spacing w:val="-224"/>
          <w:w w:val="267"/>
        </w:rPr>
        <w:t>í</w:t>
      </w:r>
      <w:r>
        <w:rPr>
          <w:color w:val="38A700"/>
          <w:w w:val="133"/>
        </w:rPr>
        <w:t>ë</w:t>
      </w:r>
    </w:p>
    <w:p>
      <w:pPr>
        <w:pStyle w:val="BodyText"/>
        <w:rPr>
          <w:rFonts w:ascii="Arial"/>
          <w:sz w:val="26"/>
        </w:rPr>
      </w:pPr>
      <w:r>
        <w:rPr/>
        <w:br w:type="column"/>
      </w:r>
      <w:r>
        <w:rPr>
          <w:rFonts w:ascii="Arial"/>
          <w:sz w:val="26"/>
        </w:rPr>
      </w:r>
    </w:p>
    <w:p>
      <w:pPr>
        <w:pStyle w:val="BodyText"/>
        <w:rPr>
          <w:rFonts w:ascii="Arial"/>
        </w:rPr>
      </w:pPr>
    </w:p>
    <w:p>
      <w:pPr>
        <w:spacing w:before="0"/>
        <w:ind w:left="351" w:right="0" w:firstLine="0"/>
        <w:jc w:val="left"/>
        <w:rPr>
          <w:rFonts w:ascii="Arial"/>
          <w:sz w:val="24"/>
        </w:rPr>
      </w:pPr>
      <w:r>
        <w:rPr/>
        <w:pict>
          <v:shape style="position:absolute;margin-left:616.731567pt;margin-top:-78.357834pt;width:11.45pt;height:68.650pt;mso-position-horizontal-relative:page;mso-position-vertical-relative:paragraph;z-index:-267784192" type="#_x0000_t202" filled="false" stroked="false">
            <v:textbox inset="0,0,0,0" style="layout-flow:vertical;mso-layout-flow-alt:bottom-to-top">
              <w:txbxContent>
                <w:p>
                  <w:pPr>
                    <w:tabs>
                      <w:tab w:pos="1351" w:val="left" w:leader="none"/>
                    </w:tabs>
                    <w:spacing w:before="48"/>
                    <w:ind w:left="20" w:right="0" w:firstLine="0"/>
                    <w:jc w:val="left"/>
                    <w:rPr>
                      <w:rFonts w:ascii="Century Gothic"/>
                      <w:b/>
                      <w:sz w:val="13"/>
                    </w:rPr>
                  </w:pPr>
                  <w:r>
                    <w:rPr>
                      <w:rFonts w:ascii="Century Gothic"/>
                      <w:b/>
                      <w:color w:val="4D4D4D"/>
                      <w:w w:val="102"/>
                      <w:sz w:val="13"/>
                      <w:u w:val="thick" w:color="B2B2B2"/>
                    </w:rPr>
                    <w:t> </w:t>
                  </w:r>
                  <w:r>
                    <w:rPr>
                      <w:rFonts w:ascii="Century Gothic"/>
                      <w:b/>
                      <w:color w:val="4D4D4D"/>
                      <w:sz w:val="13"/>
                      <w:u w:val="thick" w:color="B2B2B2"/>
                    </w:rPr>
                    <w:tab/>
                  </w:r>
                </w:p>
              </w:txbxContent>
            </v:textbox>
            <w10:wrap type="none"/>
          </v:shape>
        </w:pict>
      </w:r>
      <w:r>
        <w:rPr>
          <w:rFonts w:ascii="Arial"/>
          <w:emboss/>
          <w:color w:val="757576"/>
          <w:sz w:val="24"/>
        </w:rPr>
        <w:t>K</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w</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k</w:t>
      </w:r>
    </w:p>
    <w:p>
      <w:pPr>
        <w:spacing w:after="0"/>
        <w:jc w:val="left"/>
        <w:rPr>
          <w:rFonts w:ascii="Arial"/>
          <w:sz w:val="24"/>
        </w:rPr>
        <w:sectPr>
          <w:type w:val="continuous"/>
          <w:pgSz w:w="15840" w:h="24480"/>
          <w:pgMar w:top="1480" w:bottom="1320" w:left="0" w:right="0"/>
          <w:cols w:num="3" w:equalWidth="0">
            <w:col w:w="4901" w:space="6519"/>
            <w:col w:w="1237" w:space="40"/>
            <w:col w:w="3143"/>
          </w:cols>
        </w:sectPr>
      </w:pPr>
    </w:p>
    <w:p>
      <w:pPr>
        <w:spacing w:line="247" w:lineRule="exact" w:before="7"/>
        <w:ind w:left="1129" w:right="0" w:firstLine="0"/>
        <w:jc w:val="left"/>
        <w:rPr>
          <w:rFonts w:ascii="Arial" w:hAnsi="Arial"/>
          <w:sz w:val="12"/>
        </w:rPr>
      </w:pPr>
      <w:r>
        <w:rPr/>
        <w:pict>
          <v:shape style="position:absolute;margin-left:509.789154pt;margin-top:13.661645pt;width:29.1pt;height:6.65pt;mso-position-horizontal-relative:page;mso-position-vertical-relative:paragraph;z-index:252229632;rotation:1" type="#_x0000_t136" fillcolor="#4d4d4d" stroked="f">
            <o:extrusion v:ext="view" autorotationcenter="t"/>
            <v:textpath style="font-family:&quot;Century Gothic&quot;;font-size:6pt;v-text-kern:t;mso-text-shadow:auto;font-weight:bold" string="Reata Rd"/>
            <w10:wrap type="none"/>
          </v:shape>
        </w:pict>
      </w:r>
      <w:r>
        <w:rPr>
          <w:rFonts w:ascii="Arial" w:hAnsi="Arial"/>
          <w:color w:val="0070FF"/>
          <w:spacing w:val="-167"/>
          <w:w w:val="250"/>
          <w:position w:val="-2"/>
          <w:sz w:val="24"/>
        </w:rPr>
        <w:t>!</w:t>
      </w:r>
      <w:r>
        <w:rPr>
          <w:rFonts w:ascii="Arial" w:hAnsi="Arial"/>
          <w:w w:val="208"/>
          <w:position w:val="-2"/>
          <w:sz w:val="24"/>
        </w:rPr>
        <w:t>(</w:t>
      </w:r>
      <w:r>
        <w:rPr>
          <w:rFonts w:ascii="Arial" w:hAnsi="Arial"/>
          <w:position w:val="-2"/>
          <w:sz w:val="24"/>
        </w:rPr>
        <w:t>  </w:t>
      </w:r>
      <w:r>
        <w:rPr>
          <w:rFonts w:ascii="Arial" w:hAnsi="Arial"/>
          <w:spacing w:val="-18"/>
          <w:position w:val="-2"/>
          <w:sz w:val="24"/>
        </w:rPr>
        <w:t> </w:t>
      </w:r>
      <w:r>
        <w:rPr>
          <w:rFonts w:ascii="Arial" w:hAnsi="Arial"/>
          <w:spacing w:val="-6"/>
          <w:w w:val="106"/>
          <w:sz w:val="12"/>
        </w:rPr>
        <w:t>T</w:t>
      </w:r>
      <w:r>
        <w:rPr>
          <w:rFonts w:ascii="Arial" w:hAnsi="Arial"/>
          <w:spacing w:val="-4"/>
          <w:w w:val="106"/>
          <w:sz w:val="12"/>
        </w:rPr>
        <w:t>w</w:t>
      </w:r>
      <w:r>
        <w:rPr>
          <w:rFonts w:ascii="Arial" w:hAnsi="Arial"/>
          <w:w w:val="106"/>
          <w:sz w:val="12"/>
        </w:rPr>
        <w:t>o</w:t>
      </w:r>
      <w:r>
        <w:rPr>
          <w:rFonts w:ascii="Arial" w:hAnsi="Arial"/>
          <w:spacing w:val="6"/>
          <w:sz w:val="12"/>
        </w:rPr>
        <w:t> </w:t>
      </w:r>
      <w:r>
        <w:rPr>
          <w:rFonts w:ascii="Arial" w:hAnsi="Arial"/>
          <w:spacing w:val="1"/>
          <w:w w:val="106"/>
          <w:sz w:val="12"/>
        </w:rPr>
        <w:t>–</w:t>
      </w:r>
      <w:r>
        <w:rPr>
          <w:rFonts w:ascii="Arial" w:hAnsi="Arial"/>
          <w:spacing w:val="-4"/>
          <w:w w:val="106"/>
          <w:sz w:val="12"/>
        </w:rPr>
        <w:t>W</w:t>
      </w:r>
      <w:r>
        <w:rPr>
          <w:rFonts w:ascii="Arial" w:hAnsi="Arial"/>
          <w:spacing w:val="6"/>
          <w:w w:val="106"/>
          <w:sz w:val="12"/>
        </w:rPr>
        <w:t>a</w:t>
      </w:r>
      <w:r>
        <w:rPr>
          <w:rFonts w:ascii="Arial" w:hAnsi="Arial"/>
          <w:w w:val="106"/>
          <w:sz w:val="12"/>
        </w:rPr>
        <w:t>y</w:t>
      </w:r>
      <w:r>
        <w:rPr>
          <w:rFonts w:ascii="Arial" w:hAnsi="Arial"/>
          <w:spacing w:val="2"/>
          <w:sz w:val="12"/>
        </w:rPr>
        <w:t> </w:t>
      </w:r>
      <w:r>
        <w:rPr>
          <w:rFonts w:ascii="Arial" w:hAnsi="Arial"/>
          <w:spacing w:val="3"/>
          <w:w w:val="106"/>
          <w:sz w:val="12"/>
        </w:rPr>
        <w:t>S</w:t>
      </w:r>
      <w:r>
        <w:rPr>
          <w:rFonts w:ascii="Arial" w:hAnsi="Arial"/>
          <w:spacing w:val="-3"/>
          <w:w w:val="106"/>
          <w:sz w:val="12"/>
        </w:rPr>
        <w:t>t</w:t>
      </w:r>
      <w:r>
        <w:rPr>
          <w:rFonts w:ascii="Arial" w:hAnsi="Arial"/>
          <w:spacing w:val="1"/>
          <w:w w:val="106"/>
          <w:sz w:val="12"/>
        </w:rPr>
        <w:t>o</w:t>
      </w:r>
      <w:r>
        <w:rPr>
          <w:rFonts w:ascii="Arial" w:hAnsi="Arial"/>
          <w:w w:val="106"/>
          <w:sz w:val="12"/>
        </w:rPr>
        <w:t>p</w:t>
      </w:r>
      <w:r>
        <w:rPr>
          <w:rFonts w:ascii="Arial" w:hAnsi="Arial"/>
          <w:spacing w:val="6"/>
          <w:sz w:val="12"/>
        </w:rPr>
        <w:t> </w:t>
      </w:r>
      <w:r>
        <w:rPr>
          <w:rFonts w:ascii="Arial" w:hAnsi="Arial"/>
          <w:spacing w:val="2"/>
          <w:w w:val="106"/>
          <w:sz w:val="12"/>
        </w:rPr>
        <w:t>C</w:t>
      </w:r>
      <w:r>
        <w:rPr>
          <w:rFonts w:ascii="Arial" w:hAnsi="Arial"/>
          <w:spacing w:val="1"/>
          <w:w w:val="106"/>
          <w:sz w:val="12"/>
        </w:rPr>
        <w:t>on</w:t>
      </w:r>
      <w:r>
        <w:rPr>
          <w:rFonts w:ascii="Arial" w:hAnsi="Arial"/>
          <w:spacing w:val="-3"/>
          <w:w w:val="106"/>
          <w:sz w:val="12"/>
        </w:rPr>
        <w:t>t</w:t>
      </w:r>
      <w:r>
        <w:rPr>
          <w:rFonts w:ascii="Arial" w:hAnsi="Arial"/>
          <w:spacing w:val="1"/>
          <w:w w:val="106"/>
          <w:sz w:val="12"/>
        </w:rPr>
        <w:t>ro</w:t>
      </w:r>
      <w:r>
        <w:rPr>
          <w:rFonts w:ascii="Arial" w:hAnsi="Arial"/>
          <w:spacing w:val="4"/>
          <w:w w:val="106"/>
          <w:sz w:val="12"/>
        </w:rPr>
        <w:t>l</w:t>
      </w:r>
      <w:r>
        <w:rPr>
          <w:rFonts w:ascii="Arial" w:hAnsi="Arial"/>
          <w:spacing w:val="-1"/>
          <w:w w:val="106"/>
          <w:sz w:val="12"/>
        </w:rPr>
        <w:t>l</w:t>
      </w:r>
      <w:r>
        <w:rPr>
          <w:rFonts w:ascii="Arial" w:hAnsi="Arial"/>
          <w:spacing w:val="1"/>
          <w:w w:val="106"/>
          <w:sz w:val="12"/>
        </w:rPr>
        <w:t>ed</w:t>
      </w:r>
      <w:r>
        <w:rPr>
          <w:rFonts w:ascii="Arial" w:hAnsi="Arial"/>
          <w:w w:val="106"/>
          <w:sz w:val="12"/>
        </w:rPr>
        <w:t>,</w:t>
      </w:r>
      <w:r>
        <w:rPr>
          <w:rFonts w:ascii="Arial" w:hAnsi="Arial"/>
          <w:spacing w:val="3"/>
          <w:sz w:val="12"/>
        </w:rPr>
        <w:t> </w:t>
      </w:r>
      <w:r>
        <w:rPr>
          <w:rFonts w:ascii="Arial" w:hAnsi="Arial"/>
          <w:spacing w:val="1"/>
          <w:w w:val="106"/>
          <w:sz w:val="12"/>
        </w:rPr>
        <w:t>nee</w:t>
      </w:r>
      <w:r>
        <w:rPr>
          <w:rFonts w:ascii="Arial" w:hAnsi="Arial"/>
          <w:spacing w:val="6"/>
          <w:w w:val="106"/>
          <w:sz w:val="12"/>
        </w:rPr>
        <w:t>d</w:t>
      </w:r>
      <w:r>
        <w:rPr>
          <w:rFonts w:ascii="Arial" w:hAnsi="Arial"/>
          <w:w w:val="106"/>
          <w:sz w:val="12"/>
        </w:rPr>
        <w:t>s</w:t>
      </w:r>
      <w:r>
        <w:rPr>
          <w:rFonts w:ascii="Arial" w:hAnsi="Arial"/>
          <w:spacing w:val="2"/>
          <w:sz w:val="12"/>
        </w:rPr>
        <w:t> </w:t>
      </w:r>
      <w:r>
        <w:rPr>
          <w:rFonts w:ascii="Arial" w:hAnsi="Arial"/>
          <w:spacing w:val="-3"/>
          <w:w w:val="106"/>
          <w:sz w:val="12"/>
        </w:rPr>
        <w:t>f</w:t>
      </w:r>
      <w:r>
        <w:rPr>
          <w:rFonts w:ascii="Arial" w:hAnsi="Arial"/>
          <w:spacing w:val="1"/>
          <w:w w:val="106"/>
          <w:sz w:val="12"/>
        </w:rPr>
        <w:t>ur</w:t>
      </w:r>
      <w:r>
        <w:rPr>
          <w:rFonts w:ascii="Arial" w:hAnsi="Arial"/>
          <w:spacing w:val="3"/>
          <w:w w:val="106"/>
          <w:sz w:val="12"/>
        </w:rPr>
        <w:t>t</w:t>
      </w:r>
      <w:r>
        <w:rPr>
          <w:rFonts w:ascii="Arial" w:hAnsi="Arial"/>
          <w:spacing w:val="1"/>
          <w:w w:val="106"/>
          <w:sz w:val="12"/>
        </w:rPr>
        <w:t>he</w:t>
      </w:r>
      <w:r>
        <w:rPr>
          <w:rFonts w:ascii="Arial" w:hAnsi="Arial"/>
          <w:w w:val="106"/>
          <w:sz w:val="12"/>
        </w:rPr>
        <w:t>r</w:t>
      </w:r>
      <w:r>
        <w:rPr>
          <w:rFonts w:ascii="Arial" w:hAnsi="Arial"/>
          <w:spacing w:val="7"/>
          <w:sz w:val="12"/>
        </w:rPr>
        <w:t> </w:t>
      </w:r>
      <w:r>
        <w:rPr>
          <w:rFonts w:ascii="Arial" w:hAnsi="Arial"/>
          <w:spacing w:val="1"/>
          <w:w w:val="106"/>
          <w:sz w:val="12"/>
        </w:rPr>
        <w:t>e</w:t>
      </w:r>
      <w:r>
        <w:rPr>
          <w:rFonts w:ascii="Arial" w:hAnsi="Arial"/>
          <w:spacing w:val="-3"/>
          <w:w w:val="106"/>
          <w:sz w:val="12"/>
        </w:rPr>
        <w:t>v</w:t>
      </w:r>
      <w:r>
        <w:rPr>
          <w:rFonts w:ascii="Arial" w:hAnsi="Arial"/>
          <w:spacing w:val="1"/>
          <w:w w:val="106"/>
          <w:sz w:val="12"/>
        </w:rPr>
        <w:t>a</w:t>
      </w:r>
      <w:r>
        <w:rPr>
          <w:rFonts w:ascii="Arial" w:hAnsi="Arial"/>
          <w:spacing w:val="4"/>
          <w:w w:val="106"/>
          <w:sz w:val="12"/>
        </w:rPr>
        <w:t>l</w:t>
      </w:r>
      <w:r>
        <w:rPr>
          <w:rFonts w:ascii="Arial" w:hAnsi="Arial"/>
          <w:spacing w:val="1"/>
          <w:w w:val="106"/>
          <w:sz w:val="12"/>
        </w:rPr>
        <w:t>ua</w:t>
      </w:r>
      <w:r>
        <w:rPr>
          <w:rFonts w:ascii="Arial" w:hAnsi="Arial"/>
          <w:spacing w:val="-3"/>
          <w:w w:val="106"/>
          <w:sz w:val="12"/>
        </w:rPr>
        <w:t>t</w:t>
      </w:r>
      <w:r>
        <w:rPr>
          <w:rFonts w:ascii="Arial" w:hAnsi="Arial"/>
          <w:spacing w:val="4"/>
          <w:w w:val="106"/>
          <w:sz w:val="12"/>
        </w:rPr>
        <w:t>i</w:t>
      </w:r>
      <w:r>
        <w:rPr>
          <w:rFonts w:ascii="Arial" w:hAnsi="Arial"/>
          <w:spacing w:val="1"/>
          <w:w w:val="106"/>
          <w:sz w:val="12"/>
        </w:rPr>
        <w:t>o</w:t>
      </w:r>
      <w:r>
        <w:rPr>
          <w:rFonts w:ascii="Arial" w:hAnsi="Arial"/>
          <w:w w:val="106"/>
          <w:sz w:val="12"/>
        </w:rPr>
        <w:t>n</w:t>
      </w:r>
      <w:r>
        <w:rPr>
          <w:rFonts w:ascii="Arial" w:hAnsi="Arial"/>
          <w:spacing w:val="1"/>
          <w:sz w:val="12"/>
        </w:rPr>
        <w:t> </w:t>
      </w:r>
      <w:r>
        <w:rPr>
          <w:rFonts w:ascii="Arial" w:hAnsi="Arial"/>
          <w:spacing w:val="1"/>
          <w:w w:val="106"/>
          <w:sz w:val="12"/>
        </w:rPr>
        <w:t>(1</w:t>
      </w:r>
      <w:r>
        <w:rPr>
          <w:rFonts w:ascii="Arial" w:hAnsi="Arial"/>
          <w:w w:val="106"/>
          <w:sz w:val="12"/>
        </w:rPr>
        <w:t>)</w:t>
      </w:r>
    </w:p>
    <w:p>
      <w:pPr>
        <w:spacing w:after="0" w:line="247" w:lineRule="exact"/>
        <w:jc w:val="left"/>
        <w:rPr>
          <w:rFonts w:ascii="Arial" w:hAnsi="Arial"/>
          <w:sz w:val="12"/>
        </w:rPr>
        <w:sectPr>
          <w:type w:val="continuous"/>
          <w:pgSz w:w="15840" w:h="24480"/>
          <w:pgMar w:top="1480" w:bottom="1320" w:left="0" w:right="0"/>
        </w:sectPr>
      </w:pPr>
    </w:p>
    <w:p>
      <w:pPr>
        <w:spacing w:line="217" w:lineRule="exact" w:before="8"/>
        <w:ind w:left="1129" w:right="0" w:firstLine="0"/>
        <w:jc w:val="left"/>
        <w:rPr>
          <w:rFonts w:ascii="Arial"/>
          <w:sz w:val="12"/>
        </w:rPr>
      </w:pPr>
      <w:r>
        <w:rPr>
          <w:rFonts w:ascii="Arial"/>
          <w:spacing w:val="-167"/>
          <w:w w:val="208"/>
          <w:position w:val="-2"/>
          <w:sz w:val="24"/>
        </w:rPr>
        <w:t>(</w:t>
      </w:r>
      <w:r>
        <w:rPr>
          <w:rFonts w:ascii="Arial"/>
          <w:color w:val="00FF00"/>
          <w:w w:val="250"/>
          <w:position w:val="-2"/>
          <w:sz w:val="24"/>
        </w:rPr>
        <w:t>!</w:t>
      </w:r>
      <w:r>
        <w:rPr>
          <w:rFonts w:ascii="Arial"/>
          <w:color w:val="00FF00"/>
          <w:position w:val="-2"/>
          <w:sz w:val="24"/>
        </w:rPr>
        <w:t>  </w:t>
      </w:r>
      <w:r>
        <w:rPr>
          <w:rFonts w:ascii="Arial"/>
          <w:color w:val="00FF00"/>
          <w:spacing w:val="-18"/>
          <w:position w:val="-2"/>
          <w:sz w:val="24"/>
        </w:rPr>
        <w:t> </w:t>
      </w:r>
      <w:r>
        <w:rPr>
          <w:rFonts w:ascii="Arial"/>
          <w:spacing w:val="-6"/>
          <w:w w:val="106"/>
          <w:sz w:val="12"/>
        </w:rPr>
        <w:t>T</w:t>
      </w:r>
      <w:r>
        <w:rPr>
          <w:rFonts w:ascii="Arial"/>
          <w:spacing w:val="-4"/>
          <w:w w:val="106"/>
          <w:sz w:val="12"/>
        </w:rPr>
        <w:t>w</w:t>
      </w:r>
      <w:r>
        <w:rPr>
          <w:rFonts w:ascii="Arial"/>
          <w:spacing w:val="6"/>
          <w:w w:val="106"/>
          <w:sz w:val="12"/>
        </w:rPr>
        <w:t>o</w:t>
      </w:r>
      <w:r>
        <w:rPr>
          <w:rFonts w:ascii="Arial"/>
          <w:spacing w:val="-4"/>
          <w:w w:val="106"/>
          <w:sz w:val="12"/>
        </w:rPr>
        <w:t>-</w:t>
      </w:r>
      <w:r>
        <w:rPr>
          <w:rFonts w:ascii="Arial"/>
          <w:spacing w:val="1"/>
          <w:w w:val="106"/>
          <w:sz w:val="12"/>
        </w:rPr>
        <w:t>Wa</w:t>
      </w:r>
      <w:r>
        <w:rPr>
          <w:rFonts w:ascii="Arial"/>
          <w:w w:val="106"/>
          <w:sz w:val="12"/>
        </w:rPr>
        <w:t>y</w:t>
      </w:r>
      <w:r>
        <w:rPr>
          <w:rFonts w:ascii="Arial"/>
          <w:spacing w:val="2"/>
          <w:sz w:val="12"/>
        </w:rPr>
        <w:t> </w:t>
      </w:r>
      <w:r>
        <w:rPr>
          <w:rFonts w:ascii="Arial"/>
          <w:spacing w:val="3"/>
          <w:w w:val="106"/>
          <w:sz w:val="12"/>
        </w:rPr>
        <w:t>S</w:t>
      </w:r>
      <w:r>
        <w:rPr>
          <w:rFonts w:ascii="Arial"/>
          <w:spacing w:val="-3"/>
          <w:w w:val="106"/>
          <w:sz w:val="12"/>
        </w:rPr>
        <w:t>t</w:t>
      </w:r>
      <w:r>
        <w:rPr>
          <w:rFonts w:ascii="Arial"/>
          <w:spacing w:val="1"/>
          <w:w w:val="106"/>
          <w:sz w:val="12"/>
        </w:rPr>
        <w:t>o</w:t>
      </w:r>
      <w:r>
        <w:rPr>
          <w:rFonts w:ascii="Arial"/>
          <w:w w:val="106"/>
          <w:sz w:val="12"/>
        </w:rPr>
        <w:t>p</w:t>
      </w:r>
      <w:r>
        <w:rPr>
          <w:rFonts w:ascii="Arial"/>
          <w:spacing w:val="6"/>
          <w:sz w:val="12"/>
        </w:rPr>
        <w:t> </w:t>
      </w:r>
      <w:r>
        <w:rPr>
          <w:rFonts w:ascii="Arial"/>
          <w:spacing w:val="2"/>
          <w:w w:val="106"/>
          <w:sz w:val="12"/>
        </w:rPr>
        <w:t>C</w:t>
      </w:r>
      <w:r>
        <w:rPr>
          <w:rFonts w:ascii="Arial"/>
          <w:spacing w:val="1"/>
          <w:w w:val="106"/>
          <w:sz w:val="12"/>
        </w:rPr>
        <w:t>on</w:t>
      </w:r>
      <w:r>
        <w:rPr>
          <w:rFonts w:ascii="Arial"/>
          <w:spacing w:val="3"/>
          <w:w w:val="106"/>
          <w:sz w:val="12"/>
        </w:rPr>
        <w:t>t</w:t>
      </w:r>
      <w:r>
        <w:rPr>
          <w:rFonts w:ascii="Arial"/>
          <w:spacing w:val="1"/>
          <w:w w:val="106"/>
          <w:sz w:val="12"/>
        </w:rPr>
        <w:t>ro</w:t>
      </w:r>
      <w:r>
        <w:rPr>
          <w:rFonts w:ascii="Arial"/>
          <w:spacing w:val="-1"/>
          <w:w w:val="106"/>
          <w:sz w:val="12"/>
        </w:rPr>
        <w:t>ll</w:t>
      </w:r>
      <w:r>
        <w:rPr>
          <w:rFonts w:ascii="Arial"/>
          <w:spacing w:val="1"/>
          <w:w w:val="106"/>
          <w:sz w:val="12"/>
        </w:rPr>
        <w:t>e</w:t>
      </w:r>
      <w:r>
        <w:rPr>
          <w:rFonts w:ascii="Arial"/>
          <w:w w:val="106"/>
          <w:sz w:val="12"/>
        </w:rPr>
        <w:t>d</w:t>
      </w:r>
      <w:r>
        <w:rPr>
          <w:rFonts w:ascii="Arial"/>
          <w:spacing w:val="6"/>
          <w:sz w:val="12"/>
        </w:rPr>
        <w:t> </w:t>
      </w:r>
      <w:r>
        <w:rPr>
          <w:rFonts w:ascii="Arial"/>
          <w:spacing w:val="-1"/>
          <w:w w:val="106"/>
          <w:sz w:val="12"/>
        </w:rPr>
        <w:t>i</w:t>
      </w:r>
      <w:r>
        <w:rPr>
          <w:rFonts w:ascii="Arial"/>
          <w:spacing w:val="1"/>
          <w:w w:val="106"/>
          <w:sz w:val="12"/>
        </w:rPr>
        <w:t>n</w:t>
      </w:r>
      <w:r>
        <w:rPr>
          <w:rFonts w:ascii="Arial"/>
          <w:spacing w:val="3"/>
          <w:w w:val="106"/>
          <w:sz w:val="12"/>
        </w:rPr>
        <w:t>t</w:t>
      </w:r>
      <w:r>
        <w:rPr>
          <w:rFonts w:ascii="Arial"/>
          <w:spacing w:val="1"/>
          <w:w w:val="106"/>
          <w:sz w:val="12"/>
        </w:rPr>
        <w:t>er</w:t>
      </w:r>
      <w:r>
        <w:rPr>
          <w:rFonts w:ascii="Arial"/>
          <w:spacing w:val="-3"/>
          <w:w w:val="106"/>
          <w:sz w:val="12"/>
        </w:rPr>
        <w:t>s</w:t>
      </w:r>
      <w:r>
        <w:rPr>
          <w:rFonts w:ascii="Arial"/>
          <w:spacing w:val="6"/>
          <w:w w:val="106"/>
          <w:sz w:val="12"/>
        </w:rPr>
        <w:t>e</w:t>
      </w:r>
      <w:r>
        <w:rPr>
          <w:rFonts w:ascii="Arial"/>
          <w:spacing w:val="-3"/>
          <w:w w:val="106"/>
          <w:sz w:val="12"/>
        </w:rPr>
        <w:t>c</w:t>
      </w:r>
      <w:r>
        <w:rPr>
          <w:rFonts w:ascii="Arial"/>
          <w:spacing w:val="3"/>
          <w:w w:val="106"/>
          <w:sz w:val="12"/>
        </w:rPr>
        <w:t>t</w:t>
      </w:r>
      <w:r>
        <w:rPr>
          <w:rFonts w:ascii="Arial"/>
          <w:spacing w:val="-1"/>
          <w:w w:val="106"/>
          <w:sz w:val="12"/>
        </w:rPr>
        <w:t>i</w:t>
      </w:r>
      <w:r>
        <w:rPr>
          <w:rFonts w:ascii="Arial"/>
          <w:spacing w:val="1"/>
          <w:w w:val="106"/>
          <w:sz w:val="12"/>
        </w:rPr>
        <w:t>on</w:t>
      </w:r>
      <w:r>
        <w:rPr>
          <w:rFonts w:ascii="Arial"/>
          <w:w w:val="106"/>
          <w:sz w:val="12"/>
        </w:rPr>
        <w:t>,</w:t>
      </w:r>
      <w:r>
        <w:rPr>
          <w:rFonts w:ascii="Arial"/>
          <w:spacing w:val="3"/>
          <w:sz w:val="12"/>
        </w:rPr>
        <w:t> </w:t>
      </w:r>
      <w:r>
        <w:rPr>
          <w:rFonts w:ascii="Arial"/>
          <w:spacing w:val="6"/>
          <w:w w:val="106"/>
          <w:sz w:val="12"/>
        </w:rPr>
        <w:t>p</w:t>
      </w:r>
      <w:r>
        <w:rPr>
          <w:rFonts w:ascii="Arial"/>
          <w:spacing w:val="-4"/>
          <w:w w:val="106"/>
          <w:sz w:val="12"/>
        </w:rPr>
        <w:t>r</w:t>
      </w:r>
      <w:r>
        <w:rPr>
          <w:rFonts w:ascii="Arial"/>
          <w:spacing w:val="1"/>
          <w:w w:val="106"/>
          <w:sz w:val="12"/>
        </w:rPr>
        <w:t>o</w:t>
      </w:r>
      <w:r>
        <w:rPr>
          <w:rFonts w:ascii="Arial"/>
          <w:spacing w:val="6"/>
          <w:w w:val="106"/>
          <w:sz w:val="12"/>
        </w:rPr>
        <w:t>p</w:t>
      </w:r>
      <w:r>
        <w:rPr>
          <w:rFonts w:ascii="Arial"/>
          <w:spacing w:val="1"/>
          <w:w w:val="106"/>
          <w:sz w:val="12"/>
        </w:rPr>
        <w:t>o</w:t>
      </w:r>
      <w:r>
        <w:rPr>
          <w:rFonts w:ascii="Arial"/>
          <w:spacing w:val="-3"/>
          <w:w w:val="106"/>
          <w:sz w:val="12"/>
        </w:rPr>
        <w:t>s</w:t>
      </w:r>
      <w:r>
        <w:rPr>
          <w:rFonts w:ascii="Arial"/>
          <w:spacing w:val="1"/>
          <w:w w:val="106"/>
          <w:sz w:val="12"/>
        </w:rPr>
        <w:t>e</w:t>
      </w:r>
      <w:r>
        <w:rPr>
          <w:rFonts w:ascii="Arial"/>
          <w:w w:val="106"/>
          <w:sz w:val="12"/>
        </w:rPr>
        <w:t>d</w:t>
      </w:r>
      <w:r>
        <w:rPr>
          <w:rFonts w:ascii="Arial"/>
          <w:spacing w:val="6"/>
          <w:sz w:val="12"/>
        </w:rPr>
        <w:t> </w:t>
      </w:r>
      <w:r>
        <w:rPr>
          <w:rFonts w:ascii="Arial"/>
          <w:spacing w:val="3"/>
          <w:w w:val="106"/>
          <w:sz w:val="12"/>
        </w:rPr>
        <w:t>t</w:t>
      </w:r>
      <w:r>
        <w:rPr>
          <w:rFonts w:ascii="Arial"/>
          <w:spacing w:val="1"/>
          <w:w w:val="106"/>
          <w:sz w:val="12"/>
        </w:rPr>
        <w:t>ra</w:t>
      </w:r>
      <w:r>
        <w:rPr>
          <w:rFonts w:ascii="Arial"/>
          <w:spacing w:val="-3"/>
          <w:w w:val="106"/>
          <w:sz w:val="12"/>
        </w:rPr>
        <w:t>ff</w:t>
      </w:r>
      <w:r>
        <w:rPr>
          <w:rFonts w:ascii="Arial"/>
          <w:spacing w:val="4"/>
          <w:w w:val="106"/>
          <w:sz w:val="12"/>
        </w:rPr>
        <w:t>i</w:t>
      </w:r>
      <w:r>
        <w:rPr>
          <w:rFonts w:ascii="Arial"/>
          <w:w w:val="106"/>
          <w:sz w:val="12"/>
        </w:rPr>
        <w:t>c</w:t>
      </w:r>
      <w:r>
        <w:rPr>
          <w:rFonts w:ascii="Arial"/>
          <w:spacing w:val="2"/>
          <w:sz w:val="12"/>
        </w:rPr>
        <w:t> </w:t>
      </w:r>
      <w:r>
        <w:rPr>
          <w:rFonts w:ascii="Arial"/>
          <w:spacing w:val="2"/>
          <w:w w:val="106"/>
          <w:sz w:val="12"/>
        </w:rPr>
        <w:t>s</w:t>
      </w:r>
      <w:r>
        <w:rPr>
          <w:rFonts w:ascii="Arial"/>
          <w:spacing w:val="-1"/>
          <w:w w:val="106"/>
          <w:sz w:val="12"/>
        </w:rPr>
        <w:t>i</w:t>
      </w:r>
      <w:r>
        <w:rPr>
          <w:rFonts w:ascii="Arial"/>
          <w:spacing w:val="1"/>
          <w:w w:val="106"/>
          <w:sz w:val="12"/>
        </w:rPr>
        <w:t>gna</w:t>
      </w:r>
      <w:r>
        <w:rPr>
          <w:rFonts w:ascii="Arial"/>
          <w:w w:val="106"/>
          <w:sz w:val="12"/>
        </w:rPr>
        <w:t>l</w:t>
      </w:r>
      <w:r>
        <w:rPr>
          <w:rFonts w:ascii="Arial"/>
          <w:spacing w:val="4"/>
          <w:sz w:val="12"/>
        </w:rPr>
        <w:t> </w:t>
      </w:r>
      <w:r>
        <w:rPr>
          <w:rFonts w:ascii="Arial"/>
          <w:spacing w:val="1"/>
          <w:w w:val="106"/>
          <w:sz w:val="12"/>
        </w:rPr>
        <w:t>o</w:t>
      </w:r>
      <w:r>
        <w:rPr>
          <w:rFonts w:ascii="Arial"/>
          <w:w w:val="106"/>
          <w:sz w:val="12"/>
        </w:rPr>
        <w:t>r</w:t>
      </w:r>
      <w:r>
        <w:rPr>
          <w:rFonts w:ascii="Arial"/>
          <w:spacing w:val="7"/>
          <w:sz w:val="12"/>
        </w:rPr>
        <w:t> </w:t>
      </w:r>
      <w:r>
        <w:rPr>
          <w:rFonts w:ascii="Arial"/>
          <w:spacing w:val="-4"/>
          <w:w w:val="106"/>
          <w:sz w:val="12"/>
        </w:rPr>
        <w:t>r</w:t>
      </w:r>
      <w:r>
        <w:rPr>
          <w:rFonts w:ascii="Arial"/>
          <w:spacing w:val="1"/>
          <w:w w:val="106"/>
          <w:sz w:val="12"/>
        </w:rPr>
        <w:t>o</w:t>
      </w:r>
      <w:r>
        <w:rPr>
          <w:rFonts w:ascii="Arial"/>
          <w:spacing w:val="6"/>
          <w:w w:val="106"/>
          <w:sz w:val="12"/>
        </w:rPr>
        <w:t>u</w:t>
      </w:r>
      <w:r>
        <w:rPr>
          <w:rFonts w:ascii="Arial"/>
          <w:spacing w:val="1"/>
          <w:w w:val="106"/>
          <w:sz w:val="12"/>
        </w:rPr>
        <w:t>ndabou</w:t>
      </w:r>
      <w:r>
        <w:rPr>
          <w:rFonts w:ascii="Arial"/>
          <w:w w:val="106"/>
          <w:sz w:val="12"/>
        </w:rPr>
        <w:t>t</w:t>
      </w:r>
      <w:r>
        <w:rPr>
          <w:rFonts w:ascii="Arial"/>
          <w:spacing w:val="3"/>
          <w:sz w:val="12"/>
        </w:rPr>
        <w:t> </w:t>
      </w:r>
      <w:r>
        <w:rPr>
          <w:rFonts w:ascii="Arial"/>
          <w:spacing w:val="1"/>
          <w:w w:val="106"/>
          <w:sz w:val="12"/>
        </w:rPr>
        <w:t>(6</w:t>
      </w:r>
      <w:r>
        <w:rPr>
          <w:rFonts w:ascii="Arial"/>
          <w:w w:val="106"/>
          <w:sz w:val="12"/>
        </w:rPr>
        <w:t>)</w:t>
      </w:r>
    </w:p>
    <w:p>
      <w:pPr>
        <w:pStyle w:val="Heading4"/>
        <w:spacing w:line="14" w:lineRule="exact"/>
        <w:ind w:left="1085"/>
        <w:rPr>
          <w:rFonts w:ascii="Arial Black"/>
        </w:rPr>
      </w:pPr>
      <w:r>
        <w:rPr>
          <w:rFonts w:ascii="Arial Black"/>
          <w:spacing w:val="-244"/>
          <w:w w:val="104"/>
        </w:rPr>
        <w:t>2</w:t>
      </w:r>
    </w:p>
    <w:p>
      <w:pPr>
        <w:spacing w:line="94" w:lineRule="exact" w:before="118"/>
        <w:ind w:left="1085" w:right="0" w:firstLine="0"/>
        <w:jc w:val="left"/>
        <w:rPr>
          <w:rFonts w:ascii="Arial"/>
          <w:sz w:val="28"/>
        </w:rPr>
      </w:pPr>
      <w:r>
        <w:rPr/>
        <w:br w:type="column"/>
      </w:r>
      <w:r>
        <w:rPr>
          <w:rFonts w:ascii="Arial"/>
          <w:color w:val="FFFFFF"/>
          <w:spacing w:val="-226"/>
          <w:w w:val="145"/>
          <w:sz w:val="28"/>
        </w:rPr>
        <w:t>$</w:t>
      </w:r>
      <w:r>
        <w:rPr>
          <w:rFonts w:ascii="Arial"/>
          <w:color w:val="CC2D31"/>
          <w:spacing w:val="-226"/>
          <w:w w:val="227"/>
          <w:sz w:val="28"/>
        </w:rPr>
        <w:t>"</w:t>
      </w:r>
      <w:r>
        <w:rPr>
          <w:rFonts w:ascii="Arial"/>
          <w:color w:val="FFFFFF"/>
          <w:w w:val="290"/>
          <w:sz w:val="28"/>
        </w:rPr>
        <w:t>!</w:t>
      </w:r>
    </w:p>
    <w:p>
      <w:pPr>
        <w:spacing w:after="0" w:line="94" w:lineRule="exact"/>
        <w:jc w:val="left"/>
        <w:rPr>
          <w:rFonts w:ascii="Arial"/>
          <w:sz w:val="28"/>
        </w:rPr>
        <w:sectPr>
          <w:type w:val="continuous"/>
          <w:pgSz w:w="15840" w:h="24480"/>
          <w:pgMar w:top="1480" w:bottom="1320" w:left="0" w:right="0"/>
          <w:cols w:num="2" w:equalWidth="0">
            <w:col w:w="6081" w:space="3692"/>
            <w:col w:w="6067"/>
          </w:cols>
        </w:sectPr>
      </w:pPr>
    </w:p>
    <w:p>
      <w:pPr>
        <w:spacing w:line="369" w:lineRule="exact" w:before="0"/>
        <w:ind w:left="1093" w:right="0" w:firstLine="0"/>
        <w:jc w:val="left"/>
        <w:rPr>
          <w:rFonts w:ascii="Arial"/>
          <w:sz w:val="16"/>
        </w:rPr>
      </w:pPr>
      <w:r>
        <w:rPr/>
        <w:pict>
          <v:group style="position:absolute;margin-left:35.03252pt;margin-top:35.445774pt;width:721.85pt;height:1153.1pt;mso-position-horizontal-relative:page;mso-position-vertical-relative:page;z-index:-267808768" coordorigin="701,709" coordsize="14437,23062">
            <v:rect style="position:absolute;left:720;top:2879;width:14401;height:20880" filled="true" fillcolor="#e5e2cf" stroked="false">
              <v:fill type="solid"/>
            </v:rect>
            <v:shape style="position:absolute;left:717;top:3275;width:14412;height:20493" type="#_x0000_t75" stroked="false">
              <v:imagedata r:id="rId126" o:title=""/>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3.04631pt" strokecolor="#cccccc">
              <v:path arrowok="t"/>
              <v:stroke dashstyle="solid"/>
            </v:shape>
            <v:shape style="position:absolute;left:9568;top:5928;width:194;height:150" type="#_x0000_t75" stroked="false">
              <v:imagedata r:id="rId127"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3.04631pt" strokecolor="#cccccc">
              <v:path arrowok="t"/>
              <v:stroke dashstyle="solid"/>
            </v:shape>
            <v:shape style="position:absolute;left:13334;top:19254;width:338;height:161" type="#_x0000_t75" stroked="false">
              <v:imagedata r:id="rId128"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3.04631pt" strokecolor="#cccccc">
              <v:path arrowok="t"/>
              <v:stroke dashstyle="solid"/>
            </v:shape>
            <v:shape style="position:absolute;left:714;top:2871;width:14421;height:20858" type="#_x0000_t75" stroked="false">
              <v:imagedata r:id="rId129" o:title=""/>
            </v:shape>
            <v:shape style="position:absolute;left:1473;top:5100;width:3451;height:1047" coordorigin="1473,5101" coordsize="3451,1047" path="m1473,5129l1479,5123,1479,5117,1484,5117,1484,5112,1490,5112,1490,5106,1495,5106,1501,5106,1501,5101,1540,5101,4924,6148e" filled="false" stroked="true" strokeweight=".55387pt" strokecolor="#b2b2b2">
              <v:path arrowok="t"/>
              <v:stroke dashstyle="solid"/>
            </v:shape>
            <v:shape style="position:absolute;left:714;top:4549;width:14418;height:19222" type="#_x0000_t75" stroked="false">
              <v:imagedata r:id="rId130" o:title=""/>
            </v:shape>
            <v:line style="position:absolute" from="10058,5943" to="10058,6308" stroked="true" strokeweight="2.21549pt" strokecolor="#b2b2b2">
              <v:stroke dashstyle="solid"/>
            </v:line>
            <v:shape style="position:absolute;left:9377;top:3223;width:809;height:2172" coordorigin="9377,3223" coordsize="809,2172" path="m10186,5394l10186,5300m10186,5300l10180,5151,10180,5068,10180,5057m9405,4209l9388,4209m9410,4647l9388,4647m9377,3223l9388,4209m9405,4209l9394,3223e" filled="false" stroked="true" strokeweight=".55387pt" strokecolor="#b2b2b2">
              <v:path arrowok="t"/>
              <v:stroke dashstyle="solid"/>
            </v:shape>
            <v:shape style="position:absolute;left:9367;top:2874;width:199;height:421" type="#_x0000_t75" stroked="false">
              <v:imagedata r:id="rId65" o:title=""/>
            </v:shape>
            <v:shape style="position:absolute;left:720;top:16127;width:4509;height:5212" coordorigin="720,16128" coordsize="4509,5212" path="m4708,20187l4658,20071,4553,19789,4492,19623,3966,18155,3827,17861,3700,17673,3512,17479,2243,16571m2243,16571l2238,16565,2232,16565,2227,16560,2221,16554,2215,16554,2210,16549,2204,16543,2199,16543,2193,16538,2188,16532,2182,16532,2177,16527,2171,16521,2166,16521,2160,16516,2155,16510,2149,16510,2143,16504,2138,16499,2132,16499,2127,16493,2121,16488,2116,16488,2110,16482,2105,16482,2099,16477,2094,16471,2088,16471,2083,16466,2077,16466,2071,16460,2066,16455,2060,16455,2055,16449,2049,16449,2044,16444,2038,16438,2033,16438,2027,16432,2022,16432,2016,16427,2011,16427,2005,16421,1999,16421,1994,16416,1988,16410,1983,16410,1977,16405,1972,16405,1966,16399,1961,16399,1955,16394,1950,16394,1944,16388,1939,16388,1933,16383,1927,16383,1922,16377,1916,16377,1911,16372,1905,16372,1900,16366,1894,16366,1889,16360,1883,16360,1878,16355,1872,16355,1867,16349,1861,16349,1855,16344,1850,16344,1844,16344,1839,16338,1833,16338,1828,16333,1822,16333,1817,16327,1811,16327,1806,16322,1800,16322,1795,16322,1789,16316,1783,16316,1778,16311,1772,16311,1767,16311,1761,16305,1756,16305,1750,16300,1745,16300,1739,16294,1734,16294,1728,16294,1723,16288,1717,16288,1711,16288,1706,16283,1700,16283,1695,16277,1689,16277,1684,16277,1678,16272,1673,16272,1667,16272,1662,16266,1656,16266,1651,16261,1645,16261,1639,16261,1634,16255,1628,16255,1623,16255,1617,16250,1612,16250,1606,16250,1601,16244,1595,16244,1590,16244,1584,16239,1579,16239,1573,16239,1567,16233,1562,16233,1556,16233,1551,16233,1545,16228,1540,16228,1534,16228,1529,16222,1523,16222,1518,16222,1512,16222,1507,16216,1501,16216,1495,16216,1490,16211,1484,16211,1479,16211,1473,16211,1468,16205,1462,16205,1457,16205,1451,16205,1446,16200,1440,16200,1435,16200,1429,16200,1423,16194,1418,16194,1412,16194,1407,16194,1401,16189,1396,16189,1390,16189,1385,16189,1379,16183,1374,16183,1368,16183,1363,16183,1357,16183,1351,16178,1346,16178,1340,16178,1335,16178,1329,16172,1324,16172,1318,16172,1313,16172,1307,16172,1302,16172,1296,16167,1291,16167,1285,16167,1279,16167,1274,16167,1268,16161,1263,16161,1257,16161,1252,16161,1246,16161,1241,16161,1235,16156,1230,16156,1224,16156,1219,16156,1213,16156,1207,16156,1202,16150,1196,16150,1191,16150,1185,16150,1180,16150,1174,16150,1169,16150,1163,16150,1158,16144,1152,16144,1147,16144,1141,16144,1135,16144,1130,16144,1124,16144,1119,16144,1113,16139,1108,16139,1102,16139,1097,16139,1091,16139,1086,16139,1080,16139,1075,16139,1069,16139,1063,16139,1058,16139,1052,16133,1047,16133,1041,16133,1036,16133,1030,16133,1025,16133,1019,16133,1014,16133,1008,16133,1003,16133,997,16133,991,16133,986,16133,980,16133,975,16133,969,16128,964,16128,958,16128,953,16128,947,16128,942,16128,936,16128,931,16128,925,16128,919,16128,914,16128,908,16128,903,16128,897,16128,892,16128,886,16128,881,16128,875,16128,870,16128,864,16128,859,16128,853,16128,847,16128,842,16128,836,16128,831,16128,825,16128,820,16128,814,16128,809,16128,803,16128,798,16128,792,16128,787,16128,781,16128,775,16128,770,16128,764,16128,759,16128,753,16128,748,16128,742,16133,737,16133,731,16133,726,16133,720,16133m4896,20880l4941,20913m4941,20913l4974,20952m4974,20952l5079,21123,5229,21339m4896,20880l4852,20835m4852,20835l4846,20830,4841,20824,4835,20819,4835,20813,4830,20808,4824,20802,4824,20797,4819,20791,4819,20786,4819,20780,4819,20775,4813,20769,4813,20763,4813,20758,4813,20752,4813,20747,4813,20741e" filled="false" stroked="true" strokeweight=".55387pt" strokecolor="#b2b2b2">
              <v:path arrowok="t"/>
              <v:stroke dashstyle="solid"/>
            </v:shape>
            <v:line style="position:absolute" from="4819,20631" to="4819,20747" stroked="true" strokeweight="1.10774pt" strokecolor="#b2b2b2">
              <v:stroke dashstyle="solid"/>
            </v:line>
            <v:shape style="position:absolute;left:4431;top:19639;width:466;height:1280" coordorigin="4431,19639" coordsize="466,1280" path="m4824,20636l4824,20631,4824,20625,4824,20619,4824,20614,4824,20608,4824,20603,4824,20597,4824,20592,4824,20586,4824,20581,4819,20575,4819,20570,4819,20564,4819,20559,4819,20553,4813,20547m4813,20547l4725,20304m4896,20880l4863,20919m4431,19639l4597,20088,4730,20403e" filled="false" stroked="true" strokeweight=".55387pt" strokecolor="#b2b2b2">
              <v:path arrowok="t"/>
              <v:stroke dashstyle="solid"/>
            </v:shape>
            <v:shape style="position:absolute;left:4724;top:20397;width:144;height:527" type="#_x0000_t75" stroked="false">
              <v:imagedata r:id="rId66" o:title=""/>
            </v:shape>
            <v:shape style="position:absolute;left:4702;top:7404;width:527;height:13935" coordorigin="4702,7405" coordsize="527,13935" path="m5229,21339l5157,21223,5051,21018,4957,20813m4957,20813l4785,20431,4725,20304m4907,7427l4725,7421m4725,7421l4719,7421,4713,7421,4708,7416,4702,7410,4702,7405e" filled="false" stroked="true" strokeweight=".55387pt" strokecolor="#b2b2b2">
              <v:path arrowok="t"/>
              <v:stroke dashstyle="solid"/>
            </v:shape>
            <v:shape style="position:absolute;left:8452;top:19107;width:205;height:493" type="#_x0000_t75" stroked="false">
              <v:imagedata r:id="rId67" o:title=""/>
            </v:shape>
            <v:shape style="position:absolute;left:9565;top:18492;width:637;height:178" type="#_x0000_t75" stroked="false">
              <v:imagedata r:id="rId68" o:title=""/>
            </v:shape>
            <v:shape style="position:absolute;left:8795;top:19107;width:183;height:311" type="#_x0000_t75" stroked="false">
              <v:imagedata r:id="rId69" o:title=""/>
            </v:shape>
            <v:shape style="position:absolute;left:9150;top:19528;width:111;height:78" coordorigin="9150,19528" coordsize="111,78" path="m9150,19595l9167,19595m9167,19595l9183,19589m9183,19589l9205,19573m9205,19573l9211,19573m9211,19573l9228,19545m9228,19545l9233,19540,9239,19534,9244,19534,9250,19528,9255,19528,9261,19528m9211,19573l9216,19584m9216,19584l9222,19589,9228,19595,9233,19595,9239,19600,9244,19600,9250,19606,9255,19606,9261,19606e" filled="false" stroked="true" strokeweight=".55387pt" strokecolor="#b2b2b2">
              <v:path arrowok="t"/>
              <v:stroke dashstyle="solid"/>
            </v:shape>
            <v:line style="position:absolute" from="9255,19609" to="9399,19609" stroked="true" strokeweight=".83079pt" strokecolor="#b2b2b2">
              <v:stroke dashstyle="solid"/>
            </v:line>
            <v:line style="position:absolute" from="9394,19611" to="9399,19611" stroked="true" strokeweight=".55387pt" strokecolor="#b2b2b2">
              <v:stroke dashstyle="solid"/>
            </v:line>
            <v:line style="position:absolute" from="9402,19606" to="9402,19617" stroked="true" strokeweight=".27693pt" strokecolor="#b2b2b2">
              <v:stroke dashstyle="solid"/>
            </v:line>
            <v:shape style="position:absolute;left:8884;top:8556;width:1225;height:10385" coordorigin="8884,8557" coordsize="1225,10385" path="m9970,8557l9837,8557m9970,8557l10108,8557m8945,18941l8912,18936m8912,18936l8895,18936m8895,18936l8890,18936,8884,18930,8884,18925e" filled="false" stroked="true" strokeweight=".55387pt" strokecolor="#b2b2b2">
              <v:path arrowok="t"/>
              <v:stroke dashstyle="solid"/>
            </v:shape>
            <v:line style="position:absolute" from="8881,18869" to="8881,18930" stroked="true" strokeweight=".83081pt" strokecolor="#b2b2b2">
              <v:stroke dashstyle="solid"/>
            </v:line>
            <v:shape style="position:absolute;left:8812;top:18858;width:106;height:17" coordorigin="8812,18858" coordsize="106,17" path="m8917,18869l8912,18869,8906,18869,8901,18869,8895,18869,8895,18875,8890,18875,8884,18875,8879,18875m8812,18858l8818,18858,8823,18864,8829,18864,8834,18869,8840,18869,8845,18869,8851,18869,8856,18875,8862,18875,8868,18875,8873,18875,8879,18875,8879,18875e" filled="false" stroked="true" strokeweight=".55387pt" strokecolor="#b2b2b2">
              <v:path arrowok="t"/>
              <v:stroke dashstyle="solid"/>
            </v:shape>
            <v:shape style="position:absolute;left:8717;top:17052;width:455;height:493" type="#_x0000_t75" stroked="false">
              <v:imagedata r:id="rId70" o:title=""/>
            </v:shape>
            <v:shape style="position:absolute;left:9809;top:13635;width:3700;height:6636" coordorigin="9809,13636" coordsize="3700,6636" path="m9942,13807l9997,13929,10003,13940,10009,13951,10014,13962,10014,13973,10020,13984,10020,13996,10025,14007,10025,14018,10031,14029,10031,14040,10031,14051,10031,14062,10031,14073,10031,14079m10031,13768l9942,13807m9809,13652l9864,13636,9942,13807m10003,20271l10020,20254,10025,20248,10031,20243,10036,20243,10042,20237,10047,20237,10053,20232,10119,20199m13503,17202l13509,17202m13509,17202l13509,17202m9809,13708l9809,13785m9809,13918l9815,14084e" filled="false" stroked="true" strokeweight=".55387pt" strokecolor="#b2b2b2">
              <v:path arrowok="t"/>
              <v:stroke dashstyle="solid"/>
            </v:shape>
            <v:shape style="position:absolute;left:12218;top:20730;width:167;height:394" type="#_x0000_t75" stroked="false">
              <v:imagedata r:id="rId71" o:title=""/>
            </v:shape>
            <v:line style="position:absolute" from="13498,17202" to="13503,17202" stroked="true" strokeweight=".55387pt" strokecolor="#b2b2b2">
              <v:stroke dashstyle="solid"/>
            </v:line>
            <v:shape style="position:absolute;left:12716;top:21494;width:427;height:211" type="#_x0000_t75" stroked="false">
              <v:imagedata r:id="rId72" o:title=""/>
            </v:shape>
            <v:shape style="position:absolute;left:7959;top:9426;width:1479;height:8707" coordorigin="7959,9426" coordsize="1479,8707" path="m8087,18133l8075,18127,7998,18127,7976,18133,7959,18133m8219,9991l8286,9903m8685,10185l8624,10268,8624,10274,8618,10274,8219,9991m8219,9991l8131,10124m8286,9903l8685,10185m8685,10185l8701,10196m9438,10102l9383,10102m9360,9426l9349,9437m9349,9437l9355,9476e" filled="false" stroked="true" strokeweight=".55387pt" strokecolor="#b2b2b2">
              <v:path arrowok="t"/>
              <v:stroke dashstyle="solid"/>
            </v:shape>
            <v:line style="position:absolute" from="9349,9485" to="9360,9485" stroked="true" strokeweight=".83076pt" strokecolor="#b2b2b2">
              <v:stroke dashstyle="solid"/>
            </v:line>
            <v:line style="position:absolute" from="9355,9493" to="9360,9521" stroked="true" strokeweight=".55387pt" strokecolor="#b2b2b2">
              <v:stroke dashstyle="solid"/>
            </v:line>
            <v:line style="position:absolute" from="9360,9521" to="9360,9836" stroked="true" strokeweight=".55387pt" strokecolor="#b2b2b2">
              <v:stroke dashstyle="solid"/>
            </v:line>
            <v:shape style="position:absolute;left:9360;top:9836;width:23;height:266" coordorigin="9360,9836" coordsize="23,266" path="m9360,9836l9366,9869m9366,9869l9372,9897m9372,9897l9377,9930m9377,9930l9383,10102e" filled="false" stroked="true" strokeweight=".55387pt" strokecolor="#b2b2b2">
              <v:path arrowok="t"/>
              <v:stroke dashstyle="solid"/>
            </v:shape>
            <v:line style="position:absolute" from="9374,10407" to="9374,10490" stroked="true" strokeweight=".83081pt" strokecolor="#b2b2b2">
              <v:stroke dashstyle="solid"/>
            </v:line>
            <v:shape style="position:absolute;left:9377;top:10356;width:23;height:56" coordorigin="9377,10357" coordsize="23,56" path="m9377,10412l9383,10385m9383,10385l9399,10357e" filled="false" stroked="true" strokeweight=".55387pt" strokecolor="#b2b2b2">
              <v:path arrowok="t"/>
              <v:stroke dashstyle="solid"/>
            </v:shape>
            <v:line style="position:absolute" from="9394,10349" to="9405,10349" stroked="true" strokeweight=".83076pt" strokecolor="#b2b2b2">
              <v:stroke dashstyle="solid"/>
            </v:line>
            <v:shape style="position:absolute;left:9382;top:10118;width:23;height:222" coordorigin="9383,10119" coordsize="23,222" path="m9399,10340l9405,10263,9405,10180m9405,10180l9399,10157m9399,10157l9388,10135m9388,10135l9383,10119e" filled="false" stroked="true" strokeweight=".55387pt" strokecolor="#b2b2b2">
              <v:path arrowok="t"/>
              <v:stroke dashstyle="solid"/>
            </v:shape>
            <v:line style="position:absolute" from="9377,10110" to="9388,10110" stroked="true" strokeweight=".83076pt" strokecolor="#b2b2b2">
              <v:stroke dashstyle="solid"/>
            </v:line>
            <v:line style="position:absolute" from="9449,9426" to="9360,9426" stroked="true" strokeweight=".55387pt" strokecolor="#b2b2b2">
              <v:stroke dashstyle="solid"/>
            </v:line>
            <v:line style="position:absolute" from="9352,9288" to="9352,9421" stroked="true" strokeweight=".83081pt" strokecolor="#b2b2b2">
              <v:stroke dashstyle="solid"/>
            </v:line>
            <v:line style="position:absolute" from="9349,9418" to="9360,9418" stroked="true" strokeweight=".27692pt" strokecolor="#b2b2b2">
              <v:stroke dashstyle="solid"/>
            </v:line>
            <v:shape style="position:absolute;left:9216;top:9420;width:144;height:1579" coordorigin="9216,9421" coordsize="144,1579" path="m9355,9421l9360,9426m9316,10484l9322,10617,9311,10689m9311,10689l9311,10728m9311,10728l9316,10756,9316,10866m9316,10866l9316,10999m9316,10866l9216,10866e" filled="false" stroked="true" strokeweight=".55387pt" strokecolor="#b2b2b2">
              <v:path arrowok="t"/>
              <v:stroke dashstyle="solid"/>
            </v:shape>
            <v:line style="position:absolute" from="9311,10864" to="9427,10864" stroked="true" strokeweight=".83079pt" strokecolor="#b2b2b2">
              <v:stroke dashstyle="solid"/>
            </v:line>
            <v:shape style="position:absolute;left:9316;top:10484;width:3230;height:10701" coordorigin="9316,10484" coordsize="3230,10701" path="m9372,10484l9316,10484m9427,10484l9372,10484m12545,21184l12534,21162e" filled="false" stroked="true" strokeweight=".55387pt" strokecolor="#b2b2b2">
              <v:path arrowok="t"/>
              <v:stroke dashstyle="solid"/>
            </v:shape>
            <v:line style="position:absolute" from="13163,20991" to="13163,21051" stroked="true" strokeweight=".83081pt" strokecolor="#b2b2b2">
              <v:stroke dashstyle="solid"/>
            </v:line>
            <v:shape style="position:absolute;left:12611;top:21045;width:554;height:117" coordorigin="12612,21046" coordsize="554,117" path="m13166,21046l13166,21051,13166,21057,13166,21063,13166,21068,13160,21074,13160,21079,13160,21085,13155,21090,13155,21096,13149,21101,13149,21107,13143,21112,13138,21118,13132,21123,13127,21129,13121,21135,13116,21140,13110,21140,13105,21146,13099,21146,13094,21151,13088,21151,13083,21151,13077,21157,13071,21157,13066,21157,13060,21157,13055,21157,13049,21157m13049,21157l12656,21162,12628,21162,12617,21162,12612,21162e" filled="false" stroked="true" strokeweight=".55387pt" strokecolor="#b2b2b2">
              <v:path arrowok="t"/>
              <v:stroke dashstyle="solid"/>
            </v:shape>
            <v:shape style="position:absolute;left:12506;top:21079;width:222;height:626" type="#_x0000_t75" stroked="false">
              <v:imagedata r:id="rId73" o:title=""/>
            </v:shape>
            <v:shape style="position:absolute;left:9005;top:17135;width:1197;height:3141" coordorigin="9006,17136" coordsize="1197,3141" path="m9892,17501l9765,17435,9715,17407,9665,17380,9610,17357,9554,17341,9482,17313m9482,17313l9006,17136m10119,20199l10130,20215m10130,20215l10158,20248m10158,20248l10164,20254,10169,20259,10175,20265,10180,20271,10186,20271,10191,20271,10197,20276,10202,20276m10114,20088l10114,20165,10114,20171,10114,20176,10114,20182,10114,20187,10119,20193,10119,20199,10119,20199e" filled="false" stroked="true" strokeweight=".55387pt" strokecolor="#b2b2b2">
              <v:path arrowok="t"/>
              <v:stroke dashstyle="solid"/>
            </v:shape>
            <v:shape style="position:absolute;left:9964;top:20292;width:133;height:128" type="#_x0000_t75" stroked="false">
              <v:imagedata r:id="rId74" o:title=""/>
            </v:shape>
            <v:shape style="position:absolute;left:8501;top:20802;width:261;height:261" type="#_x0000_t75" stroked="false">
              <v:imagedata r:id="rId75" o:title=""/>
            </v:shape>
            <v:shape style="position:absolute;left:8839;top:19207;width:577;height:372" type="#_x0000_t75" stroked="false">
              <v:imagedata r:id="rId76" o:title=""/>
            </v:shape>
            <v:shape style="position:absolute;left:10257;top:8257;width:200;height:294" coordorigin="10258,8258" coordsize="200,294" path="m10269,8551l10302,8551,10308,8551,10313,8551,10319,8546,10324,8546,10324,8540,10457,8407m10269,8551l10258,8258e" filled="false" stroked="true" strokeweight=".55387pt" strokecolor="#b2b2b2">
              <v:path arrowok="t"/>
              <v:stroke dashstyle="solid"/>
            </v:shape>
            <v:shape style="position:absolute;left:13495;top:17191;width:2;height:12" coordorigin="13495,17191" coordsize="0,12" path="m13495,17191l13495,17202m13495,17191l13495,17202m13495,17191l13495,17202e" filled="false" stroked="true" strokeweight=".27693pt" strokecolor="#b2b2b2">
              <v:path arrowok="t"/>
              <v:stroke dashstyle="solid"/>
            </v:shape>
            <v:line style="position:absolute" from="9538,4204" to="9615,4204" stroked="true" strokeweight=".55387pt" strokecolor="#b2b2b2">
              <v:stroke dashstyle="solid"/>
            </v:line>
            <v:line style="position:absolute" from="9657,4636" to="9657,4791" stroked="true" strokeweight=".8308pt" strokecolor="#b2b2b2">
              <v:stroke dashstyle="solid"/>
            </v:line>
            <v:shape style="position:absolute;left:9493;top:4441;width:4016;height:12755" coordorigin="9493,4442" coordsize="4016,12755" path="m13492,17197l13509,17197m13498,17197l13509,17197m13509,17197l13492,17197m13492,17197l13509,17197m13509,17197l13492,17197m13509,17197l13492,17197m13492,17197l13509,17197m9504,4591l9499,4547m9499,4547l9493,4519m9493,4519l9493,4464m9493,4464l9499,4442e" filled="false" stroked="true" strokeweight=".55387pt" strokecolor="#b2b2b2">
              <v:path arrowok="t"/>
              <v:stroke dashstyle="solid"/>
            </v:shape>
            <v:line style="position:absolute" from="9504,4591" to="9504,4829" stroked="true" strokeweight=".55387pt" strokecolor="#b2b2b2">
              <v:stroke dashstyle="solid"/>
            </v:line>
            <v:shape style="position:absolute;left:9659;top:5051;width:433;height:355" type="#_x0000_t75" stroked="false">
              <v:imagedata r:id="rId77" o:title=""/>
            </v:shape>
            <v:shape style="position:absolute;left:9421;top:6679;width:1441;height:13642" coordorigin="9421,6679" coordsize="1441,13642" path="m10834,20320l10861,20320m9576,7438l9471,7438m9471,7438l9466,7383,9432,7056,9427,7006,9421,6951,9421,6895,9421,6679m9471,7438l9449,7438m9477,7970l9477,7543,9471,7493,9471,7438e" filled="false" stroked="true" strokeweight=".55387pt" strokecolor="#b2b2b2">
              <v:path arrowok="t"/>
              <v:stroke dashstyle="solid"/>
            </v:shape>
            <v:shape style="position:absolute;left:9366;top:21444;width:194;height:394" type="#_x0000_t75" stroked="false">
              <v:imagedata r:id="rId78" o:title=""/>
            </v:shape>
            <v:shape style="position:absolute;left:8064;top:11575;width:244;height:211" type="#_x0000_t75" stroked="false">
              <v:imagedata r:id="rId79" o:title=""/>
            </v:shape>
            <v:shape style="position:absolute;left:9493;top:19439;width:167;height:6" coordorigin="9493,19440" coordsize="167,6" path="m9560,19445l9615,19445,9621,19445,9626,19445,9632,19445,9637,19445,9660,19440m9560,19445l9493,19445e" filled="false" stroked="true" strokeweight=".55387pt" strokecolor="#b2b2b2">
              <v:path arrowok="t"/>
              <v:stroke dashstyle="solid"/>
            </v:shape>
            <v:shape style="position:absolute;left:8330;top:19683;width:139;height:294" type="#_x0000_t75" stroked="false">
              <v:imagedata r:id="rId80" o:title=""/>
            </v:shape>
            <v:shape style="position:absolute;left:9449;top:8811;width:4060;height:8397" coordorigin="9449,8812" coordsize="4060,8397" path="m9720,9676l9715,9432m9759,9432l9726,9432,9715,9432m9643,8812l9654,9371m9693,9432l9654,9432m9654,9432l9471,9426m9471,9426l9449,9426m9466,9847l9471,9426m9471,9426l9482,8961,9482,8812m13509,17202l13498,17202m13503,17202l13492,17208e" filled="false" stroked="true" strokeweight=".55387pt" strokecolor="#b2b2b2">
              <v:path arrowok="t"/>
              <v:stroke dashstyle="solid"/>
            </v:shape>
            <v:shape style="position:absolute;left:12406;top:21178;width:144;height:122" type="#_x0000_t75" stroked="false">
              <v:imagedata r:id="rId81" o:title=""/>
            </v:shape>
            <v:shape style="position:absolute;left:8308;top:19107;width:255;height:477" type="#_x0000_t75" stroked="false">
              <v:imagedata r:id="rId82" o:title=""/>
            </v:shape>
            <v:shape style="position:absolute;left:10074;top:5183;width:3446;height:12024" coordorigin="10075,5184" coordsize="3446,12024" path="m10086,5306l10092,5621,10092,5693,10092,5743,10092,5793,10075,5948m13509,17208l13520,17208m10075,5948l10141,6004,10197,6070,10241,6137,10258,6164,10297,6225,10407,6391,10418,6408,10429,6425,10441,6441,10446,6452,10446,6458,10452,6463,10452,6469,10457,6474,10457,6480,10463,6508,10468,6530,10479,6580,10485,6607,10490,6624m13509,17208l13492,17208m13492,17208l13509,17208m13492,17208l13509,17208m13492,17208l13509,17208m13492,17208l13509,17208m13492,17208l13509,17208m13509,17208l13492,17208m13492,17208l13509,17208m13509,17208l13492,17208m13492,17208l13509,17208m10236,5300l10230,5289m10230,5289l10225,5267m10225,5267l10219,5239m10219,5239l10213,5212m10213,5212l10219,5184e" filled="false" stroked="true" strokeweight=".55387pt" strokecolor="#b2b2b2">
              <v:path arrowok="t"/>
              <v:stroke dashstyle="solid"/>
            </v:shape>
            <v:line style="position:absolute" from="10213,5159" to="10225,5159" stroked="true" strokeweight="2.49228pt" strokecolor="#b2b2b2">
              <v:stroke dashstyle="solid"/>
            </v:line>
            <v:shape style="position:absolute;left:8031;top:4945;width:5478;height:17834" coordorigin="8031,4946" coordsize="5478,17834" path="m10219,5134l10230,5112m10230,5112l10247,5106,10263,5095m10263,5095l10269,5090,10274,5084,10274,5079m10274,5079l10263,5051m13492,17208l13509,17208m13492,17208l13509,17208m13509,17208l13492,17208m13509,17208l13492,17208m13509,17208l13492,17208m13492,17208l13509,17208m13509,17208l13492,17208m10335,4946l10341,4957,10341,4968,10346,4979,10346,4985,10346,5023,10346,5029,10346,5034,10346,5040,10341,5040,10335,5045,10324,5051,10302,5051,10269,5051,10263,5051m13509,17202l13498,17197m13509,17197l13498,17197m13492,17191l13503,17197m13503,17197l13498,17197m13503,17202l13498,17197m13509,17202l13492,17202m13509,17197l13487,17197m13487,17197l13503,17197m13498,17202l13503,17197m10236,5300l10297,5300m10297,5300l10313,5295m10313,5295l10324,5295m10324,5295l10330,5300m10330,5300l10330,5356,10330,5394,10335,5494,10335,5677m13498,17197l13498,17197m13498,17202l13492,17197m13503,17197l13492,17197m13509,17197l13492,17197m13509,17197l13492,17197m13492,17197l13509,17197m13492,17197l13509,17197m8303,22392l8303,22497,8303,22591m8303,22591l8308,22779m8303,22591l8208,22591,8070,22591,8031,22602m9228,22619l9222,22619,9216,22624,9211,22624,9205,22630,9200,22630,9194,22635,9189,22635,9183,22635,9178,22641,9172,22641,9167,22641,9161,22641,9156,22641,8784,22641e" filled="false" stroked="true" strokeweight=".55387pt" strokecolor="#b2b2b2">
              <v:path arrowok="t"/>
              <v:stroke dashstyle="solid"/>
            </v:shape>
            <v:line style="position:absolute" from="8784,22569" to="8784,22663" stroked="true" strokeweight=".55387pt" strokecolor="#b2b2b2">
              <v:stroke dashstyle="solid"/>
            </v:line>
            <v:shape style="position:absolute;left:4347;top:20918;width:5024;height:1762" coordorigin="4348,20919" coordsize="5024,1762" path="m9228,22619l9211,22597,9205,22591,9200,22591,9200,22586,9194,22586,9194,22580,9189,22580,9183,22575,9178,22575,9172,22575,9167,22569,9161,22569,9156,22569,9150,22569,9144,22569,9045,22569,8784,22569m9372,22386l8779,22386m8779,22386l8690,22386m8784,22569l8779,22491,8779,22386m8784,22663l8779,22669m8779,22669l8613,22674m8303,22680l8363,22674,8375,22680,8408,22674m4813,20968l4774,21013m4774,21013l4769,21018,4769,21024,4763,21029,4758,21035,4752,21035,4747,21040,4741,21046,4736,21051,4730,21057,4725,21057,4719,21063,4713,21068,4708,21068,4702,21074,4697,21079,4691,21079,4686,21085,4680,21085,4675,21090,4669,21090,4664,21090,4658,21096,4653,21096,4647,21096,4641,21101,4636,21101,4630,21101,4625,21107,4619,21107,4614,21107,4608,21107,4603,21107,4597,21112,4592,21112,4586,21112,4581,21112,4575,21112,4569,21112,4564,21112,4558,21112,4553,21112,4547,21112,4542,21112,4536,21112,4531,21112,4525,21112,4520,21112,4514,21107,4509,21107,4503,21107,4497,21107,4492,21107,4486,21101,4481,21101,4475,21101,4470,21096,4464,21096,4459,21096,4453,21090,4448,21090,4442,21090,4437,21085,4431,21085,4425,21079,4420,21079,4414,21074,4409,21068,4403,21074m4403,21074l4348,21040m4813,20968l4863,20919m5096,21389l5096,21384,5096,21378,5096,21373,5096,21367,5096,21362,5096,21356,5090,21351,5090,21345,5090,21339,5085,21334,5085,21328,5079,21323,5079,21317,5073,21312,5073,21306,5068,21301,5068,21295,5062,21290,5057,21284,5057,21279,5051,21273m5051,21273l4996,21212,4968,21168,4929,21123,4913,21079,4896,21051,4857,21007,4813,20968m5289,21777l5262,21744m5262,21744l5251,21727m5251,21727l5234,21699m5234,21699l5217,21683m5217,21683l5162,21616m5289,21777l5506,22021m5506,22021l5528,22054m5572,22148l5572,22143,5566,22137,5566,22131,5566,22126,5561,22120,5561,22115,5561,22109,5555,22104,5555,22098,5555,22093,5550,22087,5550,22082,5544,22076,5544,22071,5539,22065,5533,22059,5533,22054,5528,22054m5162,21616l5140,21594m5140,21594l5134,21589,5134,21583,5129,21578,5123,21572,5123,21567,5118,21561,5112,21555,5112,21550,5107,21544,5107,21539,5107,21533,5101,21528,5101,21522,5101,21517m5101,21517l5101,21511,5101,21506,5101,21500,5096,21495,5096,21489,5096,21483,5096,21478,5096,21472,5096,21467,5096,21461,5096,21456,5096,21450,5096,21445,5096,21439m5096,21439l5096,21389e" filled="false" stroked="true" strokeweight=".55387pt" strokecolor="#b2b2b2">
              <v:path arrowok="t"/>
              <v:stroke dashstyle="solid"/>
            </v:shape>
            <v:shape style="position:absolute;left:12268;top:20674;width:194;height:449" type="#_x0000_t75" stroked="false">
              <v:imagedata r:id="rId83" o:title=""/>
            </v:shape>
            <v:line style="position:absolute" from="13498,17191" to="13498,17191" stroked="true" strokeweight=".55387pt" strokecolor="#b2b2b2">
              <v:stroke dashstyle="solid"/>
            </v:line>
            <v:shape style="position:absolute;left:9836;top:20292;width:222;height:211" type="#_x0000_t75" stroked="false">
              <v:imagedata r:id="rId84" o:title=""/>
            </v:shape>
            <v:shape style="position:absolute;left:13481;top:17196;width:1645;height:1619" coordorigin="13481,17197" coordsize="1645,1619" path="m14855,18664l14833,18653,14805,18637,14783,18626,14755,18615,14728,18604,14700,18592,14678,18587,14595,18559,14539,18543,14484,18532,14428,18520,14373,18509,14312,18504,14257,18498,14201,18493,14146,18493,14007,18487m15126,18815l14855,18664m13515,17197l13481,17197m13481,17197l13515,17197m13481,17197l13515,17197m13515,17197l13481,17197m13481,17197l13515,17197m13481,17197l13515,17197e" filled="false" stroked="true" strokeweight=".55387pt" strokecolor="#b2b2b2">
              <v:path arrowok="t"/>
              <v:stroke dashstyle="solid"/>
            </v:shape>
            <v:shape style="position:absolute;left:9083;top:14865;width:4282;height:3080" type="#_x0000_t75" stroked="false">
              <v:imagedata r:id="rId85" o:title=""/>
            </v:shape>
            <v:shape style="position:absolute;left:7948;top:18514;width:338;height:405" type="#_x0000_t75" stroked="false">
              <v:imagedata r:id="rId86" o:title=""/>
            </v:shape>
            <v:shape style="position:absolute;left:9449;top:9365;width:244;height:10280" coordorigin="9449,9365" coordsize="244,10280" path="m9693,9365l9693,9432m9449,19307l9449,19407,9455,19423,9455,19440m9493,19445l9455,19440m9455,19440l9449,19645e" filled="false" stroked="true" strokeweight=".55387pt" strokecolor="#b2b2b2">
              <v:path arrowok="t"/>
              <v:stroke dashstyle="solid"/>
            </v:shape>
            <v:line style="position:absolute" from="8084,18166" to="8084,18293" stroked="true" strokeweight=".83081pt" strokecolor="#b2b2b2">
              <v:stroke dashstyle="solid"/>
            </v:line>
            <v:shape style="position:absolute;left:9493;top:10162;width:1429;height:9322" coordorigin="9493,10163" coordsize="1429,9322" path="m10828,10169l10906,10163,10911,10163,10911,10169,10917,10169,10922,10169,10922,10169m9560,19484l9560,19445m9493,19445l9493,19484e" filled="false" stroked="true" strokeweight=".55387pt" strokecolor="#b2b2b2">
              <v:path arrowok="t"/>
              <v:stroke dashstyle="solid"/>
            </v:shape>
            <v:shape style="position:absolute;left:10241;top:7266;width:449;height:322" type="#_x0000_t75" stroked="false">
              <v:imagedata r:id="rId131" o:title=""/>
            </v:shape>
            <v:shape style="position:absolute;left:4951;top:21383;width:781;height:770" type="#_x0000_t75" stroked="false">
              <v:imagedata r:id="rId88" o:title=""/>
            </v:shape>
            <v:shape style="position:absolute;left:7311;top:9154;width:449;height:383" type="#_x0000_t75" stroked="false">
              <v:imagedata r:id="rId89" o:title=""/>
            </v:shape>
            <v:shape style="position:absolute;left:7084;top:7565;width:543;height:1684" coordorigin="7084,7565" coordsize="543,1684" path="m7627,9249l7621,8590m7128,9005l7095,8845,7090,8828,7090,8817,7084,8801,7084,8784,7084,8773,7084,8756,7084,8745,7084,8729,7084,8717,7084,8701,7090,8684,7090,8673,7095,8657,7095,8645,7101,8629,7106,8618,7134,8524m7134,8524l7156,8463,7162,8452,7162,8435,7167,8424,7167,8407,7173,8396,7173,8385,7173,8369,7178,8357,7178,8346,7178,8335,7178,8319,7178,8308,7173,8297,7173,8280,7173,8269,7173,8252,7167,8241,7162,8230,7162,8213,7156,8202,7156,8186,7151,8175,7145,8158,7145,8147,7145,8130,7145,8119,7139,8097,7139,8081,7145,8058,7145,8042,7145,8020,7151,8003,7162,7942,7167,7925,7167,7914,7167,7898,7173,7887,7173,7870,7173,7859,7173,7842,7173,7831,7167,7815,7167,7804,7167,7793,7167,7776,7128,7565e" filled="false" stroked="true" strokeweight=".55387pt" strokecolor="#b2b2b2">
              <v:path arrowok="t"/>
              <v:stroke dashstyle="solid"/>
            </v:shape>
            <v:shape style="position:absolute;left:7128;top:8219;width:499;height:377" type="#_x0000_t75" stroked="false">
              <v:imagedata r:id="rId90" o:title=""/>
            </v:shape>
            <v:line style="position:absolute" from="8286,9903" to="8430,9703" stroked="true" strokeweight=".55387pt" strokecolor="#b2b2b2">
              <v:stroke dashstyle="solid"/>
            </v:line>
            <v:shape style="position:absolute;left:11775;top:20735;width:277;height:576" type="#_x0000_t75" stroked="false">
              <v:imagedata r:id="rId91" o:title=""/>
            </v:shape>
            <v:shape style="position:absolute;left:6962;top:5820;width:3545;height:17552" coordorigin="6962,5821" coordsize="3545,17552" path="m8951,19634l8967,19628m8967,19628l9039,19567m8807,19589l8812,19606,8812,19611,8818,19611,8818,19617,8818,19623,8818,19634m9720,9365l9693,9365m9693,9365l9654,9371m9654,9371l9654,9432m9693,9432l9715,9432m9516,10290l9510,10301,9504,10479m9543,10479l9504,10479m10341,23328l10407,23367m10407,23367l10413,23372,10418,23372,10424,23372,10429,23372,10435,23367m10435,23367l10507,23317m10252,20276l10252,20232,10291,20232m10252,20276l10374,20276m9510,5926l9615,5954,9626,5959,9632,5959,9643,5965,9648,5970,9654,5970,9665,5976,9671,5981,9676,5987,9687,5993,9693,5998,9698,6004,9704,6009,9715,6015,9720,6020,9726,6026,9781,6092,9787,6109,9804,6125,9815,6142,9826,6159,9848,6186,9925,6297,10009,6402m9510,5926l9416,5904m9416,5904l9416,5821m7067,10080l7023,10080m6962,10119l6962,10080m7023,10080l6962,10080m8314,19174l8341,19285m8341,19285l8352,19324e" filled="false" stroked="true" strokeweight=".55387pt" strokecolor="#b2b2b2">
              <v:path arrowok="t"/>
              <v:stroke dashstyle="solid"/>
            </v:shape>
            <v:line style="position:absolute" from="8358,19318" to="8358,19434" stroked="true" strokeweight="1.10775pt" strokecolor="#b2b2b2">
              <v:stroke dashstyle="solid"/>
            </v:line>
            <v:line style="position:absolute" from="8358,19434" to="8369,19434" stroked="true" strokeweight=".55384pt" strokecolor="#b2b2b2">
              <v:stroke dashstyle="solid"/>
            </v:line>
            <v:line style="position:absolute" from="8358,19445" to="8369,19445" stroked="true" strokeweight=".55384pt" strokecolor="#b2b2b2">
              <v:stroke dashstyle="solid"/>
            </v:line>
            <v:shape style="position:absolute;left:8130;top:19173;width:233;height:288" coordorigin="8131,19174" coordsize="233,288" path="m8363,19451l8336,19456m8336,19456l8319,19462m8314,19174l8258,19191m8258,19191l8208,19207m8258,19191l8291,19296m8291,19296l8297,19335m8297,19335l8303,19357m8303,19357l8303,19362,8303,19368,8303,19373,8297,19379,8291,19384,8286,19384m8286,19384l8286,19384m8208,19207l8164,19218m8164,19218l8147,19229m8147,19229l8131,19235m8208,19207l8236,19301m8236,19301l8236,19307,8236,19312,8236,19318,8236,19324,8231,19329e" filled="false" stroked="true" strokeweight=".55387pt" strokecolor="#b2b2b2">
              <v:path arrowok="t"/>
              <v:stroke dashstyle="solid"/>
            </v:shape>
            <v:line style="position:absolute" from="8225,19332" to="8236,19332" stroked="true" strokeweight=".27692pt" strokecolor="#b2b2b2">
              <v:stroke dashstyle="solid"/>
            </v:line>
            <v:shape style="position:absolute;left:8130;top:19234;width:217;height:277" coordorigin="8131,19235" coordsize="217,277" path="m8231,19335l8153,19263m8153,19263l8131,19235m8231,19335l8264,19362m8264,19362l8286,19384m8286,19384l8308,19429m8308,19429l8308,19429m8308,19429l8319,19462m8286,19384l8269,19396m8319,19462l8347,19512e" filled="false" stroked="true" strokeweight=".55387pt" strokecolor="#b2b2b2">
              <v:path arrowok="t"/>
              <v:stroke dashstyle="solid"/>
            </v:shape>
            <v:shape style="position:absolute;left:13514;top:19500;width:421;height:139" type="#_x0000_t75" stroked="false">
              <v:imagedata r:id="rId92" o:title=""/>
            </v:shape>
            <v:shape style="position:absolute;left:5727;top:9066;width:6054;height:12340" coordorigin="5727,9066" coordsize="6054,12340" path="m11781,21279l11781,21400m11781,21279l11781,21245m11781,21245l11748,21245m11748,21245l11742,21245,11737,21251,11737,21256m11737,21256l11737,21406m8679,10866l8674,11249m5794,9161l5766,9149m5766,9149l5727,9144m5849,9210l5849,9210m5849,9210l5854,9199m5854,9199l5871,9172m5871,9172l5877,9161m5877,9161l5882,9127m5882,9127l5893,9111m5893,9111l5910,9094m5910,9094l5910,9089,5915,9083,5915,9077,5915,9072,5915,9066m5849,9210l5838,9199m5838,9199l5821,9183m5821,9183l5816,9188m5816,9188l5794,9199e" filled="false" stroked="true" strokeweight=".55387pt" strokecolor="#b2b2b2">
              <v:path arrowok="t"/>
              <v:stroke dashstyle="solid"/>
            </v:shape>
            <v:line style="position:absolute" from="5677,9194" to="5799,9194" stroked="true" strokeweight="1.10771pt" strokecolor="#b2b2b2">
              <v:stroke dashstyle="solid"/>
            </v:line>
            <v:shape style="position:absolute;left:5560;top:9188;width:156;height:10961" coordorigin="5561,9188" coordsize="156,10961" path="m5683,9188l5661,9188m5661,9188l5627,9194m5583,20027l5561,20071,5699,20132m5699,20132l5716,20149e" filled="false" stroked="true" strokeweight=".55387pt" strokecolor="#b2b2b2">
              <v:path arrowok="t"/>
              <v:stroke dashstyle="solid"/>
            </v:shape>
            <v:line style="position:absolute" from="5710,20151" to="5722,20151" stroked="true" strokeweight=".27692pt" strokecolor="#b2b2b2">
              <v:stroke dashstyle="solid"/>
            </v:line>
            <v:shape style="position:absolute;left:5793;top:9160;width:28;height:23" coordorigin="5794,9161" coordsize="28,23" path="m5821,9183l5810,9172m5810,9172l5794,9161e" filled="false" stroked="true" strokeweight=".55387pt" strokecolor="#b2b2b2">
              <v:path arrowok="t"/>
              <v:stroke dashstyle="solid"/>
            </v:shape>
            <v:line style="position:absolute" from="5816,9053" to="5827,9053" stroked="true" strokeweight=".83076pt" strokecolor="#b2b2b2">
              <v:stroke dashstyle="solid"/>
            </v:line>
            <v:line style="position:absolute" from="5816,9069" to="5827,9069" stroked="true" strokeweight=".83076pt" strokecolor="#b2b2b2">
              <v:stroke dashstyle="solid"/>
            </v:line>
            <v:line style="position:absolute" from="5821,9077" to="5799,9138" stroked="true" strokeweight=".55387pt" strokecolor="#b2b2b2">
              <v:stroke dashstyle="solid"/>
            </v:line>
            <v:line style="position:absolute" from="5794,9144" to="5805,9144" stroked="true" strokeweight=".55384pt" strokecolor="#b2b2b2">
              <v:stroke dashstyle="solid"/>
            </v:line>
            <v:line style="position:absolute" from="5799,9149" to="5794,9161" stroked="true" strokeweight=".55387pt" strokecolor="#b2b2b2">
              <v:stroke dashstyle="solid"/>
            </v:line>
            <v:line style="position:absolute" from="5677,9141" to="5733,9141" stroked="true" strokeweight=".83079pt" strokecolor="#b2b2b2">
              <v:stroke dashstyle="solid"/>
            </v:line>
            <v:shape style="position:absolute;left:5632;top:9138;width:50;height:6" coordorigin="5633,9138" coordsize="50,6" path="m5683,9138l5650,9144m5650,9144l5633,9144e" filled="false" stroked="true" strokeweight=".55387pt" strokecolor="#b2b2b2">
              <v:path arrowok="t"/>
              <v:stroke dashstyle="solid"/>
            </v:shape>
            <v:line style="position:absolute" from="5722,9136" to="5733,9136" stroked="true" strokeweight=".83076pt" strokecolor="#b2b2b2">
              <v:stroke dashstyle="solid"/>
            </v:line>
            <v:line style="position:absolute" from="5722,9125" to="5733,9125" stroked="true" strokeweight=".27692pt" strokecolor="#b2b2b2">
              <v:stroke dashstyle="solid"/>
            </v:line>
            <v:shape style="position:absolute;left:5727;top:9044;width:211;height:78" coordorigin="5727,9044" coordsize="211,78" path="m5727,9122l5733,9094m5733,9094l5738,9083m5738,9083l5738,9083m5738,9083l5738,9077,5738,9072,5744,9066,5749,9061,5755,9061m5755,9061l5805,9050m5805,9050l5821,9044m5915,9066l5938,9055m5915,9066l5910,9061,5910,9055,5904,9050,5899,9044,5893,9044,5888,9044m5888,9044l5821,9044e" filled="false" stroked="true" strokeweight=".55387pt" strokecolor="#b2b2b2">
              <v:path arrowok="t"/>
              <v:stroke dashstyle="solid"/>
            </v:shape>
            <v:shape style="position:absolute;left:916;top:4732;width:7553;height:13578" type="#_x0000_t75" stroked="false">
              <v:imagedata r:id="rId93" o:title=""/>
            </v:shape>
            <v:shape style="position:absolute;left:5422;top:20037;width:294;height:150" coordorigin="5422,20038" coordsize="294,150" path="m5561,20071l5506,20049m5506,20049l5472,20038m5472,20038l5445,20038m5422,20176l5461,20182,5506,20182,5528,20187,5555,20187m5555,20187l5572,20187m5572,20187l5589,20187,5600,20187m5600,20187l5633,20182m5633,20182l5683,20165m5683,20165l5710,20160m5710,20160l5716,20154e" filled="false" stroked="true" strokeweight=".55387pt" strokecolor="#b2b2b2">
              <v:path arrowok="t"/>
              <v:stroke dashstyle="solid"/>
            </v:shape>
            <v:line style="position:absolute" from="5417,20171" to="5428,20171" stroked="true" strokeweight=".55384pt" strokecolor="#b2b2b2">
              <v:stroke dashstyle="solid"/>
            </v:line>
            <v:line style="position:absolute" from="5422,20165" to="5428,20143" stroked="true" strokeweight=".55387pt" strokecolor="#b2b2b2">
              <v:stroke dashstyle="solid"/>
            </v:line>
            <v:line style="position:absolute" from="5422,20135" to="5434,20135" stroked="true" strokeweight=".83076pt" strokecolor="#b2b2b2">
              <v:stroke dashstyle="solid"/>
            </v:line>
            <v:shape style="position:absolute;left:5427;top:20049;width:17;height:78" coordorigin="5428,20049" coordsize="17,78" path="m5428,20127l5439,20104m5439,20104l5439,20077m5439,20077l5445,20049e" filled="false" stroked="true" strokeweight=".55387pt" strokecolor="#b2b2b2">
              <v:path arrowok="t"/>
              <v:stroke dashstyle="solid"/>
            </v:shape>
            <v:line style="position:absolute" from="5445,19983" to="5445,20049" stroked="true" strokeweight=".55387pt" strokecolor="#b2b2b2">
              <v:stroke dashstyle="solid"/>
            </v:line>
            <v:shape style="position:absolute;left:5444;top:19511;width:7145;height:2975" coordorigin="5445,19512" coordsize="7145,2975" path="m5445,19983l5450,19966m5716,20154l5727,20149m5727,20149l5738,20138m5738,20138l5749,20115m5749,20115l5755,20104m12462,22486l12506,22458m12506,22458l12529,22442m12529,22442l12540,22425m12540,22425l12556,22403m12556,22403l12562,22408,12567,22408,12573,22408,12578,22403,12584,22403,12584,22397,12590,22397m8347,19512l8369,19540m8369,19540l8397,19567m8397,19567l8413,19584m8413,19584l8463,19623m8463,19623l8469,19623,8474,19628,8480,19634,8485,19639,8485,19645,8491,19650,8496,19656,8502,19661,8502,19667,8508,19672,8508,19678,8508,19683,8513,19689,8513,19695,8513,19700,8519,19706,8519,19711,8519,19717,8519,19722,8519,19728,8519,19733,8519,19739,8519,19744e" filled="false" stroked="true" strokeweight=".55387pt" strokecolor="#b2b2b2">
              <v:path arrowok="t"/>
              <v:stroke dashstyle="solid"/>
            </v:shape>
            <v:shape style="position:absolute;left:1545;top:5089;width:8054;height:1590" coordorigin="1545,5090" coordsize="8054,1590" path="m1545,5090l6646,6668m6646,6668l6652,6668,6658,6668,6663,6668,6669,6674,6674,6674,6680,6674,6685,6674,6691,6674,6696,6679,6702,6679,6707,6679,6713,6679,6718,6679,6724,6679,6730,6679,6735,6679,6741,6679m6741,6679l9305,6668,9377,6663,9388,6657,9388,6652,9432,6652,9427,5954,9438,5915,9599,5959e" filled="false" stroked="true" strokeweight="1.93856pt" strokecolor="#000000">
              <v:path arrowok="t"/>
              <v:stroke dashstyle="solid"/>
            </v:shape>
            <v:shape style="position:absolute;left:9579;top:5939;width:172;height:128" type="#_x0000_t75" stroked="false">
              <v:imagedata r:id="rId94" o:title=""/>
            </v:shape>
            <v:shape style="position:absolute;left:9731;top:6047;width:5140;height:13337" coordorigin="9732,6048" coordsize="5140,13337" path="m9732,6048l10136,6591m10136,6591l10153,6613m10153,6613l10213,6613,10535,6607,10651,6607,10657,6607,11061,6602,11083,6635,11133,6729,11221,6851,11332,7028,11371,7133,11432,7322,11460,7421,11476,7482,11504,7582,11515,7632,11537,7737,11559,7831,11593,7931,11620,8014,11642,8114,11670,8213,11703,8369,11720,8446,11775,8945,11925,10130,11947,10307,11953,10396,11947,10639,11919,10883,11858,11088,11764,11315,11665,11498,11609,11597,11559,11714,11482,11885,11410,12068,11338,12234,11260,12434,11161,12611,11077,12738,11011,12871,10922,13060,10873,13198,10795,13403,10751,13597,10740,13879,10723,14134,10756,14333,10795,14538,10856,14710,10950,14887m10950,14887l10950,14893,10956,14898,10956,14904,10961,14909,10967,14915,10967,14920,10972,14926,10978,14932,10978,14937,10983,14943,10989,14948,10989,14954,10994,14959,11000,14965,11005,14970,11005,14976,11011,14981,11017,14987,11022,14992,11028,14998,11028,15004,11033,15009,11039,15015,11044,15020,11050,15026,11055,15031,11061,15037,11066,15042,11072,15048,11077,15053,11083,15059,11089,15064,11094,15064,11100,15070,11105,15076,11111,15081,11116,15087,11122,15087,11127,15092,11133,15098,11138,15103,11144,15103,11149,15109,11155,15114,11161,15114,11166,15120,11172,15125,11177,15125,11183,15131,11188,15136,11194,15136,11199,15142,11205,15142,11210,15148,11216,15148,11221,15153,11227,15153,11233,15159,11238,15159,11244,15164,11249,15164,11255,15170,11260,15170,11266,15175,11271,15175,11277,15175,11282,15181,11288,15181,11293,15186,11299,15186,11305,15186,11310,15192,11316,15192,11321,15192,11327,15197,11332,15197,11338,15197,11343,15203,11349,15203,11354,15203,11360,15203,11365,15208,11371,15208,11377,15208m11377,15208l11382,15208,11388,15214,11393,15214,11399,15214,11404,15214,11410,15220,11415,15220,11421,15220,11426,15220,11432,15225,11437,15225,11443,15225,11449,15225,11454,15231,11460,15231,11465,15231,11471,15236,11476,15236,11482,15236,11487,15236,11493,15242,11498,15242,11504,15242,11509,15242,11515,15247,11521,15247,11526,15247,11532,15253,11537,15253,11543,15253,11548,15258,11554,15258,11559,15258,11565,15258,11570,15264,11576,15264,11582,15264,11587,15269,11593,15269,11598,15269,11604,15275,11609,15275,11615,15275,11620,15275,11626,15280,11631,15280,11637,15280,11642,15286,11648,15286,11654,15286,11659,15292,11665,15292,11670,15292,11676,15297,11681,15297,11687,15297,11692,15303,11698,15303,11703,15303,11709,15308,11714,15308,11720,15308,11726,15314,11731,15314,11737,15314,11742,15319,11748,15319,11753,15319,11759,15325,11764,15325,11770,15330,11775,15330,11781,15330,11786,15336,11792,15336,11798,15336,11803,15341,11809,15341,11814,15341,11820,15347,11825,15347,11831,15352,11836,15352,11842,15352,11847,15358,11853,15358,11858,15358,11864,15364,11870,15364,11875,15369,11881,15369,11886,15369,11892,15375,11897,15375,11903,15380,11908,15380,11914,15380,11919,15386,11925,15386,11930,15391,11936,15391,11942,15391,11947,15397,11953,15397,11958,15402,11964,15402,11969,15408,11975,15408,11980,15408,11986,15413,11991,15413,11997,15419,12002,15419,12008,15419,12014,15424,12019,15424,12025,15430,12030,15430,12036,15436,12041,15436,12047,15441,12052,15441,12058,15441,12063,15447,12069,15447,12074,15452,12080,15452,12086,15458,12091,15458,12097,15463,12102,15463,12108,15463,12113,15469,12119,15469,12124,15474,12130,15474,12135,15480,12141,15480,12146,15485,12152,15485,12158,15491,12163,15491,12169,15496,12174,15496,12180,15502,12185,15502,12191,15508,12196,15508,12202,15513,12207,15513,12213,15519,12218,15519,12224,15524,12230,15524,12235,15530,12241,15530,12246,15535,12252,15535,12257,15541,12263,15541,12268,15546,12274,15546,12279,15552,12285,15552,12290,15557,12296,15557,12302,15563,12307,15563,12313,15568,12318,15568,12324,15574,12329,15574,12335,15580,12340,15580,12346,15585,12351,15591,12357,15591,12362,15596,12368,15596,12374,15602,12379,15602,12385,15607,12390,15607,12396,15613,12401,15618,12407,15618,12412,15624,12418,15624,12423,15629,12429,15629,12434,15635,12440,15640,12446,15640,12451,15646,12457,15646,12462,15652,12468,15652,12473,15657,12479,15663,12484,15663,12490,15668,12495,15668,12501,15674,12506,15679,12512,15679,12518,15685,12523,15685,12529,15690,12534,15696,12540,15696,12545,15701m12545,15701l12601,15740m12601,15740l12817,15901,12977,16050,13116,16200,13199,16305,13359,16482,13531,16715,13681,16953,13847,17103,13996,17247,14113,17396,14273,17590,14451,17756,14617,17967,14728,18088,14816,18172,14872,18820,14866,18825,14872,19041,14860,19113,14844,19108,14777,19102,14395,19091,14395,19096,14251,19091,14168,19091,14041,19218,14002,19218,14002,19279,13996,19368,13642,19379,13642,19384e" filled="false" stroked="true" strokeweight="1.93856pt" strokecolor="#000000">
              <v:path arrowok="t"/>
              <v:stroke dashstyle="solid"/>
            </v:shape>
            <v:shape style="position:absolute;left:13345;top:19265;width:316;height:139" type="#_x0000_t75" stroked="false">
              <v:imagedata r:id="rId95" o:title=""/>
            </v:shape>
            <v:shape style="position:absolute;left:11803;top:18741;width:1562;height:3157" coordorigin="11803,18742" coordsize="1562,3157" path="m13365,19285l13359,19290,12756,18897m12756,18897l12650,18831m12650,18831l12567,18775m12567,18775l12518,18742m12518,18742l12523,18858,12518,18952,12501,18952,12141,18958,12135,19639,12518,19628,12512,21162,12628,21162,12634,21600,12246,21738,11864,21877,11803,21899e" filled="false" stroked="true" strokeweight="1.93856pt" strokecolor="#000000">
              <v:path arrowok="t"/>
              <v:stroke dashstyle="solid"/>
            </v:shape>
            <v:shape style="position:absolute;left:9778;top:9977;width:122;height:128" type="#_x0000_t75" stroked="false">
              <v:imagedata r:id="rId96" o:title=""/>
            </v:shape>
            <v:shape style="position:absolute;left:9282;top:14067;width:183;height:12" coordorigin="9283,14068" coordsize="183,12" path="m9283,14068l9283,14068,9444,14068,9449,14073,9455,14073,9460,14073,9466,14079e" filled="false" stroked="true" strokeweight="1.10775pt" strokecolor="#005be5">
              <v:path arrowok="t"/>
              <v:stroke dashstyle="solid"/>
            </v:shape>
            <v:shape style="position:absolute;left:700;top:2868;width:14437;height:20767" type="#_x0000_t75" stroked="false">
              <v:imagedata r:id="rId260" o:title=""/>
            </v:shape>
            <v:line style="position:absolute" from="9981,8424" to="9981,8258" stroked="true" strokeweight="1.10775pt" strokecolor="#005be5">
              <v:stroke dashstyle="solid"/>
            </v:line>
            <v:line style="position:absolute" from="9978,8042" to="9978,8269" stroked="true" strokeweight="1.38468pt" strokecolor="#005be5">
              <v:stroke dashstyle="solid"/>
            </v:line>
            <v:line style="position:absolute" from="9964,8045" to="9986,8045" stroked="true" strokeweight=".83076pt" strokecolor="#005be5">
              <v:stroke dashstyle="solid"/>
            </v:line>
            <v:line style="position:absolute" from="9964,8031" to="9986,8031" stroked="true" strokeweight=".55384pt" strokecolor="#005be5">
              <v:stroke dashstyle="solid"/>
            </v:line>
            <v:shape style="position:absolute;left:9969;top:7958;width:6;height:67" coordorigin="9970,7959" coordsize="6,67" path="m9975,8025l9970,8009m9970,8009l9970,7959e" filled="false" stroked="true" strokeweight="1.10775pt" strokecolor="#005be5">
              <v:path arrowok="t"/>
              <v:stroke dashstyle="solid"/>
            </v:shape>
            <v:shape style="position:absolute;left:720;top:16127;width:4509;height:5212" coordorigin="720,16128" coordsize="4509,5212" path="m4708,20187l4658,20071,4553,19789,4492,19623,3966,18155,3827,17861,3700,17673,3512,17479,2243,16571m2243,16571l2238,16565,2232,16565,2227,16560,2221,16554,2215,16554,2210,16549,2204,16543,2199,16543,2193,16538,2188,16532,2182,16532,2177,16527,2171,16521,2166,16521,2160,16516,2155,16510,2149,16510,2143,16504,2138,16499,2132,16499,2127,16493,2121,16488,2116,16488,2110,16482,2105,16482,2099,16477,2094,16471,2088,16471,2083,16466,2077,16466,2071,16460,2066,16455,2060,16455,2055,16449,2049,16449,2044,16444,2038,16438,2033,16438,2027,16432,2022,16432,2016,16427,2011,16427,2005,16421,1999,16421,1994,16416,1988,16410,1983,16410,1977,16405,1972,16405,1966,16399,1961,16399,1955,16394,1950,16394,1944,16388,1939,16388,1933,16383,1927,16383,1922,16377,1916,16377,1911,16372,1905,16372,1900,16366,1894,16366,1889,16360,1883,16360,1878,16355,1872,16355,1867,16349,1861,16349,1855,16344,1850,16344,1844,16344,1839,16338,1833,16338,1828,16333,1822,16333,1817,16327,1811,16327,1806,16322,1800,16322,1795,16322,1789,16316,1783,16316,1778,16311,1772,16311,1767,16311,1761,16305,1756,16305,1750,16300,1745,16300,1739,16294,1734,16294,1728,16294,1723,16288,1717,16288,1711,16288,1706,16283,1700,16283,1695,16277,1689,16277,1684,16277,1678,16272,1673,16272,1667,16272,1662,16266,1656,16266,1651,16261,1645,16261,1639,16261,1634,16255,1628,16255,1623,16255,1617,16250,1612,16250,1606,16250,1601,16244,1595,16244,1590,16244,1584,16239,1579,16239,1573,16239,1567,16233,1562,16233,1556,16233,1551,16233,1545,16228,1540,16228,1534,16228,1529,16222,1523,16222,1518,16222,1512,16222,1507,16216,1501,16216,1495,16216,1490,16211,1484,16211,1479,16211,1473,16211,1468,16205,1462,16205,1457,16205,1451,16205,1446,16200,1440,16200,1435,16200,1429,16200,1423,16194,1418,16194,1412,16194,1407,16194,1401,16189,1396,16189,1390,16189,1385,16189,1379,16183,1374,16183,1368,16183,1363,16183,1357,16183,1351,16178,1346,16178,1340,16178,1335,16178,1329,16172,1324,16172,1318,16172,1313,16172,1307,16172,1302,16172,1296,16167,1291,16167,1285,16167,1279,16167,1274,16167,1268,16161,1263,16161,1257,16161,1252,16161,1246,16161,1241,16161,1235,16156,1230,16156,1224,16156,1219,16156,1213,16156,1207,16156,1202,16150,1196,16150,1191,16150,1185,16150,1180,16150,1174,16150,1169,16150,1163,16150,1158,16144,1152,16144,1147,16144,1141,16144,1135,16144,1130,16144,1124,16144,1119,16144,1113,16139,1108,16139,1102,16139,1097,16139,1091,16139,1086,16139,1080,16139,1075,16139,1069,16139,1063,16139,1058,16139,1052,16133,1047,16133,1041,16133,1036,16133,1030,16133,1025,16133,1019,16133,1014,16133,1008,16133,1003,16133,997,16133,991,16133,986,16133,980,16133,975,16133,969,16128,964,16128,958,16128,953,16128,947,16128,942,16128,936,16128,931,16128,925,16128,919,16128,914,16128,908,16128,903,16128,897,16128,892,16128,886,16128,881,16128,875,16128,870,16128,864,16128,859,16128,853,16128,847,16128,842,16128,836,16128,831,16128,825,16128,820,16128,814,16128,809,16128,803,16128,798,16128,792,16128,787,16128,781,16128,775,16128,770,16128,764,16128,759,16128,753,16128,748,16128,742,16133,737,16133,731,16133,726,16133,720,16133m5229,21339l5157,21223,5051,21018,4957,20813m4957,20813l4785,20431,4725,20304e" filled="false" stroked="true" strokeweight="1.93856pt" strokecolor="#005be5">
              <v:path arrowok="t"/>
              <v:stroke dashstyle="solid"/>
            </v:shape>
            <v:line style="position:absolute" from="13991,19384" to="13991,19279" stroked="true" strokeweight="1.93856pt" strokecolor="#ff0000">
              <v:stroke dashstyle="solid"/>
            </v:line>
            <v:shape style="position:absolute;left:3021;top:6637;width:11914;height:16294" type="#_x0000_t75" stroked="false">
              <v:imagedata r:id="rId136" o:title=""/>
            </v:shape>
            <v:shape style="position:absolute;left:720;top:4554;width:4171;height:3188" coordorigin="720,4555" coordsize="4171,3188" path="m4891,7743l3528,6701,1473,5129,1014,4774,720,4555e" filled="false" stroked="true" strokeweight="1.93856pt" strokecolor="#897044">
              <v:path arrowok="t"/>
              <v:stroke dashstyle="solid"/>
            </v:shape>
            <v:shape style="position:absolute;left:5998;top:6479;width:1119;height:216" coordorigin="5998,6480" coordsize="1119,216" path="m7117,6690l6741,6696,6730,6690,6718,6690,6707,6690,6696,6690,6685,6690,6674,6685,6663,6685,6658,6679,6646,6679,6275,6563,5998,6480e" filled="false" stroked="true" strokeweight="1.93856pt" strokecolor="#38a700">
              <v:path arrowok="t"/>
              <v:stroke dashstyle="solid"/>
            </v:shape>
            <v:shape style="position:absolute;left:4885;top:6862;width:28;height:881" coordorigin="4885,6862" coordsize="28,881" path="m4885,7743l4902,7721,4907,7721,4907,7715,4907,7709,4913,7709,4913,7704,4913,7671,4902,7654,4891,7615,4885,7615,4885,7610,4885,7577,4891,7577,4891,7571,4891,7565,4896,7565,4896,7560,4907,7549,4907,7455,4913,7100,4913,7089,4913,6862e" filled="false" stroked="true" strokeweight="1.93856pt" strokecolor="#c500ff">
              <v:path arrowok="t"/>
              <v:stroke dashstyle="solid"/>
            </v:shape>
            <v:shape style="position:absolute;left:4705;top:8321;width:217;height:300" type="#_x0000_t75" stroked="false">
              <v:imagedata r:id="rId137" o:title=""/>
            </v:shape>
            <v:line style="position:absolute" from="4905,7956" to="4905,8360" stroked="true" strokeweight="2.21549pt" strokecolor="#38a700">
              <v:stroke dashstyle="solid"/>
            </v:line>
            <v:shape style="position:absolute;left:4863;top:7742;width:45;height:233" coordorigin="4863,7743" coordsize="45,233" path="m4907,7975l4907,7970,4907,7964,4907,7959,4907,7953,4907,7948,4907,7942,4907,7937,4907,7931,4902,7925,4902,7920,4902,7914,4902,7909,4902,7903,4896,7898,4896,7892,4896,7887,4891,7881,4891,7876,4891,7870,4885,7865,4885,7859m4885,7859l4863,7809m4863,7809l4863,7804,4863,7798,4863,7793,4863,7787,4863,7781,4863,7776,4869,7770,4869,7765m4869,7765l4885,7743e" filled="false" stroked="true" strokeweight="1.93856pt" strokecolor="#38a700">
              <v:path arrowok="t"/>
              <v:stroke dashstyle="solid"/>
            </v:shape>
            <v:shape style="position:absolute;left:6214;top:16532;width:211;height:133" coordorigin="6214,16532" coordsize="211,133" path="m6425,16665l6309,16593,6242,16554,6231,16543,6214,16532e" filled="false" stroked="true" strokeweight="1.93856pt" strokecolor="#ff0000">
              <v:path arrowok="t"/>
              <v:stroke dashstyle="solid"/>
            </v:shape>
            <v:shape style="position:absolute;left:11094;top:16354;width:327;height:399" coordorigin="11094,16355" coordsize="327,399" path="m11421,16754l11404,16726,11388,16704,11277,16576,11221,16510,11155,16427,11094,16355e" filled="false" stroked="true" strokeweight="1.93856pt" strokecolor="#897044">
              <v:path arrowok="t"/>
              <v:stroke dashstyle="solid"/>
            </v:shape>
            <v:shape style="position:absolute;left:10174;top:14837;width:128;height:23" coordorigin="10175,14837" coordsize="128,23" path="m10175,14837l10180,14837,10180,14843,10186,14843,10191,14848,10197,14848,10202,14848,10258,14860,10263,14860,10269,14860,10274,14860,10280,14860,10285,14854,10291,14854,10297,14854,10302,14854,10302,14848e" filled="false" stroked="true" strokeweight="1.93856pt" strokecolor="#38a700">
              <v:path arrowok="t"/>
              <v:stroke dashstyle="solid"/>
            </v:shape>
            <v:shape style="position:absolute;left:4962;top:19633;width:139;height:654" coordorigin="4963,19634" coordsize="139,654" path="m4963,19634l4963,19916,4963,19927,4963,19933,4968,19944,4968,19955m4968,19955l4968,19960,4968,19966,4968,19971,4968,19977,4968,19983,4974,19988,4974,19994,4974,19999,4979,20005,4979,20010,4979,20016,4985,20021,4985,20027,4985,20032,4990,20038,4990,20043,4996,20049,4996,20055,5001,20060,5001,20066,5007,20066m5007,20066l5062,20165m5062,20165l5062,20171,5068,20176,5073,20182,5073,20187,5079,20193,5079,20199,5079,20204,5085,20210,5085,20215,5090,20221,5090,20226,5090,20232,5090,20237,5096,20243,5096,20248,5096,20254,5096,20259,5096,20265,5101,20271,5101,20276,5101,20282,5101,20287e" filled="false" stroked="true" strokeweight="1.93856pt" strokecolor="#c500ff">
              <v:path arrowok="t"/>
              <v:stroke dashstyle="solid"/>
            </v:shape>
            <v:line style="position:absolute" from="5107,20268" to="5107,20412" stroked="true" strokeweight="2.49243pt" strokecolor="#c500ff">
              <v:stroke dashstyle="solid"/>
            </v:line>
            <v:shape style="position:absolute;left:5112;top:20392;width:2;height:78" coordorigin="5112,20392" coordsize="0,78" path="m5112,20392l5112,20392,5112,20464,5112,20470e" filled="false" stroked="true" strokeweight="1.93856pt" strokecolor="#c500ff">
              <v:path arrowok="t"/>
              <v:stroke dashstyle="solid"/>
            </v:shape>
            <v:line style="position:absolute" from="5107,20451" to="5107,20589" stroked="true" strokeweight="2.49243pt" strokecolor="#c500ff">
              <v:stroke dashstyle="solid"/>
            </v:line>
            <v:shape style="position:absolute;left:5062;top:20569;width:39;height:117" coordorigin="5062,20570" coordsize="39,117" path="m5101,20570l5101,20575,5101,20581,5096,20586,5096,20592,5096,20597,5096,20603,5096,20608,5090,20614,5090,20619,5090,20625,5085,20631,5085,20636,5085,20642,5079,20647,5079,20653,5073,20658,5073,20664,5068,20669,5068,20675,5062,20680,5062,20686e" filled="false" stroked="true" strokeweight="1.93856pt" strokecolor="#c500ff">
              <v:path arrowok="t"/>
              <v:stroke dashstyle="solid"/>
            </v:shape>
            <v:shape style="position:absolute;left:11888;top:20716;width:161;height:610" type="#_x0000_t75" stroked="false">
              <v:imagedata r:id="rId138" o:title=""/>
            </v:shape>
            <v:shape style="position:absolute;left:12356;top:18423;width:1665;height:972" type="#_x0000_t75" stroked="false">
              <v:imagedata r:id="rId139" o:title=""/>
            </v:shape>
            <v:shape style="position:absolute;left:8565;top:14327;width:2227;height:1942" type="#_x0000_t75" stroked="false">
              <v:imagedata r:id="rId140" o:title=""/>
            </v:shape>
            <v:shape style="position:absolute;left:10778;top:19893;width:139;height:565" type="#_x0000_t75" stroked="false">
              <v:imagedata r:id="rId102" o:title=""/>
            </v:shape>
            <v:shape style="position:absolute;left:6951;top:7028;width:3338;height:4836" type="#_x0000_t75" stroked="false">
              <v:imagedata r:id="rId141" o:title=""/>
            </v:shape>
            <v:shape style="position:absolute;left:7721;top:13713;width:4587;height:4608" coordorigin="7721,13713" coordsize="4587,4608" path="m11332,17950l11316,17928,11293,17917,11282,17917,11271,17917,11255,17922,11244,17928,11238,17939,11233,17950,11233,17972,11238,17989,11249,18005,11266,18011,11277,18016,11288,18016,11299,18011,11310,18005,11305,17989,11288,18000,11271,17994,11255,17989,11249,17972,11249,17967,11249,17956,11255,17944,11266,17933,11277,17933,11288,17933,11305,17939,11316,17956,11332,17950m11365,17967l11354,17967,11343,17967,11327,17978,11321,17989,11321,18005,11327,18016,11332,18028,11343,18039,11354,18039,11365,18039,11382,18028,11388,18022,11393,18011,11393,18000,11393,17994,11388,17983,11382,17978,11365,17967m11365,17983l11377,17989,11377,18000,11377,18005,11371,18016,11365,18022,11360,18022,11349,18022,11343,18016,11338,18011,11338,18005,11338,17994,11349,17983,11354,17983,11365,17983m11426,17956l11399,18050,11415,18055,11443,17961,11426,17956m11454,17994l11443,18022,11443,18033,11437,18044,11443,18055,11443,18061,11454,18066,11460,18072,11471,18072,11482,18072,11487,18072,11493,18066,11498,18055,11504,18039,11515,18011,11493,18005,11487,18039,11482,18050,11476,18055,11465,18055,11460,18050,11460,18044,11460,18039,11460,18033,11471,18000,11454,17994m11526,18016l11509,18083,11526,18088,11532,18061,11537,18050,11537,18044,11548,18039,11554,18039,11559,18044,11565,18050,11559,18066,11548,18100,11565,18105,11576,18072,11582,18066,11582,18061,11593,18055,11598,18055,11604,18061,11604,18066,11604,18077,11593,18111,11609,18116,11620,18077,11626,18066,11626,18061,11620,18050,11609,18039,11593,18039,11582,18044,11576,18033,11565,18028,11554,18028,11543,18033,11543,18022,11526,18016m11670,18033l11654,18028,11626,18122,11642,18127,11648,18122,11654,18127,11665,18133,11676,18133,11692,18133,11703,18122,11709,18111,11709,18094,11709,18083,11698,18072,11687,18061,11676,18061,11665,18066,11670,18033m11676,18077l11687,18083,11692,18088,11692,18094,11692,18105,11687,18111,11681,18116,11676,18116,11665,18116,11659,18116,11654,18111,11654,18100,11654,18094,11665,18077,11670,18077,11676,18077m11748,18055l11742,18055,11737,18061,11737,18072,11742,18077,11753,18077,11759,18066,11759,18061,11748,18055m11731,18077l11714,18149,11731,18149,11748,18083,11731,18077m11809,18100l11809,18111,11803,18100,11792,18094,11775,18094,11764,18100,11753,18105,11748,18122,11748,18133,11748,18149,11759,18160,11770,18166,11781,18166,11792,18160,11792,18172,11809,18177,11825,18105,11809,18100m11786,18111l11803,18122,11803,18127,11803,18138,11798,18144,11792,18149,11786,18149,11775,18149,11770,18149,11764,18138,11764,18133,11764,18127,11770,18116,11775,18111,11781,18111,11786,18111m11892,18100l11864,18194,11881,18199,11892,18160,11903,18160,11908,18166,11919,18166,11925,18160,11930,18155,11936,18144,11936,18138,11936,18127,11930,18116,11919,18111,11908,18105,11892,18100m11897,18144l11903,18122,11908,18127,11914,18127,11919,18133,11919,18138,11914,18144,11914,18149,11903,18144,11897,18144m12008,18160l12002,18172,11997,18160,11986,18155,11969,18155,11958,18155,11947,18166,11942,18183,11942,18194,11942,18210,11953,18221,11964,18227,11975,18227,11986,18221,11986,18232,12002,18232,12025,18166,12008,18160m11986,18172l11997,18183,11997,18188,11997,18194,11991,18205,11986,18210,11980,18210,11969,18210,11964,18205,11958,18199,11958,18194,11958,18183,11964,18177,11969,18172,11975,18172,11986,18172m12036,18172l12019,18238,12036,18244,12041,18216,12047,18205,12052,18194,12058,18194,12063,18194,12074,18183,12069,18177,12058,18177,12052,18183,12052,18177,12036,18172m12086,18160l12058,18255,12074,18260,12086,18227,12102,18266,12124,18271,12102,18227,12141,18205,12119,18199,12086,18216,12102,18166,12086,18160m12191,18194l12185,18210,12202,18216,12180,18288,12196,18293,12218,18221,12235,18227,12241,18210,12191,18194m12235,18232l12218,18304,12235,18304,12241,18282,12241,18277,12246,18266,12252,18260,12257,18255,12263,18260,12274,18244,12268,18244,12257,18244,12252,18249,12252,18238,12235,18232m12290,18221l12263,18316,12279,18321,12307,18227,12290,18221m7821,14516l7821,14488,7821,14477,7821,14472,7810,14461,7793,14455,7776,14461,7771,14472,7760,14466,7749,14466,7743,14466,7738,14472,7727,14483,7727,14488,7727,14500,7727,14516,7821,14516m7743,14500l7743,14494,7749,14483,7754,14483,7760,14483,7765,14494,7765,14500,7743,14500m7782,14500l7782,14494,7782,14483,7782,14477,7793,14472,7799,14477,7804,14483,7804,14494,7804,14500,7782,14500m7749,14450l7815,14422,7843,14433,7843,14416,7749,14372,7749,14389,7793,14411,7749,14428,7749,14450m7776,14361l7793,14361,7793,14328,7776,14328,7776,14361m7749,14289l7749,14306,7843,14306,7843,14289,7810,14289,7821,14278,7821,14267,7821,14256,7810,14245,7799,14239,7782,14234,7771,14239,7754,14245,7749,14256,7749,14267,7749,14278,7754,14289,7749,14289m7765,14272l7765,14261,7771,14256,7776,14256,7782,14250,7793,14256,7799,14256,7804,14261,7804,14272,7804,14278,7799,14284,7793,14289,7782,14289,7776,14289,7771,14284,7765,14278,7765,14272m7749,14167l7754,14167,7749,14178,7743,14189,7749,14200,7754,14212,7765,14217,7782,14223,7799,14217,7810,14212,7815,14200,7821,14189,7815,14178,7810,14167,7815,14167,7815,14151,7743,14151,7749,14167m7760,14184l7760,14178,7765,14173,7771,14167,7782,14167,7787,14167,7799,14173,7799,14178,7804,14184,7799,14189,7799,14200,7787,14200,7782,14206,7771,14200,7765,14200,7760,14195,7760,14184m7754,14090l7749,14101,7743,14117,7749,14123,7749,14128,7760,14134,7765,14140,7776,14134,7787,14117,7787,14112,7793,14106,7799,14106,7804,14112,7799,14123,7793,14128,7804,14140,7815,14128,7821,14117,7815,14106,7810,14095,7804,14090,7799,14090,7782,14095,7776,14101,7776,14106,7771,14112,7765,14117,7765,14123,7760,14117,7760,14112,7760,14106,7765,14101,7754,14090m7754,14034l7743,14040,7743,14056,7743,14062,7749,14073,7754,14079,7765,14079,7776,14073,7782,14062,7787,14056,7793,14051,7793,14045,7799,14051,7799,14056,7799,14062,7793,14068,7804,14079,7815,14068,7815,14056,7815,14045,7810,14034,7804,14029,7793,14029,7782,14034,7776,14040,7771,14045,7771,14056,7765,14062,7760,14062,7760,14056,7760,14051,7765,14040,7754,14034m7721,13979l7815,13973,7815,13957,7771,13957,7771,13929,7815,13924,7815,13907,7721,13907,7721,13929,7754,13929,7754,13957,7721,13957,7721,13979m7743,13890l7815,13868,7815,13857,7776,13840,7815,13824,7815,13813,7743,13791,7743,13807,7782,13818,7743,13835,7743,13846,7782,13863,7743,13874,7743,13890m7743,13785l7804,13757,7837,13774,7837,13757,7743,13713,7743,13730,7787,13752,7743,13768,7743,13785e" filled="false" stroked="true" strokeweight="1.66162pt" strokecolor="#ffffff">
              <v:path arrowok="t"/>
              <v:stroke dashstyle="solid"/>
            </v:shape>
            <v:shape style="position:absolute;left:8014;top:17911;width:2543;height:1806" type="#_x0000_t75" stroked="false">
              <v:imagedata r:id="rId142" o:title=""/>
            </v:shape>
            <v:shape style="position:absolute;left:8889;top:13785;width:156;height:637" type="#_x0000_t75" stroked="false">
              <v:imagedata r:id="rId104" o:title=""/>
            </v:shape>
            <v:shape style="position:absolute;left:7759;top:12622;width:892;height:106" coordorigin="7760,12622" coordsize="892,106" path="m7760,12633l7793,12727,7810,12727,7843,12633,7826,12633,7799,12700,7776,12633,7760,12633m7904,12655l7904,12661,7893,12655,7882,12650,7871,12655,7859,12661,7854,12672,7848,12688,7854,12705,7859,12716,7871,12722,7882,12727,7893,12722,7904,12716,7904,12722,7920,12722,7920,12655,7904,12655m7887,12666l7893,12666,7898,12672,7904,12677,7904,12688,7904,12694,7898,12705,7893,12705,7887,12711,7876,12705,7871,12705,7871,12694,7865,12688,7871,12677,7871,12672,7876,12666,7887,12666m7943,12655l7943,12722,7959,12722,7959,12694,7959,12688,7959,12683,7965,12672,7976,12666,7981,12672,7987,12677,7987,12683,7987,12694,7987,12722,8003,12722,8003,12677,8003,12666,7998,12661,7987,12655,7981,12650,7970,12655,7959,12661,7959,12655,7943,12655m8153,12644l8142,12633,8131,12628,8109,12628,8087,12628,8070,12644,8064,12655,8059,12677,8059,12688,8064,12700,8075,12711,8087,12722,8098,12722,8109,12727,8125,12722,8136,12722,8142,12711,8153,12705,8159,12688,8159,12677,8109,12677,8109,12694,8136,12694,8131,12700,8125,12705,8109,12711,8098,12705,8087,12700,8081,12688,8075,12677,8081,12661,8087,12655,8098,12644,8109,12644,8125,12644,8136,12655,8153,12644m8181,12622l8170,12628,8170,12633,8170,12644,8181,12644,8186,12644,8192,12633,8186,12628,8181,12622m8170,12655l8170,12722,8186,12722,8186,12655,8170,12655m8275,12694l8275,12688,8275,12672,8264,12661,8253,12655,8236,12650,8225,12655,8214,12661,8203,12672,8203,12688,8203,12705,8214,12716,8225,12722,8242,12727,8258,12722,8264,12716,8269,12711,8258,12705,8247,12705,8242,12711,8231,12711,8225,12705,8219,12694,8275,12694m8258,12677l8219,12677,8225,12672,8242,12666,8253,12672,8258,12677m8330,12661l8325,12655,8308,12650,8303,12655,8291,12655,8286,12666,8286,12672,8291,12683,8303,12694,8308,12694,8314,12700,8319,12705,8314,12705,8308,12711,8303,12705,8297,12700,8286,12711,8297,12722,8308,12727,8319,12722,8325,12716,8330,12711,8336,12705,8330,12688,8325,12688,8314,12683,8308,12677,8303,12672,8303,12666,8308,12666,8314,12666,8319,12672,8330,12661m8419,12694l8419,12688,8419,12672,8408,12661,8397,12655,8380,12650,8369,12655,8358,12661,8347,12672,8347,12688,8347,12705,8358,12716,8369,12722,8386,12727,8402,12722,8408,12716,8413,12711,8402,12705,8391,12705,8386,12711,8375,12711,8369,12705,8363,12694,8419,12694m8402,12677l8363,12677,8369,12672,8386,12666,8397,12672,8402,12677m8435,12655l8435,12722,8452,12722,8452,12694,8452,12688,8452,12683,8458,12672,8469,12666,8474,12672,8480,12677,8480,12683,8480,12694,8480,12722,8496,12722,8496,12677,8496,12666,8491,12661,8480,12655,8474,12650,8463,12655,8452,12661,8452,12655,8435,12655m8602,12639l8596,12633,8585,12628,8574,12622,8563,12628,8557,12633,8552,12639,8546,12650,8546,12655,8552,12661,8557,12672,8574,12683,8580,12688,8585,12688,8585,12700,8580,12705,8574,12705,8563,12705,8557,12694,8541,12705,8546,12711,8557,12716,8563,12722,8574,12722,8585,12722,8596,12716,8602,12705,8602,12694,8602,12683,8591,12672,8580,12661,8568,12655,8568,12650,8563,12644,8568,12644,8574,12639,8580,12644,8585,12650,8602,12639m8624,12622l8624,12650,8613,12650,8613,12666,8624,12666,8624,12722,8640,12722,8640,12666,8652,12666,8652,12650,8640,12650,8640,12622,8624,12622e" filled="false" stroked="true" strokeweight="1.66162pt" strokecolor="#ffffff">
              <v:path arrowok="t"/>
              <v:stroke dashstyle="solid"/>
            </v:shape>
            <v:shape style="position:absolute;left:9759;top:12339;width:344;height:732" type="#_x0000_t75" stroked="false">
              <v:imagedata r:id="rId105" o:title=""/>
            </v:shape>
            <v:shape style="position:absolute;left:11105;top:19478;width:698;height:172" type="#_x0000_t75" stroked="false">
              <v:imagedata r:id="rId107" o:title=""/>
            </v:shape>
            <v:shape style="position:absolute;left:7942;top:6535;width:953;height:128" coordorigin="7943,6535" coordsize="953,128" path="m7943,6541l7948,6635,7965,6635,7965,6596,7998,6596,7998,6635,8015,6635,8015,6541,7998,6541,7998,6580,7965,6580,7965,6541,7943,6541m8064,6563l8053,6569,8042,6574,8031,6585,8031,6602,8031,6618,8042,6629,8053,6635,8064,6641,8075,6635,8087,6635,8098,6618,8103,6613,8103,6602,8103,6591,8098,6585,8087,6569,8075,6569,8064,6563m8064,6580l8075,6585,8081,6585,8081,6596,8087,6602,8081,6613,8081,6618,8075,6624,8064,6624,8059,6624,8053,6618,8048,6613,8048,6602,8048,6596,8053,6585,8059,6585,8064,6580m8109,6569l8109,6635,8125,6635,8125,6607,8131,6591,8131,6585,8131,6580,8136,6580,8142,6580,8147,6569,8142,6563,8131,6569,8125,6574,8125,6569,8109,6569m8159,6569l8159,6635,8175,6635,8175,6607,8175,6602,8181,6596,8186,6585,8192,6580,8197,6585,8203,6591,8203,6596,8203,6607,8203,6635,8225,6635,8219,6591,8219,6580,8214,6574,8208,6569,8197,6563,8186,6569,8175,6574,8175,6569,8159,6569m8280,6541l8280,6635,8297,6635,8297,6596,8319,6635,8341,6635,8319,6596,8330,6585,8336,6580,8336,6569,8330,6552,8319,6546,8308,6541,8297,6541,8280,6541m8297,6580l8297,6557,8303,6557,8314,6563,8319,6569,8314,6580,8308,6580,8303,6580,8297,6580m8402,6569l8402,6574,8391,6569,8380,6563,8369,6569,8358,6574,8352,6585,8347,6602,8352,6618,8358,6629,8369,6635,8380,6641,8391,6635,8402,6629,8402,6635,8419,6635,8419,6569,8402,6569m8386,6580l8391,6585,8397,6585,8402,6596,8402,6602,8402,6613,8397,6618,8391,6624,8386,6624,8380,6624,8375,6618,8369,6613,8369,6602,8369,6596,8369,6585,8380,6585,8386,6580m8458,6569l8441,6569,8441,6663,8458,6663,8458,6629,8469,6635,8480,6641,8491,6635,8502,6629,8513,6618,8513,6602,8513,6585,8502,6574,8491,6569,8480,6563,8469,6569,8458,6574,8458,6569m8474,6580l8485,6585,8491,6585,8496,6596,8496,6602,8496,6613,8491,6618,8485,6624,8474,6624,8469,6624,8463,6618,8458,6613,8458,6602,8458,6596,8463,6585,8469,6585,8474,6580m8535,6535l8530,6541,8524,6546,8530,6557,8535,6557,8546,6557,8546,6546,8546,6541,8535,6535m8530,6563l8530,6635,8546,6635,8546,6563,8530,6563m8613,6535l8613,6574,8607,6563,8591,6563,8580,6563,8568,6574,8563,6585,8563,6602,8563,6613,8568,6624,8580,6635,8596,6635,8607,6635,8613,6629,8613,6635,8635,6635,8635,6535,8613,6535m8596,6580l8607,6580,8613,6585,8613,6591,8618,6602,8613,6607,8613,6613,8607,6618,8596,6618,8591,6618,8585,6613,8580,6607,8580,6602,8580,6591,8585,6585,8591,6580,8596,6580m8696,6574l8685,6569,8674,6563,8663,6563,8657,6569,8652,6574,8652,6585,8652,6596,8668,6602,8674,6607,8679,6613,8679,6618,8674,6618,8663,6618,8657,6613,8646,6624,8657,6635,8674,6635,8685,6635,8690,6629,8696,6624,8696,6613,8690,6602,8690,6596,8679,6591,8674,6591,8668,6585,8668,6580,8674,6580,8679,6580,8685,6585,8696,6574m8751,6541l8751,6635,8768,6635,8768,6596,8790,6635,8812,6635,8790,6591,8801,6585,8807,6574,8807,6569,8801,6552,8790,6541,8784,6541,8768,6541,8751,6541m8768,6580l8768,6557,8773,6557,8784,6557,8784,6563,8790,6569,8784,6574,8779,6574,8773,6580,8768,6580m8873,6535l8873,6574,8862,6563,8851,6563,8840,6563,8829,6574,8823,6585,8818,6602,8823,6613,8829,6624,8840,6635,8851,6635,8868,6635,8873,6629,8873,6635,8895,6635,8890,6535,8873,6535m8856,6580l8862,6580,8873,6585,8873,6591,8873,6602,8873,6607,8873,6613,8862,6618,8856,6618,8851,6618,8845,6613,8840,6607,8840,6602,8840,6591,8845,6585,8851,6580,8856,6580e" filled="false" stroked="true" strokeweight="1.66162pt" strokecolor="#ffffff">
              <v:path arrowok="t"/>
              <v:stroke dashstyle="solid"/>
            </v:shape>
            <v:shape style="position:absolute;left:8330;top:13209;width:161;height:720" type="#_x0000_t75" stroked="false">
              <v:imagedata r:id="rId110" o:title=""/>
            </v:shape>
            <v:shape style="position:absolute;left:12118;top:19849;width:277;height:726" type="#_x0000_t75" stroked="false">
              <v:imagedata r:id="rId111" o:title=""/>
            </v:shape>
            <v:shape style="position:absolute;left:9759;top:16028;width:599;height:133" type="#_x0000_t75" stroked="false">
              <v:imagedata r:id="rId112" o:title=""/>
            </v:shape>
            <v:shape style="position:absolute;left:10191;top:22319;width:593;height:139" type="#_x0000_t75" stroked="false">
              <v:imagedata r:id="rId261" o:title=""/>
            </v:shape>
            <v:shape style="position:absolute;left:8850;top:13369;width:139;height:100" coordorigin="8851,13370" coordsize="139,100" path="m8851,13375l8873,13469,8895,13469,8906,13408,8928,13469,8945,13469,8967,13375,8945,13375,8934,13436,8917,13375,8901,13375,8884,13436,8873,13375,8851,13375m8978,13370l8973,13375,8967,13381,8973,13392,8978,13392,8989,13392,8989,13381,8989,13375,8978,13370e" filled="false" stroked="true" strokeweight="1.66162pt" strokecolor="#ffffff">
              <v:path arrowok="t"/>
              <v:stroke dashstyle="solid"/>
            </v:shape>
            <v:line style="position:absolute" from="8973,13381" to="8973,13486" stroked="true" strokeweight="1.66162pt" strokecolor="#ffffff">
              <v:stroke dashstyle="solid"/>
            </v:line>
            <v:line style="position:absolute" from="9006,13353" to="9006,13486" stroked="true" strokeweight="1.66162pt" strokecolor="#ffffff">
              <v:stroke dashstyle="solid"/>
            </v:line>
            <v:shape style="position:absolute;left:9039;top:13364;width:632;height:106" coordorigin="9039,13364" coordsize="632,106" path="m9039,13370l9039,13469,9056,13469,9056,13370,9039,13370m9084,13370l9072,13370,9072,13381,9072,13386,9084,13392,9089,13386,9095,13381,9089,13370,9084,13370m9072,13397l9072,13464,9089,13464,9089,13397,9072,13397m9156,13397l9156,13403,9144,13397,9133,13392,9117,13397,9106,13403,9100,13420,9100,13431,9100,13447,9111,13458,9117,13464,9133,13469,9144,13464,9156,13458,9156,13464,9172,13464,9172,13397,9156,13397m9133,13408l9144,13414,9150,13414,9150,13425,9156,13431,9156,13442,9150,13447,9144,13453,9133,13453,9128,13453,9122,13447,9117,13442,9117,13431,9117,13425,9122,13414,9128,13414,9133,13408m9189,13397l9189,13464,9211,13464,9205,13436,9211,13425,9211,13420,9216,13414,9222,13408,9228,13414,9233,13420,9233,13425,9233,13431,9233,13464,9255,13464,9255,13436,9255,13425,9255,13420,9261,13414,9266,13408,9277,13414,9277,13420,9277,13431,9283,13464,9300,13464,9300,13425,9300,13414,9294,13408,9288,13397,9272,13392,9261,13397,9250,13408,9244,13397,9228,13392,9216,13397,9205,13403,9205,13397,9189,13397m9360,13403l9349,13397,9338,13392,9327,13392,9322,13397,9316,13403,9316,13414,9322,13425,9333,13436,9338,13436,9344,13442,9344,13447,9338,13447,9333,13447,9322,13442,9311,13453,9322,13464,9338,13464,9349,13464,9355,13458,9360,13453,9360,13442,9360,13431,9355,13425,9344,13420,9338,13420,9333,13414,9333,13408,9338,13408,9344,13408,9349,13414,9360,13403m9416,13464l9438,13464,9449,13464,9460,13458,9471,13453,9471,13436,9471,13420,9466,13414,9455,13408,9466,13403,9466,13392,9466,13386,9460,13381,9449,13370,9438,13370,9427,13370,9410,13370,9416,13464m9432,13386l9438,13386,9444,13386,9449,13397,9444,13403,9432,13408,9432,13386m9432,13420l9444,13425,9449,13425,9455,13431,9455,13436,9449,13442,9444,13447,9438,13447,9432,13447,9432,13420m9488,13364l9488,13464,9504,13464,9504,13364,9488,13364m9516,13392l9549,13464,9560,13464,9588,13392,9571,13392,9554,13431,9532,13392,9516,13392m9654,13364l9654,13397,9643,13392,9632,13392,9615,13392,9610,13397,9599,13414,9599,13425,9599,13442,9610,13453,9621,13458,9632,13464,9643,13458,9654,13453,9654,13458,9671,13458,9671,13364,9654,13364m9632,13403l9643,13408,9648,13408,9654,13420,9654,13425,9654,13436,9648,13442,9643,13447,9637,13447,9626,13447,9621,13442,9615,13436,9615,13425,9615,13420,9621,13414,9626,13408,9632,13403e" filled="false" stroked="true" strokeweight="1.66162pt" strokecolor="#ffffff">
              <v:path arrowok="t"/>
              <v:stroke dashstyle="solid"/>
            </v:shape>
            <v:shape style="position:absolute;left:6613;top:11863;width:133;height:599" type="#_x0000_t75" stroked="false">
              <v:imagedata r:id="rId114" o:title=""/>
            </v:shape>
            <v:shape style="position:absolute;left:4713;top:7133;width:3761;height:10141" coordorigin="4713,7133" coordsize="3761,10141" path="m4713,8103l4730,8103,4730,8086,4808,8092,4808,8069,4730,8069,4730,8053,4713,8053,4713,8103m4741,8053l4813,8025,4813,8014,4769,7997,4813,7986,4813,7975,4741,7948,4741,7964,4780,7981,4741,7992,4741,8003,4780,8020,4741,8031,4741,8053m4713,7931l4713,7937,4725,7942,4730,7937,4736,7931,4730,7920,4725,7920,4713,7920,4713,7931m4741,7937l4813,7942,4813,7920,4741,7920,4741,7937m4741,7903l4813,7903,4813,7887,4785,7887,4774,7887,4769,7887,4758,7881,4758,7870,4758,7865,4763,7859,4769,7859,4780,7859,4813,7859,4813,7842,4763,7842,4752,7842,4747,7848,4741,7853,4741,7865,4741,7876,4747,7887,4741,7887,4741,7903m4813,7787l4813,7759,4813,7748,4813,7743,4802,7732,4785,7726,4774,7732,4763,7743,4752,7737,4741,7732,4736,7737,4730,7737,4719,7754,4719,7759,4719,7770,4719,7787,4813,7787m4736,7770l4736,7765,4741,7754,4747,7754,4752,7754,4758,7765,4758,7770,4736,7770m4774,7770l4774,7765,4774,7754,4774,7748,4785,7743,4791,7748,4797,7754,4797,7765,4797,7770,4774,7770m4741,7715l4813,7715,4813,7698,4785,7698,4780,7698,4769,7698,4763,7698,4758,7693,4758,7687,4758,7682,4741,7676,4741,7687,4747,7693,4752,7698,4741,7698,4741,7715m4713,7660l4719,7665,4725,7671,4736,7665,4736,7660,4736,7649,4725,7649,4719,7649,4713,7660m4741,7665l4813,7671,4813,7649,4741,7649,4741,7665m4719,7588l4752,7588,4747,7599,4741,7610,4747,7621,4752,7632,4763,7643,4780,7643,4791,7643,4802,7632,4813,7621,4813,7610,4813,7599,4808,7588,4813,7588,4813,7571,4719,7571,4719,7588m4758,7604l4758,7599,4763,7593,4769,7588,4780,7588,4785,7588,4797,7593,4797,7599,4797,7604,4797,7615,4791,7621,4785,7626,4780,7626,4769,7626,4763,7621,4758,7615,4758,7604m4747,7499l4752,7499,4747,7510,4747,7521,4747,7532,4752,7543,4763,7554,4780,7554,4797,7554,4808,7543,4813,7532,4819,7521,4813,7510,4808,7499,4813,7499,4819,7505,4824,7510,4830,7521,4824,7527,4819,7538,4819,7554,4835,7549,4841,7538,4841,7521,4841,7505,4830,7488,4824,7482,4808,7482,4747,7482,4747,7499m4763,7516l4763,7510,4769,7505,4774,7499,4780,7499,4791,7499,4797,7505,4797,7510,4802,7516,4797,7527,4797,7532,4785,7538,4780,7538,4774,7538,4769,7532,4763,7527,4763,7516m4785,7394l4769,7394,4752,7405,4747,7416,4747,7427,4747,7444,4752,7455,4769,7466,4780,7466,4797,7466,4808,7455,4813,7444,4819,7427,4813,7410,4808,7405,4802,7399,4797,7410,4802,7421,4802,7427,4797,7444,4785,7449,4785,7394m4774,7410l4774,7449,4763,7444,4758,7427,4763,7416,4774,7410m4758,7333l4747,7338,4741,7355,4747,7361,4752,7372,4758,7377,4763,7377,4774,7372,4785,7361,4791,7355,4791,7349,4797,7344,4802,7349,4802,7355,4802,7361,4791,7366,4808,7377,4813,7372,4819,7355,4819,7344,4813,7338,4808,7333,4797,7327,4785,7333,4780,7338,4774,7349,4769,7355,4769,7361,4763,7361,4758,7355,4763,7349,4769,7344,4758,7333m4725,7272l4819,7277,4819,7255,4780,7255,4819,7233,4819,7217,4774,7239,4769,7222,4752,7217,4736,7222,4725,7233,4725,7244,4725,7255,4725,7272m4763,7255l4741,7255,4741,7250,4741,7244,4747,7239,4752,7233,4758,7239,4758,7244,4763,7250,4763,7255m4719,7150l4758,7150,4747,7161,4747,7172,4747,7183,4758,7194,4769,7200,4785,7205,4797,7200,4808,7194,4819,7183,4819,7172,4819,7161,4813,7150,4819,7150,4819,7133,4719,7133,4719,7150m4763,7167l4763,7161,4769,7156,4774,7150,4785,7150,4791,7150,4797,7156,4802,7161,4802,7167,4802,7178,4797,7183,4791,7183,4785,7189,4774,7183,4769,7183,4763,7178,4763,7167m6835,16804l6879,16887,6896,16876,6912,16870,6918,16864,6929,16848,6929,16831,6923,16809,6918,16798,6907,16792,6896,16787,6885,16781,6868,16787,6851,16792,6835,16804m6857,16809l6862,16804,6879,16804,6890,16804,6901,16809,6907,16820,6912,16826,6912,16837,6907,16848,6901,16853,6896,16859,6885,16864,6857,16809m6923,16781l6935,16809,6946,16820,6951,16831,6957,16837,6962,16837,6973,16837,6984,16831,6990,16831,6995,16820,7001,16815,7001,16804,6995,16798,6990,16781,6979,16754,6962,16765,6979,16792,6979,16804,6984,16809,6984,16815,6973,16820,6968,16820,6962,16815,6957,16815,6957,16804,6940,16776,6923,16781m7012,16737l6995,16743,7040,16831,7056,16820,7040,16792,7056,16792,7067,16792,7073,16781,7084,16770,7084,16759,7079,16743,7067,16732,7056,16726,7045,16720,7034,16726,7023,16732,7018,16743,7012,16737m7034,16743l7045,16737,7051,16743,7056,16743,7062,16754,7067,16759,7062,16765,7062,16776,7056,16776,7045,16781,7040,16781,7034,16776,7029,16770,7029,16759,7029,16754,7029,16748,7034,16743m7106,16693l7095,16698,7090,16709,7084,16726,7090,16737,7101,16754,7112,16759,7123,16759,7139,16754,7156,16743,7156,16737,7162,16726,7156,16715,7156,16704,7145,16693,7134,16687,7123,16687,7117,16687,7106,16693m7112,16704l7123,16704,7128,16704,7134,16709,7139,16715,7145,16720,7139,16732,7139,16737,7134,16743,7123,16743,7117,16743,7112,16737,7106,16732,7101,16726,7106,16715,7106,16709,7112,16704m7151,16671l7178,16732,7195,16726,7184,16698,7178,16698,7178,16687,7173,16676,7178,16671,7184,16671,7184,16654,7173,16654,7167,16660,7167,16671,7162,16665,7151,16671m7178,16626l7195,16648,7184,16654,7189,16665,7200,16660,7223,16709,7239,16704,7217,16654,7223,16648,7217,16637,7206,16643,7195,16615,7178,16626m7272,16610l7278,16615,7261,16615,7250,16615,7239,16626,7234,16637,7234,16648,7239,16665,7250,16676,7261,16682,7272,16687,7283,16682,7295,16676,7300,16665,7306,16671,7322,16665,7289,16599,7272,16610m7261,16632l7272,16626,7278,16632,7283,16632,7289,16637,7289,16648,7289,16654,7289,16665,7283,16665,7272,16671,7267,16671,7261,16665,7256,16660,7250,16648,7250,16643,7256,16637,7261,16632m7295,16565l7289,16571,7289,16576,7300,16582,7306,16582,7311,16576,7311,16565,7306,16560,7295,16565m7300,16593l7333,16654,7350,16648,7317,16582,7300,16593m7322,16554l7367,16643,7378,16632,7339,16543,7322,16554m7433,16510l7416,16510,7405,16510,7394,16516,7389,16527,7389,16538,7389,16543,7400,16554,7411,16560,7427,16565,7439,16565,7444,16565,7450,16571,7450,16576,7439,16582,7433,16588,7422,16582,7411,16593,7422,16599,7433,16604,7439,16604,7450,16599,7461,16593,7466,16582,7466,16571,7461,16565,7455,16554,7444,16549,7439,16549,7427,16543,7416,16543,7411,16538,7405,16538,7405,16532,7411,16527,7416,16527,7427,16527,7433,16510m7450,16493l7461,16516,7450,16516,7455,16532,7466,16527,7488,16576,7505,16571,7483,16521,7488,16516,7483,16499,7472,16504,7461,16482,7450,16493m8048,16488l8064,16493,8081,16488,8098,16477,8109,16460,8114,16438,8109,16421,8098,16410,8092,16399,8081,16394,8064,16394,8053,16394,8042,16394,8026,16410,8015,16427,8009,16444,8015,16460,8026,16471,8031,16482,8026,16493,8037,16516,8048,16488m8053,16471l8064,16460,8053,16438,8042,16466,8031,16455,8031,16444,8031,16432,8037,16421,8048,16410,8059,16410,8075,16410,8087,16416,8092,16427,8092,16438,8092,16449,8087,16460,8075,16471,8064,16471,8053,16471m8109,16488l8087,16504,8070,16510,8064,16516,8059,16521,8053,16527,8053,16538,8059,16549,8064,16554,8070,16560,8075,16565,8087,16565,8098,16565,8109,16560,8136,16543,8131,16532,8098,16543,8092,16549,8087,16549,8081,16549,8075,16543,8070,16532,8075,16527,8081,16527,8087,16521,8120,16504,8109,16488m8136,16643l8136,16637,8153,16632,8159,16615,8164,16604,8159,16588,8147,16576,8136,16571,8125,16565,8109,16571,8098,16582,8087,16593,8087,16604,8092,16621,8098,16632,8103,16637,8120,16643,8120,16626,8109,16621,8103,16615,8103,16604,8103,16599,8109,16593,8109,16588,8136,16643m8142,16621l8125,16582,8136,16588,8142,16593,8147,16610,8142,16621m8175,16720l8192,16709,8197,16698,8203,16682,8197,16665,8186,16654,8175,16648,8159,16648,8147,16648,8136,16660,8125,16671,8125,16687,8131,16698,8136,16709,8142,16715,8159,16720,8159,16704,8147,16698,8142,16693,8142,16687,8142,16682,8142,16671,8147,16671,8175,16720m8181,16698l8164,16665,8175,16665,8181,16676,8186,16687,8181,16698m8214,16715l8153,16743,8159,16759,8186,16748,8192,16748,8197,16743,8208,16743,8219,16754,8219,16759,8214,16765,8208,16770,8197,16770,8170,16787,8181,16804,8219,16781,8231,16776,8236,16770,8236,16759,8236,16748,8231,16743,8219,16732,8225,16732,8214,16715m8264,16831l8264,16820,8264,16809,8258,16798,8253,16792,8242,16792,8236,16792,8225,16804,8219,16820,8219,16826,8219,16831,8219,16837,8214,16837,8208,16831,8208,16826,8208,16815,8197,16809,8192,16826,8197,16837,8203,16848,8208,16853,8219,16853,8225,16853,8236,16842,8236,16837,8236,16826,8236,16820,8242,16815,8242,16809,8247,16809,8247,16815,8247,16820,8247,16826,8264,16831m8297,16887l8291,16892,8291,16876,8291,16864,8286,16853,8275,16848,8258,16848,8242,16853,8231,16859,8225,16870,8225,16887,8225,16898,8231,16909,8242,16914,8231,16914,8225,16914,8214,16903,8214,16892,8214,16887,8208,16870,8197,16881,8197,16898,8203,16914,8214,16925,8225,16931,8236,16936,8253,16931,8308,16903,8297,16887m8275,16876l8280,16887,8280,16892,8275,16898,8269,16903,8258,16903,8253,16903,8247,16898,8242,16892,8242,16887,8242,16881,8247,16870,8253,16870,8258,16864,8269,16864,8275,16870,8275,16876m8336,16964l8330,16970,8330,16959,8330,16948,8319,16936,8308,16931,8297,16925,8280,16931,8269,16942,8264,16953,8258,16964,8264,16975,8269,16986,8280,16992,8275,16997,8280,17014,8347,16981,8336,16964m8314,16953l8319,16964,8319,16970,8314,16975,8308,16981,8297,16986,8291,16981,8280,16981,8280,16975,8275,16964,8280,16959,8280,16953,8291,16948,8297,16948,8303,16948,8314,16948,8314,16953m8375,16992l8352,17003,8347,16992,8336,17003,8336,17008,8286,17031,8297,17047,8347,17025,8352,17036,8363,17025,8358,17020,8380,17008,8375,16992m8363,17114l8380,17103,8386,17092,8386,17080,8386,17064,8375,17053,8363,17042,8347,17042,8336,17047,8325,17053,8314,17069,8314,17080,8319,17097,8325,17103,8330,17108,8347,17119,8347,17103,8336,17097,8330,17092,8330,17080,8330,17075,8330,17069,8336,17064,8363,17114m8369,17092l8352,17058,8363,17058,8369,17069,8375,17080,8369,17092m8441,17136l8358,17175,8369,17197,8375,17208,8380,17219,8391,17230,8413,17230,8430,17224,8447,17219,8452,17208,8458,17197,8463,17186,8458,17175,8452,17152,8441,17136m8435,17158l8441,17164,8441,17180,8441,17191,8435,17202,8424,17208,8413,17213,8408,17213,8397,17208,8391,17202,8386,17191,8380,17186,8435,17158m8458,17224l8397,17258,8402,17274,8430,17263,8430,17258,8441,17252,8452,17252,8458,17258,8458,17263,8474,17263,8474,17252,8469,17247,8458,17247,8469,17241,8458,17224e" filled="false" stroked="true" strokeweight="1.66162pt" strokecolor="#ffffff">
              <v:path arrowok="t"/>
              <v:stroke dashstyle="solid"/>
            </v:shape>
            <v:shape style="position:absolute;left:9266;top:12322;width:133;height:693" type="#_x0000_t75" stroked="false">
              <v:imagedata r:id="rId115" o:title=""/>
            </v:shape>
            <v:shape style="position:absolute;left:7865;top:15009;width:565;height:632" type="#_x0000_t75" stroked="false">
              <v:imagedata r:id="rId116" o:title=""/>
            </v:shape>
            <v:shape style="position:absolute;left:7892;top:14050;width:615;height:144" type="#_x0000_t75" stroked="false">
              <v:imagedata r:id="rId117" o:title=""/>
            </v:shape>
            <v:shape style="position:absolute;left:6402;top:16266;width:765;height:266" coordorigin="6403,16266" coordsize="765,266" path="m6425,16266l6403,16360,6419,16366,6430,16322,6447,16372,6469,16377,6447,16316,6491,16283,6469,16277,6436,16305,6442,16272,6425,16266m6552,16366l6552,16360,6558,16344,6552,16333,6541,16322,6525,16316,6514,16316,6497,16316,6486,16327,6480,16344,6480,16355,6486,16372,6497,16383,6508,16388,6530,16388,6536,16383,6547,16377,6530,16366,6525,16372,6514,16372,6502,16366,6497,16349,6552,16366m6541,16344l6502,16338,6508,16333,6525,16327,6536,16333,6541,16344m6580,16327l6563,16394,6580,16399,6586,16372,6591,16366,6591,16360,6602,16349,6608,16349,6613,16355,6619,16360,6619,16366,6613,16377,6608,16405,6624,16410,6635,16366,6635,16355,6635,16344,6630,16338,6619,16333,6608,16333,6597,16338,6597,16333,6580,16327m6658,16349l6641,16416,6658,16421,6663,16394,6663,16383,6669,16377,6674,16372,6685,16366,6691,16372,6691,16377,6691,16388,6691,16394,6685,16427,6702,16432,6713,16383,6713,16372,6707,16366,6702,16360,6691,16355,6685,16355,6669,16360,6674,16349,6658,16349m6796,16421l6796,16416,6796,16405,6796,16388,6785,16377,6768,16372,6757,16372,6741,16377,6730,16388,6724,16399,6724,16416,6730,16427,6741,16438,6752,16444,6774,16444,6779,16444,6790,16438,6774,16427,6768,16432,6757,16427,6746,16421,6741,16410,6796,16421m6779,16405l6746,16394,6752,16388,6768,16388,6779,16394,6779,16405m6874,16366l6862,16405,6857,16394,6846,16388,6835,16388,6818,16394,6813,16405,6807,16416,6802,16432,6807,16444,6818,16455,6829,16460,6840,16460,6851,16455,6851,16466,6868,16466,6890,16372,6874,16366m6846,16405l6851,16410,6857,16416,6862,16421,6857,16427,6857,16438,6851,16444,6846,16444,6835,16444,6829,16444,6824,16438,6824,16427,6824,16421,6824,16410,6829,16405,6840,16405,6846,16405m6896,16405l6907,16471,6885,16499,6901,16504,6968,16421,6951,16416,6918,16455,6912,16405,6896,16405m7023,16405l7001,16499,7018,16504,7029,16466,7045,16510,7062,16516,7051,16466,7056,16466,7067,16460,7073,16449,7073,16438,7073,16432,7062,16421,7056,16416,7045,16410,7023,16405m7034,16449l7040,16427,7045,16432,7051,16432,7056,16438,7056,16444,7051,16449,7045,16449,7040,16449,7034,16449m7151,16432l7139,16466,7134,16460,7123,16455,7106,16455,7095,16460,7084,16466,7079,16482,7079,16493,7084,16510,7095,16521,7106,16527,7117,16527,7128,16521,7128,16527,7145,16532,7167,16438,7151,16432m7123,16471l7128,16471,7134,16477,7134,16488,7134,16493,7134,16504,7128,16510,7117,16510,7112,16510,7106,16504,7101,16499,7095,16493,7101,16482,7101,16477,7106,16471,7112,16471,7123,16471e" filled="false" stroked="true" strokeweight="1.66162pt" strokecolor="#ffffff">
              <v:path arrowok="t"/>
              <v:stroke dashstyle="solid"/>
            </v:shape>
            <v:shape style="position:absolute;left:4719;top:19650;width:139;height:604" type="#_x0000_t75" stroked="false">
              <v:imagedata r:id="rId118" o:title=""/>
            </v:shape>
            <v:shape style="position:absolute;left:720;top:2879;width:14401;height:20880" coordorigin="720,2880" coordsize="14401,20880" path="m720,13320l720,2880,15121,2880,15121,23760,720,23760,720,13320e" filled="false" stroked="true" strokeweight="1.10775pt" strokecolor="#000000">
              <v:path arrowok="t"/>
              <v:stroke dashstyle="solid"/>
            </v:shape>
            <v:shape style="position:absolute;left:814;top:21378;width:5428;height:2255" coordorigin="814,21378" coordsize="5428,2255" path="m6104,23627l953,23627,958,23632,6098,23632,6104,23627xm6126,23621l931,23621,936,23627,6120,23627,6126,23621xm6142,23616l914,23616,919,23621,6137,23621,6142,23616xm6154,23610l903,23610,908,23616,6148,23616,6154,23610xm6170,23599l886,23599,897,23610,6159,23610,6170,23599xm6176,21411l881,21411,847,21445,847,21450,836,21461,836,21467,831,21472,831,21478,825,21483,825,21495,820,21500,820,21517,814,21522,814,23488,820,23494,820,23511,825,23516,825,23527,831,23533,831,23538,836,23544,836,23549,847,23560,847,23566,881,23599,6176,23599,6209,23566,6209,23560,6220,23549,6220,23544,6226,23538,6226,23533,6231,23527,6231,23516,6237,23511,6237,23494,6242,23488,6242,21522,6237,21517,6237,21500,6231,21495,6231,21483,6226,21478,6226,21472,6220,21467,6220,21461,6209,21450,6209,21445,6176,21411xm6159,21400l897,21400,886,21411,6170,21411,6159,21400xm6148,21395l908,21395,903,21400,6154,21400,6148,21395xm6137,21389l919,21389,914,21395,6142,21395,6137,21389xm6120,21384l936,21384,931,21389,6126,21389,6120,21384xm6098,21378l958,21378,953,21384,6104,21384,6098,21378xe" filled="true" fillcolor="#ffffff" stroked="false">
              <v:path arrowok="t"/>
              <v:fill type="solid"/>
            </v:shape>
            <v:line style="position:absolute" from="6076,23632" to="986,23632" stroked="true" strokeweight="1.10775pt" strokecolor="#000000">
              <v:stroke dashstyle="solid"/>
            </v:line>
            <v:shape style="position:absolute;left:803;top:23455;width:194;height:189" type="#_x0000_t75" stroked="false">
              <v:imagedata r:id="rId262" o:title=""/>
            </v:shape>
            <v:line style="position:absolute" from="814,23466" to="814,21550" stroked="true" strokeweight="1.10775pt" strokecolor="#000000">
              <v:stroke dashstyle="solid"/>
            </v:line>
            <v:shape style="position:absolute;left:803;top:21367;width:194;height:194" type="#_x0000_t75" stroked="false">
              <v:imagedata r:id="rId263" o:title=""/>
            </v:shape>
            <v:line style="position:absolute" from="986,21378" to="6076,21378" stroked="true" strokeweight="1.10775pt" strokecolor="#000000">
              <v:stroke dashstyle="solid"/>
            </v:line>
            <v:shape style="position:absolute;left:6064;top:21367;width:189;height:194" type="#_x0000_t75" stroked="false">
              <v:imagedata r:id="rId264" o:title=""/>
            </v:shape>
            <v:line style="position:absolute" from="6242,21550" to="6242,23466" stroked="true" strokeweight="1.10775pt" strokecolor="#000000">
              <v:stroke dashstyle="solid"/>
            </v:line>
            <v:shape style="position:absolute;left:6064;top:23455;width:189;height:189" type="#_x0000_t75" stroked="false">
              <v:imagedata r:id="rId265" o:title=""/>
            </v:shape>
            <v:rect style="position:absolute;left:720;top:720;width:14401;height:2160" filled="false" stroked="true" strokeweight="1.10775pt" strokecolor="#000000">
              <v:stroke dashstyle="solid"/>
            </v:rect>
            <v:shape style="position:absolute;left:14539;top:947;width:344;height:1706" coordorigin="14539,947" coordsize="344,1706" path="m14713,2000l14708,2000,14708,2595,14711,2595,14711,2599,14779,2653,14779,2135,14713,2074,14713,2000xm14883,1658l14595,1658,14573,1662,14555,1674,14544,1692,14539,1714,14539,2000,14826,2000,14848,1995,14866,1983,14878,1965,14882,1949,14708,1949,14688,1947,14668,1942,14649,1933,14632,1921,14620,1909,14632,1898,14610,1898,14593,1860,14590,1819,14590,1818,14600,1779,14625,1745,14643,1730,14664,1719,14685,1712,14708,1710,14883,1710,14883,1658xm14883,1740l14792,1740,14802,1751,14825,1791,14831,1834,14821,1877,14795,1914,14777,1929,14757,1940,14735,1947,14713,1949,14882,1949,14883,1944,14883,1740xm14711,1911l14709,1911,14709,1913,14708,1913,14701,1916,14693,1919,14686,1923,14681,1924,14675,1924,14670,1926,14681,1931,14694,1934,14726,1934,14731,1932,14713,1914,14711,1911xm14752,1881l14742,1890,14734,1896,14724,1903,14749,1927,14759,1923,14770,1918,14779,1909,14752,1881xm14676,1876l14645,1908,14653,1913,14666,1913,14686,1906,14699,1899,14676,1876xm14713,1728l14708,1728,14669,1737,14638,1760,14616,1792,14609,1829,14609,1833,14609,1845,14612,1859,14617,1872,14623,1885,14610,1898,14632,1898,14661,1868,14640,1868,14633,1857,14630,1844,14630,1829,14632,1815,14636,1800,14644,1786,14655,1773,14666,1763,14679,1756,14693,1752,14708,1750,14782,1750,14788,1743,14765,1743,14754,1737,14741,1733,14727,1730,14713,1728xm14785,1842l14779,1852,14770,1862,14762,1870,14790,1898,14798,1888,14805,1876,14808,1867,14785,1842xm14711,1842l14686,1867,14708,1886,14713,1891,14722,1886,14731,1878,14741,1870,14713,1844,14711,1842xm14721,1770l14708,1770,14697,1771,14687,1774,14677,1780,14668,1788,14660,1797,14654,1808,14651,1819,14650,1829,14650,1839,14651,1847,14653,1853,14640,1868,14661,1868,14713,1817,14758,1773,14734,1773,14721,1770xm14747,1806l14722,1830,14752,1860,14760,1850,14774,1830,14747,1806xm14807,1789l14807,1794,14805,1799,14803,1806,14800,1812,14793,1829,14813,1849,14815,1834,14815,1829,14814,1818,14812,1803,14807,1789xm14790,1765l14759,1794,14782,1817,14784,1811,14787,1806,14793,1786,14793,1773,14790,1765xm14782,1750l14726,1750,14737,1753,14749,1758,14734,1773,14758,1773,14782,1750xm14883,1710l14713,1710,14730,1712,14747,1716,14762,1723,14777,1732,14765,1743,14788,1743,14792,1740,14883,1740,14883,1710xm14713,947l14642,1523,14708,1585,14708,1658,14713,1658,14713,947xe" filled="true" fillcolor="#335f93" stroked="false">
              <v:path arrowok="t"/>
              <v:fill type="solid"/>
            </v:shape>
            <v:shape style="position:absolute;left:14589;top:1710;width:188;height:188" type="#_x0000_t75" stroked="false">
              <v:imagedata r:id="rId123" o:title=""/>
            </v:shape>
            <v:shape style="position:absolute;left:819;top:1046;width:1508;height:1795" type="#_x0000_t75" stroked="false">
              <v:imagedata r:id="rId124" o:title=""/>
            </v:shape>
            <w10:wrap type="none"/>
          </v:group>
        </w:pict>
      </w:r>
      <w:r>
        <w:rPr>
          <w:rFonts w:ascii="Arial"/>
          <w:color w:val="FFAA00"/>
          <w:spacing w:val="-177"/>
          <w:w w:val="254"/>
          <w:position w:val="-5"/>
          <w:sz w:val="34"/>
        </w:rPr>
        <w:t>!</w:t>
      </w:r>
      <w:r>
        <w:rPr>
          <w:rFonts w:ascii="Arial"/>
          <w:color w:val="FFFFFF"/>
          <w:w w:val="252"/>
          <w:sz w:val="16"/>
        </w:rPr>
        <w:t>!</w:t>
      </w:r>
    </w:p>
    <w:p>
      <w:pPr>
        <w:pStyle w:val="Heading9"/>
        <w:spacing w:line="310" w:lineRule="exact"/>
        <w:ind w:left="1102"/>
      </w:pPr>
      <w:r>
        <w:rPr>
          <w:color w:val="FFFF00"/>
          <w:spacing w:val="-224"/>
          <w:w w:val="267"/>
        </w:rPr>
        <w:t>ì</w:t>
      </w:r>
      <w:r>
        <w:rPr>
          <w:spacing w:val="-224"/>
          <w:w w:val="133"/>
        </w:rPr>
        <w:t>è</w:t>
      </w:r>
      <w:r>
        <w:rPr>
          <w:color w:val="38A700"/>
          <w:spacing w:val="-224"/>
          <w:w w:val="133"/>
        </w:rPr>
        <w:t>ë</w:t>
      </w:r>
      <w:r>
        <w:rPr>
          <w:color w:val="CC2D31"/>
          <w:spacing w:val="-224"/>
          <w:w w:val="267"/>
        </w:rPr>
        <w:t>í</w:t>
      </w:r>
      <w:r>
        <w:rPr>
          <w:color w:val="FFFFFF"/>
          <w:w w:val="133"/>
        </w:rPr>
        <w:t>é</w:t>
      </w:r>
    </w:p>
    <w:p>
      <w:pPr>
        <w:spacing w:line="256" w:lineRule="exact" w:before="0"/>
        <w:ind w:left="1129" w:right="0" w:firstLine="0"/>
        <w:jc w:val="left"/>
        <w:rPr>
          <w:rFonts w:ascii="Arial"/>
          <w:sz w:val="24"/>
        </w:rPr>
      </w:pPr>
      <w:r>
        <w:rPr>
          <w:rFonts w:ascii="Arial"/>
          <w:spacing w:val="-167"/>
          <w:w w:val="208"/>
          <w:sz w:val="24"/>
        </w:rPr>
        <w:t>(</w:t>
      </w:r>
      <w:r>
        <w:rPr>
          <w:rFonts w:ascii="Arial"/>
          <w:color w:val="FFFF00"/>
          <w:w w:val="250"/>
          <w:sz w:val="24"/>
        </w:rPr>
        <w:t>!</w:t>
      </w:r>
    </w:p>
    <w:p>
      <w:pPr>
        <w:pStyle w:val="BodyText"/>
        <w:spacing w:before="1"/>
        <w:rPr>
          <w:rFonts w:ascii="Arial"/>
          <w:sz w:val="13"/>
        </w:rPr>
      </w:pPr>
      <w:r>
        <w:rPr/>
        <w:br w:type="column"/>
      </w:r>
      <w:r>
        <w:rPr>
          <w:rFonts w:ascii="Arial"/>
          <w:sz w:val="13"/>
        </w:rPr>
      </w:r>
    </w:p>
    <w:p>
      <w:pPr>
        <w:spacing w:before="0"/>
        <w:ind w:left="113" w:right="0" w:firstLine="0"/>
        <w:jc w:val="left"/>
        <w:rPr>
          <w:rFonts w:ascii="Arial"/>
          <w:sz w:val="12"/>
        </w:rPr>
      </w:pPr>
      <w:r>
        <w:rPr>
          <w:rFonts w:ascii="Arial"/>
          <w:w w:val="105"/>
          <w:sz w:val="12"/>
        </w:rPr>
        <w:t>Roundabout, acceptable Level of Service (3)</w:t>
      </w:r>
    </w:p>
    <w:p>
      <w:pPr>
        <w:pStyle w:val="BodyText"/>
        <w:spacing w:before="11"/>
        <w:rPr>
          <w:rFonts w:ascii="Arial"/>
          <w:sz w:val="15"/>
        </w:rPr>
      </w:pPr>
    </w:p>
    <w:p>
      <w:pPr>
        <w:spacing w:line="463" w:lineRule="auto" w:before="0"/>
        <w:ind w:left="113" w:right="54" w:firstLine="0"/>
        <w:jc w:val="left"/>
        <w:rPr>
          <w:rFonts w:ascii="Arial"/>
          <w:sz w:val="12"/>
        </w:rPr>
      </w:pPr>
      <w:r>
        <w:rPr>
          <w:rFonts w:ascii="Arial"/>
          <w:w w:val="105"/>
          <w:sz w:val="12"/>
        </w:rPr>
        <w:t>Signalized intersection, acceptable Level </w:t>
      </w:r>
      <w:r>
        <w:rPr>
          <w:rFonts w:ascii="Arial"/>
          <w:spacing w:val="3"/>
          <w:w w:val="105"/>
          <w:sz w:val="12"/>
        </w:rPr>
        <w:t>of </w:t>
      </w:r>
      <w:r>
        <w:rPr>
          <w:rFonts w:ascii="Arial"/>
          <w:w w:val="105"/>
          <w:sz w:val="12"/>
        </w:rPr>
        <w:t>Service  (58) Signalized intersection, improvements identified through study</w:t>
      </w:r>
      <w:r>
        <w:rPr>
          <w:rFonts w:ascii="Arial"/>
          <w:spacing w:val="-15"/>
          <w:w w:val="105"/>
          <w:sz w:val="12"/>
        </w:rPr>
        <w:t> </w:t>
      </w:r>
      <w:r>
        <w:rPr>
          <w:rFonts w:ascii="Arial"/>
          <w:w w:val="105"/>
          <w:sz w:val="12"/>
        </w:rPr>
        <w:t>(6)</w:t>
      </w:r>
    </w:p>
    <w:p>
      <w:pPr>
        <w:spacing w:before="16"/>
        <w:ind w:left="0" w:right="38" w:firstLine="0"/>
        <w:jc w:val="right"/>
        <w:rPr>
          <w:rFonts w:ascii="Arial" w:hAnsi="Arial"/>
          <w:b/>
          <w:sz w:val="11"/>
        </w:rPr>
      </w:pPr>
      <w:r>
        <w:rPr/>
        <w:br w:type="column"/>
      </w:r>
      <w:r>
        <w:rPr>
          <w:rFonts w:ascii="Arial" w:hAnsi="Arial"/>
          <w:color w:val="FF0000"/>
          <w:spacing w:val="-284"/>
          <w:w w:val="127"/>
          <w:position w:val="1"/>
          <w:sz w:val="40"/>
        </w:rPr>
        <w:t>§</w:t>
      </w:r>
      <w:r>
        <w:rPr>
          <w:rFonts w:ascii="Arial" w:hAnsi="Arial"/>
          <w:spacing w:val="-284"/>
          <w:w w:val="272"/>
          <w:sz w:val="40"/>
        </w:rPr>
        <w:t>¦</w:t>
      </w:r>
      <w:r>
        <w:rPr>
          <w:rFonts w:ascii="Arial" w:hAnsi="Arial"/>
          <w:color w:val="0000FF"/>
          <w:spacing w:val="-209"/>
          <w:w w:val="212"/>
          <w:sz w:val="40"/>
        </w:rPr>
        <w:t>¨</w:t>
      </w:r>
      <w:r>
        <w:rPr>
          <w:rFonts w:ascii="Arial" w:hAnsi="Arial"/>
          <w:b/>
          <w:color w:val="FFFFFF"/>
          <w:spacing w:val="-4"/>
          <w:w w:val="105"/>
          <w:position w:val="10"/>
          <w:sz w:val="11"/>
        </w:rPr>
        <w:t>8</w:t>
      </w:r>
      <w:r>
        <w:rPr>
          <w:rFonts w:ascii="Arial" w:hAnsi="Arial"/>
          <w:b/>
          <w:color w:val="FFFFFF"/>
          <w:w w:val="105"/>
          <w:position w:val="10"/>
          <w:sz w:val="11"/>
        </w:rPr>
        <w:t>2</w:t>
      </w:r>
    </w:p>
    <w:p>
      <w:pPr>
        <w:pStyle w:val="BodyText"/>
        <w:rPr>
          <w:rFonts w:ascii="Arial"/>
          <w:b/>
          <w:sz w:val="28"/>
        </w:rPr>
      </w:pPr>
      <w:r>
        <w:rPr/>
        <w:br w:type="column"/>
      </w:r>
      <w:r>
        <w:rPr>
          <w:rFonts w:ascii="Arial"/>
          <w:b/>
          <w:sz w:val="28"/>
        </w:rPr>
      </w:r>
    </w:p>
    <w:p>
      <w:pPr>
        <w:pStyle w:val="BodyText"/>
        <w:rPr>
          <w:rFonts w:ascii="Arial"/>
          <w:b/>
          <w:sz w:val="28"/>
        </w:rPr>
      </w:pPr>
    </w:p>
    <w:p>
      <w:pPr>
        <w:spacing w:before="213"/>
        <w:ind w:left="1093" w:right="0" w:firstLine="0"/>
        <w:jc w:val="left"/>
        <w:rPr>
          <w:rFonts w:ascii="Century Gothic"/>
          <w:sz w:val="24"/>
        </w:rPr>
      </w:pPr>
      <w:r>
        <w:rPr>
          <w:rFonts w:ascii="Century Gothic"/>
          <w:sz w:val="24"/>
        </w:rPr>
        <w:t>February 24, 2017</w:t>
      </w:r>
    </w:p>
    <w:p>
      <w:pPr>
        <w:spacing w:after="0"/>
        <w:jc w:val="left"/>
        <w:rPr>
          <w:rFonts w:ascii="Century Gothic"/>
          <w:sz w:val="24"/>
        </w:rPr>
        <w:sectPr>
          <w:type w:val="continuous"/>
          <w:pgSz w:w="15840" w:h="24480"/>
          <w:pgMar w:top="1480" w:bottom="1320" w:left="0" w:right="0"/>
          <w:cols w:num="4" w:equalWidth="0">
            <w:col w:w="1326" w:space="40"/>
            <w:col w:w="3924" w:space="2248"/>
            <w:col w:w="1335" w:space="3155"/>
            <w:col w:w="3812"/>
          </w:cols>
        </w:sect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spacing w:before="8"/>
        <w:rPr>
          <w:rFonts w:ascii="Century Gothic"/>
          <w:sz w:val="15"/>
        </w:rPr>
      </w:pPr>
    </w:p>
    <w:p>
      <w:pPr>
        <w:spacing w:before="100"/>
        <w:ind w:left="3842" w:right="3850" w:firstLine="0"/>
        <w:jc w:val="center"/>
        <w:rPr>
          <w:rFonts w:ascii="Century Gothic"/>
          <w:b/>
          <w:sz w:val="72"/>
        </w:rPr>
      </w:pPr>
      <w:r>
        <w:rPr>
          <w:rFonts w:ascii="Century Gothic"/>
          <w:b/>
          <w:color w:val="004CA7"/>
          <w:sz w:val="72"/>
        </w:rPr>
        <w:t>City of Richland</w:t>
      </w:r>
    </w:p>
    <w:p>
      <w:pPr>
        <w:pStyle w:val="ListParagraph"/>
        <w:numPr>
          <w:ilvl w:val="1"/>
          <w:numId w:val="6"/>
        </w:numPr>
        <w:tabs>
          <w:tab w:pos="3991" w:val="left" w:leader="none"/>
        </w:tabs>
        <w:spacing w:line="240" w:lineRule="auto" w:before="57" w:after="0"/>
        <w:ind w:left="3990" w:right="0" w:hanging="3991"/>
        <w:jc w:val="left"/>
        <w:rPr>
          <w:rFonts w:ascii="Century Gothic"/>
          <w:b/>
          <w:sz w:val="39"/>
        </w:rPr>
      </w:pPr>
      <w:r>
        <w:rPr>
          <w:rFonts w:ascii="Century Gothic"/>
          <w:b/>
          <w:sz w:val="39"/>
        </w:rPr>
        <w:t>- Future Functionally Classified Street</w:t>
      </w:r>
      <w:r>
        <w:rPr>
          <w:rFonts w:ascii="Century Gothic"/>
          <w:b/>
          <w:spacing w:val="45"/>
          <w:sz w:val="39"/>
        </w:rPr>
        <w:t> </w:t>
      </w:r>
      <w:r>
        <w:rPr>
          <w:rFonts w:ascii="Century Gothic"/>
          <w:b/>
          <w:sz w:val="39"/>
        </w:rPr>
        <w:t>Network</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4"/>
        <w:rPr>
          <w:rFonts w:ascii="Century Gothic"/>
          <w:b/>
          <w:sz w:val="16"/>
        </w:rPr>
      </w:pPr>
    </w:p>
    <w:p>
      <w:pPr>
        <w:spacing w:after="0"/>
        <w:rPr>
          <w:rFonts w:ascii="Century Gothic"/>
          <w:sz w:val="16"/>
        </w:rPr>
        <w:sectPr>
          <w:footerReference w:type="default" r:id="rId266"/>
          <w:pgSz w:w="15840" w:h="24480"/>
          <w:pgMar w:footer="0" w:header="0" w:top="0" w:bottom="280" w:left="0" w:right="0"/>
        </w:sectPr>
      </w:pPr>
    </w:p>
    <w:p>
      <w:pPr>
        <w:pStyle w:val="BodyText"/>
        <w:spacing w:before="11"/>
        <w:rPr>
          <w:rFonts w:ascii="Century Gothic"/>
          <w:b/>
          <w:sz w:val="32"/>
        </w:rPr>
      </w:pPr>
    </w:p>
    <w:p>
      <w:pPr>
        <w:spacing w:before="0"/>
        <w:ind w:left="0" w:right="0" w:firstLine="0"/>
        <w:jc w:val="right"/>
        <w:rPr>
          <w:rFonts w:ascii="Arial"/>
          <w:b/>
          <w:sz w:val="12"/>
        </w:rPr>
      </w:pPr>
      <w:r>
        <w:rPr>
          <w:rFonts w:ascii="Arial Black"/>
          <w:spacing w:val="-269"/>
          <w:w w:val="108"/>
          <w:position w:val="-3"/>
          <w:sz w:val="32"/>
        </w:rPr>
        <w:t>V</w:t>
      </w:r>
      <w:r>
        <w:rPr>
          <w:rFonts w:ascii="Arial Black"/>
          <w:color w:val="FFFFFF"/>
          <w:spacing w:val="-242"/>
          <w:w w:val="100"/>
          <w:position w:val="-3"/>
          <w:sz w:val="32"/>
        </w:rPr>
        <w:t>U</w:t>
      </w:r>
      <w:r>
        <w:rPr>
          <w:rFonts w:ascii="Arial"/>
          <w:b/>
          <w:spacing w:val="1"/>
          <w:w w:val="103"/>
          <w:sz w:val="12"/>
        </w:rPr>
        <w:t>24</w:t>
      </w:r>
      <w:r>
        <w:rPr>
          <w:rFonts w:ascii="Arial"/>
          <w:b/>
          <w:w w:val="103"/>
          <w:sz w:val="12"/>
        </w:rPr>
        <w:t>0</w:t>
      </w:r>
    </w:p>
    <w:p>
      <w:pPr>
        <w:spacing w:before="108"/>
        <w:ind w:left="3531" w:right="0" w:firstLine="0"/>
        <w:jc w:val="left"/>
        <w:rPr>
          <w:rFonts w:ascii="Century Gothic"/>
          <w:b/>
          <w:sz w:val="12"/>
        </w:rPr>
      </w:pPr>
      <w:r>
        <w:rPr/>
        <w:br w:type="column"/>
      </w:r>
      <w:r>
        <w:rPr>
          <w:rFonts w:ascii="Century Gothic"/>
          <w:b/>
          <w:color w:val="4D4D4D"/>
          <w:w w:val="105"/>
          <w:sz w:val="12"/>
        </w:rPr>
        <w:t>Horn Rapids Rd</w:t>
      </w:r>
    </w:p>
    <w:p>
      <w:pPr>
        <w:pStyle w:val="BodyText"/>
        <w:rPr>
          <w:rFonts w:ascii="Century Gothic"/>
          <w:b/>
          <w:sz w:val="16"/>
        </w:rPr>
      </w:pPr>
    </w:p>
    <w:p>
      <w:pPr>
        <w:pStyle w:val="BodyText"/>
        <w:rPr>
          <w:rFonts w:ascii="Century Gothic"/>
          <w:b/>
          <w:sz w:val="16"/>
        </w:rPr>
      </w:pPr>
    </w:p>
    <w:p>
      <w:pPr>
        <w:pStyle w:val="BodyText"/>
        <w:spacing w:before="10"/>
        <w:rPr>
          <w:rFonts w:ascii="Century Gothic"/>
          <w:b/>
          <w:sz w:val="11"/>
        </w:rPr>
      </w:pPr>
    </w:p>
    <w:p>
      <w:pPr>
        <w:spacing w:before="0"/>
        <w:ind w:left="3808" w:right="6497" w:firstLine="0"/>
        <w:jc w:val="center"/>
        <w:rPr>
          <w:rFonts w:ascii="Century Gothic"/>
          <w:b/>
          <w:sz w:val="12"/>
        </w:rPr>
      </w:pPr>
      <w:r>
        <w:rPr/>
        <w:pict>
          <v:shape style="position:absolute;margin-left:260.10202pt;margin-top:-32.545399pt;width:10.15pt;height:48.45pt;mso-position-horizontal-relative:page;mso-position-vertical-relative:paragraph;z-index:252286976" type="#_x0000_t202" filled="false" stroked="false">
            <v:textbox inset="0,0,0,0" style="layout-flow:vertical;mso-layout-flow-alt:bottom-to-top">
              <w:txbxContent>
                <w:p>
                  <w:pPr>
                    <w:spacing w:before="23"/>
                    <w:ind w:left="20" w:right="0" w:firstLine="0"/>
                    <w:jc w:val="left"/>
                    <w:rPr>
                      <w:rFonts w:ascii="Century Gothic"/>
                      <w:b/>
                      <w:sz w:val="12"/>
                    </w:rPr>
                  </w:pPr>
                  <w:r>
                    <w:rPr>
                      <w:rFonts w:ascii="Century Gothic"/>
                      <w:b/>
                      <w:color w:val="4D4D4D"/>
                      <w:w w:val="105"/>
                      <w:position w:val="1"/>
                      <w:sz w:val="12"/>
                    </w:rPr>
                    <w:t>Twin Br</w:t>
                  </w:r>
                  <w:r>
                    <w:rPr>
                      <w:rFonts w:ascii="Century Gothic"/>
                      <w:b/>
                      <w:color w:val="4D4D4D"/>
                      <w:w w:val="105"/>
                      <w:sz w:val="12"/>
                    </w:rPr>
                    <w:t>idges Rd</w:t>
                  </w:r>
                </w:p>
              </w:txbxContent>
            </v:textbox>
            <w10:wrap type="none"/>
          </v:shape>
        </w:pict>
      </w:r>
      <w:r>
        <w:rPr/>
        <w:pict>
          <v:shape style="position:absolute;margin-left:365.173767pt;margin-top:-10.002178pt;width:11.15pt;height:47.55pt;mso-position-horizontal-relative:page;mso-position-vertical-relative:paragraph;z-index:252291072" type="#_x0000_t202" filled="false" stroked="false">
            <v:textbox inset="0,0,0,0" style="layout-flow:vertical;mso-layout-flow-alt:bottom-to-top">
              <w:txbxContent>
                <w:p>
                  <w:pPr>
                    <w:spacing w:before="24"/>
                    <w:ind w:left="20" w:right="0" w:firstLine="0"/>
                    <w:jc w:val="left"/>
                    <w:rPr>
                      <w:rFonts w:ascii="Century Gothic"/>
                      <w:b/>
                      <w:sz w:val="12"/>
                    </w:rPr>
                  </w:pPr>
                  <w:r>
                    <w:rPr>
                      <w:rFonts w:ascii="Century Gothic"/>
                      <w:b/>
                      <w:color w:val="4D4D4D"/>
                      <w:w w:val="105"/>
                      <w:sz w:val="12"/>
                    </w:rPr>
                    <w:t>Kin</w:t>
                  </w:r>
                  <w:r>
                    <w:rPr>
                      <w:rFonts w:ascii="Century Gothic"/>
                      <w:b/>
                      <w:color w:val="4D4D4D"/>
                      <w:w w:val="105"/>
                      <w:position w:val="1"/>
                      <w:sz w:val="12"/>
                    </w:rPr>
                    <w:t>gsga</w:t>
                  </w:r>
                  <w:r>
                    <w:rPr>
                      <w:rFonts w:ascii="Century Gothic"/>
                      <w:b/>
                      <w:color w:val="4D4D4D"/>
                      <w:w w:val="105"/>
                      <w:position w:val="2"/>
                      <w:sz w:val="12"/>
                    </w:rPr>
                    <w:t>te Wa</w:t>
                  </w:r>
                  <w:r>
                    <w:rPr>
                      <w:rFonts w:ascii="Century Gothic"/>
                      <w:b/>
                      <w:color w:val="4D4D4D"/>
                      <w:w w:val="105"/>
                      <w:position w:val="3"/>
                      <w:sz w:val="12"/>
                    </w:rPr>
                    <w:t>y</w:t>
                  </w:r>
                </w:p>
              </w:txbxContent>
            </v:textbox>
            <w10:wrap type="none"/>
          </v:shape>
        </w:pict>
      </w:r>
      <w:r>
        <w:rPr>
          <w:rFonts w:ascii="Century Gothic"/>
          <w:b/>
          <w:color w:val="4D4D4D"/>
          <w:w w:val="105"/>
          <w:sz w:val="12"/>
        </w:rPr>
        <w:t>Battelle Bl</w:t>
      </w:r>
      <w:r>
        <w:rPr>
          <w:rFonts w:ascii="Century Gothic"/>
          <w:b/>
          <w:color w:val="4D4D4D"/>
          <w:w w:val="105"/>
          <w:position w:val="1"/>
          <w:sz w:val="12"/>
        </w:rPr>
        <w:t>vd</w:t>
      </w:r>
    </w:p>
    <w:p>
      <w:pPr>
        <w:spacing w:after="0"/>
        <w:jc w:val="center"/>
        <w:rPr>
          <w:rFonts w:ascii="Century Gothic"/>
          <w:sz w:val="12"/>
        </w:rPr>
        <w:sectPr>
          <w:type w:val="continuous"/>
          <w:pgSz w:w="15840" w:h="24480"/>
          <w:pgMar w:top="1480" w:bottom="1320" w:left="0" w:right="0"/>
          <w:cols w:num="2" w:equalWidth="0">
            <w:col w:w="4709" w:space="40"/>
            <w:col w:w="11091"/>
          </w:cols>
        </w:sectPr>
      </w:pPr>
    </w:p>
    <w:p>
      <w:pPr>
        <w:pStyle w:val="BodyText"/>
        <w:rPr>
          <w:rFonts w:ascii="Century Gothic"/>
          <w:b/>
          <w:sz w:val="20"/>
        </w:rPr>
      </w:pPr>
    </w:p>
    <w:p>
      <w:pPr>
        <w:pStyle w:val="BodyText"/>
        <w:rPr>
          <w:rFonts w:ascii="Century Gothic"/>
          <w:b/>
          <w:sz w:val="20"/>
        </w:rPr>
      </w:pPr>
    </w:p>
    <w:p>
      <w:pPr>
        <w:pStyle w:val="BodyText"/>
        <w:spacing w:before="1"/>
        <w:rPr>
          <w:rFonts w:ascii="Century Gothic"/>
          <w:b/>
          <w:sz w:val="27"/>
        </w:rPr>
      </w:pPr>
    </w:p>
    <w:p>
      <w:pPr>
        <w:spacing w:before="105"/>
        <w:ind w:left="8231" w:right="3862" w:firstLine="0"/>
        <w:jc w:val="center"/>
        <w:rPr>
          <w:rFonts w:ascii="Century Gothic"/>
          <w:b/>
          <w:sz w:val="12"/>
        </w:rPr>
      </w:pPr>
      <w:r>
        <w:rPr>
          <w:rFonts w:ascii="Century Gothic"/>
          <w:b/>
          <w:color w:val="4D4D4D"/>
          <w:w w:val="105"/>
          <w:sz w:val="12"/>
        </w:rPr>
        <w:t>Univer</w:t>
      </w:r>
      <w:r>
        <w:rPr>
          <w:rFonts w:ascii="Century Gothic"/>
          <w:b/>
          <w:color w:val="4D4D4D"/>
          <w:w w:val="105"/>
          <w:position w:val="1"/>
          <w:sz w:val="12"/>
        </w:rPr>
        <w:t>sity 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
        <w:rPr>
          <w:rFonts w:ascii="Century Gothic"/>
          <w:b/>
          <w:sz w:val="16"/>
        </w:rPr>
      </w:pPr>
    </w:p>
    <w:p>
      <w:pPr>
        <w:spacing w:before="105"/>
        <w:ind w:left="10503" w:right="0" w:firstLine="0"/>
        <w:jc w:val="left"/>
        <w:rPr>
          <w:rFonts w:ascii="Century Gothic"/>
          <w:b/>
          <w:sz w:val="12"/>
        </w:rPr>
      </w:pPr>
      <w:r>
        <w:rPr/>
        <w:pict>
          <v:shape style="position:absolute;margin-left:463.078235pt;margin-top:-13.957746pt;width:31.35pt;height:6.25pt;mso-position-horizontal-relative:page;mso-position-vertical-relative:paragraph;z-index:252300288;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80.570898pt;margin-top:-3.16326pt;width:75.95pt;height:6.25pt;mso-position-horizontal-relative:page;mso-position-vertical-relative:paragraph;z-index:252302336;rotation:272" type="#_x0000_t136" fillcolor="#4d4d4d" stroked="f">
            <o:extrusion v:ext="view" autorotationcenter="t"/>
            <v:textpath style="font-family:&quot;Century Gothic&quot;;font-size:6pt;v-text-kern:t;mso-text-shadow:auto;font-weight:bold" string="George Washington Way"/>
            <w10:wrap type="none"/>
          </v:shape>
        </w:pict>
      </w:r>
      <w:r>
        <w:rPr/>
        <w:pict>
          <v:shape style="position:absolute;margin-left:423.837964pt;margin-top:5.694949pt;width:38.4pt;height:6.25pt;mso-position-horizontal-relative:page;mso-position-vertical-relative:paragraph;z-index:252304384;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426.213623pt;margin-top:50.965855pt;width:30pt;height:6.25pt;mso-position-horizontal-relative:page;mso-position-vertical-relative:paragraph;z-index:252306432;rotation:282" type="#_x0000_t136" fillcolor="#4d4d4d" stroked="f">
            <o:extrusion v:ext="view" autorotationcenter="t"/>
            <v:textpath style="font-family:&quot;Century Gothic&quot;;font-size:6pt;v-text-kern:t;mso-text-shadow:auto;font-weight:bold" string="Hagen Rd"/>
            <w10:wrap type="none"/>
          </v:shape>
        </w:pict>
      </w:r>
      <w:r>
        <w:rPr/>
        <w:pict>
          <v:shape style="position:absolute;margin-left:529.797424pt;margin-top:41.692642pt;width:21.4pt;height:6.25pt;mso-position-horizontal-relative:page;mso-position-vertical-relative:paragraph;z-index:252316672;rotation:359" type="#_x0000_t136" fillcolor="#4d4d4d" stroked="f">
            <o:extrusion v:ext="view" autorotationcenter="t"/>
            <v:textpath style="font-family:&quot;Century Gothic&quot;;font-size:6pt;v-text-kern:t;mso-text-shadow:auto;font-weight:bold" string="Saint St"/>
            <w10:wrap type="none"/>
          </v:shape>
        </w:pict>
      </w:r>
      <w:r>
        <w:rPr>
          <w:rFonts w:ascii="Century Gothic"/>
          <w:b/>
          <w:color w:val="4D4D4D"/>
          <w:w w:val="105"/>
          <w:sz w:val="12"/>
        </w:rPr>
        <w:t>Speng</w:t>
      </w:r>
      <w:r>
        <w:rPr>
          <w:rFonts w:ascii="Century Gothic"/>
          <w:b/>
          <w:color w:val="4D4D4D"/>
          <w:w w:val="105"/>
          <w:position w:val="1"/>
          <w:sz w:val="12"/>
        </w:rPr>
        <w:t>ler St</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9"/>
        <w:rPr>
          <w:rFonts w:ascii="Century Gothic"/>
          <w:b/>
          <w:sz w:val="26"/>
        </w:rPr>
      </w:pPr>
    </w:p>
    <w:p>
      <w:pPr>
        <w:spacing w:before="100"/>
        <w:ind w:left="8257" w:right="3862" w:firstLine="0"/>
        <w:jc w:val="center"/>
        <w:rPr>
          <w:rFonts w:ascii="Century Gothic"/>
          <w:b/>
          <w:sz w:val="12"/>
        </w:rPr>
      </w:pPr>
      <w:r>
        <w:rPr/>
        <w:pict>
          <v:shape style="position:absolute;margin-left:349.357483pt;margin-top:6.645928pt;width:9.75pt;height:29.15pt;mso-position-horizontal-relative:page;mso-position-vertical-relative:paragraph;z-index:252290048" type="#_x0000_t202" filled="false" stroked="false">
            <v:textbox inset="0,0,0,0" style="layout-flow:vertical;mso-layout-flow-alt:bottom-to-top">
              <w:txbxContent>
                <w:p>
                  <w:pPr>
                    <w:spacing w:before="26"/>
                    <w:ind w:left="20" w:right="0" w:firstLine="0"/>
                    <w:jc w:val="left"/>
                    <w:rPr>
                      <w:rFonts w:ascii="Century Gothic"/>
                      <w:b/>
                      <w:sz w:val="12"/>
                    </w:rPr>
                  </w:pPr>
                  <w:r>
                    <w:rPr>
                      <w:rFonts w:ascii="Century Gothic"/>
                      <w:b/>
                      <w:color w:val="4D4D4D"/>
                      <w:w w:val="105"/>
                      <w:sz w:val="12"/>
                    </w:rPr>
                    <w:t>Jones Rd</w:t>
                  </w:r>
                </w:p>
              </w:txbxContent>
            </v:textbox>
            <w10:wrap type="none"/>
          </v:shape>
        </w:pict>
      </w:r>
      <w:r>
        <w:rPr/>
        <w:pict>
          <v:shape style="position:absolute;margin-left:438.485529pt;margin-top:-12.099102pt;width:38.3pt;height:6.25pt;mso-position-horizontal-relative:page;mso-position-vertical-relative:paragraph;z-index:252310528;rotation:312" type="#_x0000_t136" fillcolor="#4d4d4d" stroked="f">
            <o:extrusion v:ext="view" autorotationcenter="t"/>
            <v:textpath style="font-family:&quot;Century Gothic&quot;;font-size:6pt;v-text-kern:t;mso-text-shadow:auto;font-weight:bold" string="By-pass Hwy"/>
            <w10:wrap type="none"/>
          </v:shape>
        </w:pict>
      </w:r>
      <w:r>
        <w:rPr>
          <w:rFonts w:ascii="Century Gothic"/>
          <w:b/>
          <w:color w:val="4D4D4D"/>
          <w:w w:val="105"/>
          <w:sz w:val="12"/>
        </w:rPr>
        <w:t>Mcmurray S</w:t>
      </w:r>
      <w:r>
        <w:rPr>
          <w:rFonts w:ascii="Century Gothic"/>
          <w:b/>
          <w:color w:val="4D4D4D"/>
          <w:w w:val="105"/>
          <w:position w:val="1"/>
          <w:sz w:val="12"/>
        </w:rPr>
        <w:t>t</w:t>
      </w:r>
    </w:p>
    <w:p>
      <w:pPr>
        <w:pStyle w:val="BodyText"/>
        <w:spacing w:before="5"/>
        <w:rPr>
          <w:rFonts w:ascii="Century Gothic"/>
          <w:b/>
          <w:sz w:val="17"/>
        </w:rPr>
      </w:pPr>
    </w:p>
    <w:p>
      <w:pPr>
        <w:spacing w:after="0"/>
        <w:rPr>
          <w:rFonts w:ascii="Century Gothic"/>
          <w:sz w:val="17"/>
        </w:rPr>
        <w:sectPr>
          <w:type w:val="continuous"/>
          <w:pgSz w:w="15840" w:h="24480"/>
          <w:pgMar w:top="1480" w:bottom="1320" w:left="0" w:right="0"/>
        </w:sectPr>
      </w:pPr>
    </w:p>
    <w:p>
      <w:pPr>
        <w:spacing w:before="91"/>
        <w:ind w:left="2934" w:right="0" w:firstLine="0"/>
        <w:jc w:val="left"/>
        <w:rPr>
          <w:rFonts w:ascii="Arial"/>
          <w:sz w:val="24"/>
        </w:rPr>
      </w:pPr>
      <w:r>
        <w:rPr>
          <w:rFonts w:ascii="Arial"/>
          <w:emboss/>
          <w:color w:val="757576"/>
          <w:sz w:val="24"/>
        </w:rPr>
        <w:t>W</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s</w:t>
      </w:r>
      <w:r>
        <w:rPr>
          <w:rFonts w:ascii="Arial"/>
          <w:shadow w:val="0"/>
          <w:color w:val="757576"/>
          <w:sz w:val="24"/>
        </w:rPr>
        <w:t> </w:t>
      </w:r>
      <w:r>
        <w:rPr>
          <w:rFonts w:ascii="Arial"/>
          <w:emboss/>
          <w:color w:val="757576"/>
          <w:sz w:val="24"/>
        </w:rPr>
        <w:t>t</w:t>
      </w:r>
      <w:r>
        <w:rPr>
          <w:rFonts w:ascii="Arial"/>
          <w:shadow w:val="0"/>
          <w:color w:val="757576"/>
          <w:sz w:val="24"/>
        </w:rPr>
        <w:t> </w:t>
      </w:r>
      <w:r>
        <w:rPr>
          <w:rFonts w:ascii="Arial"/>
          <w:emboss/>
          <w:color w:val="757576"/>
          <w:sz w:val="24"/>
        </w:rPr>
        <w:t>R</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h</w:t>
      </w:r>
      <w:r>
        <w:rPr>
          <w:rFonts w:ascii="Arial"/>
          <w:shadow w:val="0"/>
          <w:color w:val="757576"/>
          <w:sz w:val="24"/>
        </w:rPr>
        <w:t> </w:t>
      </w:r>
      <w:r>
        <w:rPr>
          <w:rFonts w:ascii="Arial"/>
          <w:emboss/>
          <w:color w:val="757576"/>
          <w:sz w:val="24"/>
        </w:rPr>
        <w:t>l</w:t>
      </w:r>
      <w:r>
        <w:rPr>
          <w:rFonts w:ascii="Arial"/>
          <w:shadow w:val="0"/>
          <w:color w:val="757576"/>
          <w:sz w:val="24"/>
        </w:rPr>
        <w:t> </w:t>
      </w:r>
      <w:r>
        <w:rPr>
          <w:rFonts w:ascii="Arial"/>
          <w:emboss/>
          <w:color w:val="757576"/>
          <w:sz w:val="24"/>
        </w:rPr>
        <w:t>a</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d</w:t>
      </w:r>
    </w:p>
    <w:p>
      <w:pPr>
        <w:pStyle w:val="BodyText"/>
        <w:rPr>
          <w:rFonts w:ascii="Arial"/>
          <w:sz w:val="16"/>
        </w:rPr>
      </w:pPr>
      <w:r>
        <w:rPr/>
        <w:br w:type="column"/>
      </w:r>
      <w:r>
        <w:rPr>
          <w:rFonts w:ascii="Arial"/>
          <w:sz w:val="16"/>
        </w:rPr>
      </w:r>
    </w:p>
    <w:p>
      <w:pPr>
        <w:pStyle w:val="BodyText"/>
        <w:spacing w:before="7"/>
        <w:rPr>
          <w:rFonts w:ascii="Arial"/>
          <w:sz w:val="16"/>
        </w:rPr>
      </w:pPr>
    </w:p>
    <w:p>
      <w:pPr>
        <w:spacing w:before="0"/>
        <w:ind w:left="2885" w:right="0" w:firstLine="0"/>
        <w:jc w:val="left"/>
        <w:rPr>
          <w:rFonts w:ascii="Century Gothic"/>
          <w:b/>
          <w:sz w:val="12"/>
        </w:rPr>
      </w:pPr>
      <w:r>
        <w:rPr/>
        <w:pict>
          <v:shape style="position:absolute;margin-left:491.528436pt;margin-top:1.408455pt;width:35.550pt;height:6.25pt;mso-position-horizontal-relative:page;mso-position-vertical-relative:paragraph;z-index:252282880;rotation:69" type="#_x0000_t136" fillcolor="#4d4d4d" stroked="f">
            <o:extrusion v:ext="view" autorotationcenter="t"/>
            <v:textpath style="font-family:&quot;Century Gothic&quot;;font-size:6pt;v-text-kern:t;mso-text-shadow:auto;font-weight:bold" string="Jadwin Ave"/>
            <w10:wrap type="none"/>
          </v:shape>
        </w:pict>
      </w:r>
      <w:r>
        <w:rPr/>
        <w:pict>
          <v:shape style="position:absolute;margin-left:475.089783pt;margin-top:-13.420427pt;width:10.050pt;height:33.35pt;mso-position-horizontal-relative:page;mso-position-vertical-relative:paragraph;z-index:252295168" type="#_x0000_t202" filled="false" stroked="false">
            <v:textbox inset="0,0,0,0" style="layout-flow:vertical;mso-layout-flow-alt:bottom-to-top">
              <w:txbxContent>
                <w:p>
                  <w:pPr>
                    <w:spacing w:before="22"/>
                    <w:ind w:left="20" w:right="0" w:firstLine="0"/>
                    <w:jc w:val="left"/>
                    <w:rPr>
                      <w:rFonts w:ascii="Century Gothic"/>
                      <w:b/>
                      <w:sz w:val="12"/>
                    </w:rPr>
                  </w:pPr>
                  <w:r>
                    <w:rPr>
                      <w:rFonts w:ascii="Century Gothic"/>
                      <w:b/>
                      <w:color w:val="4D4D4D"/>
                      <w:w w:val="105"/>
                      <w:sz w:val="12"/>
                    </w:rPr>
                    <w:t>Stevens </w:t>
                  </w:r>
                  <w:r>
                    <w:rPr>
                      <w:rFonts w:ascii="Century Gothic"/>
                      <w:b/>
                      <w:color w:val="4D4D4D"/>
                      <w:w w:val="105"/>
                      <w:position w:val="1"/>
                      <w:sz w:val="12"/>
                    </w:rPr>
                    <w:t>Dr</w:t>
                  </w:r>
                </w:p>
              </w:txbxContent>
            </v:textbox>
            <w10:wrap type="none"/>
          </v:shape>
        </w:pict>
      </w:r>
      <w:r>
        <w:rPr>
          <w:rFonts w:ascii="Century Gothic"/>
          <w:b/>
          <w:color w:val="4D4D4D"/>
          <w:w w:val="105"/>
          <w:sz w:val="12"/>
        </w:rPr>
        <w:t>Van Giesen St</w:t>
      </w:r>
    </w:p>
    <w:p>
      <w:pPr>
        <w:spacing w:after="0"/>
        <w:jc w:val="left"/>
        <w:rPr>
          <w:rFonts w:ascii="Century Gothic"/>
          <w:sz w:val="12"/>
        </w:rPr>
        <w:sectPr>
          <w:type w:val="continuous"/>
          <w:pgSz w:w="15840" w:h="24480"/>
          <w:pgMar w:top="1480" w:bottom="1320" w:left="0" w:right="0"/>
          <w:cols w:num="2" w:equalWidth="0">
            <w:col w:w="5184" w:space="40"/>
            <w:col w:w="10616"/>
          </w:cols>
        </w:sectPr>
      </w:pPr>
    </w:p>
    <w:p>
      <w:pPr>
        <w:pStyle w:val="BodyText"/>
        <w:rPr>
          <w:rFonts w:ascii="Century Gothic"/>
          <w:b/>
          <w:sz w:val="20"/>
        </w:rPr>
      </w:pPr>
    </w:p>
    <w:p>
      <w:pPr>
        <w:pStyle w:val="BodyText"/>
        <w:spacing w:before="11"/>
        <w:rPr>
          <w:rFonts w:ascii="Century Gothic"/>
          <w:b/>
          <w:sz w:val="15"/>
        </w:rPr>
      </w:pPr>
    </w:p>
    <w:p>
      <w:pPr>
        <w:spacing w:before="104"/>
        <w:ind w:left="3842" w:right="605" w:firstLine="0"/>
        <w:jc w:val="center"/>
        <w:rPr>
          <w:rFonts w:ascii="Century Gothic"/>
          <w:b/>
          <w:sz w:val="12"/>
        </w:rPr>
      </w:pPr>
      <w:r>
        <w:rPr/>
        <w:pict>
          <v:shape style="position:absolute;margin-left:430.924622pt;margin-top:-1.351005pt;width:10.1pt;height:35.1pt;mso-position-horizontal-relative:page;mso-position-vertical-relative:paragraph;z-index:252293120" type="#_x0000_t202" filled="false" stroked="false">
            <v:textbox inset="0,0,0,0" style="layout-flow:vertical;mso-layout-flow-alt:bottom-to-top">
              <w:txbxContent>
                <w:p>
                  <w:pPr>
                    <w:spacing w:before="23"/>
                    <w:ind w:left="20" w:right="0" w:firstLine="0"/>
                    <w:jc w:val="left"/>
                    <w:rPr>
                      <w:rFonts w:ascii="Century Gothic"/>
                      <w:b/>
                      <w:sz w:val="12"/>
                    </w:rPr>
                  </w:pPr>
                  <w:r>
                    <w:rPr>
                      <w:rFonts w:ascii="Century Gothic"/>
                      <w:b/>
                      <w:color w:val="4D4D4D"/>
                      <w:w w:val="105"/>
                      <w:sz w:val="12"/>
                    </w:rPr>
                    <w:t>Wright </w:t>
                  </w:r>
                  <w:r>
                    <w:rPr>
                      <w:rFonts w:ascii="Century Gothic"/>
                      <w:b/>
                      <w:color w:val="4D4D4D"/>
                      <w:w w:val="105"/>
                      <w:position w:val="1"/>
                      <w:sz w:val="12"/>
                    </w:rPr>
                    <w:t>Ave</w:t>
                  </w:r>
                </w:p>
              </w:txbxContent>
            </v:textbox>
            <w10:wrap type="none"/>
          </v:shape>
        </w:pict>
      </w:r>
      <w:r>
        <w:rPr>
          <w:rFonts w:ascii="Century Gothic"/>
          <w:b/>
          <w:color w:val="4D4D4D"/>
          <w:w w:val="105"/>
          <w:sz w:val="12"/>
        </w:rPr>
        <w:t>William</w:t>
      </w:r>
      <w:r>
        <w:rPr>
          <w:rFonts w:ascii="Century Gothic"/>
          <w:b/>
          <w:color w:val="4D4D4D"/>
          <w:w w:val="105"/>
          <w:position w:val="1"/>
          <w:sz w:val="12"/>
        </w:rPr>
        <w:t>s Blvd</w:t>
      </w:r>
    </w:p>
    <w:p>
      <w:pPr>
        <w:pStyle w:val="BodyText"/>
        <w:rPr>
          <w:rFonts w:ascii="Century Gothic"/>
          <w:b/>
          <w:sz w:val="20"/>
        </w:rPr>
      </w:pPr>
    </w:p>
    <w:p>
      <w:pPr>
        <w:pStyle w:val="BodyText"/>
        <w:spacing w:before="6"/>
        <w:rPr>
          <w:rFonts w:ascii="Century Gothic"/>
          <w:b/>
          <w:sz w:val="21"/>
        </w:rPr>
      </w:pPr>
    </w:p>
    <w:p>
      <w:pPr>
        <w:spacing w:before="0"/>
        <w:ind w:left="3842" w:right="2620" w:firstLine="0"/>
        <w:jc w:val="center"/>
        <w:rPr>
          <w:rFonts w:ascii="Century Gothic"/>
          <w:b/>
          <w:sz w:val="12"/>
        </w:rPr>
      </w:pPr>
      <w:r>
        <w:rPr/>
        <w:pict>
          <v:shape style="position:absolute;margin-left:401.146545pt;margin-top:-16.039232pt;width:10.1pt;height:40.35pt;mso-position-horizontal-relative:page;mso-position-vertical-relative:paragraph;z-index:252292096" type="#_x0000_t202" filled="false" stroked="false">
            <v:textbox inset="0,0,0,0" style="layout-flow:vertical;mso-layout-flow-alt:bottom-to-top">
              <w:txbxContent>
                <w:p>
                  <w:pPr>
                    <w:spacing w:before="24"/>
                    <w:ind w:left="20" w:right="0" w:firstLine="0"/>
                    <w:jc w:val="left"/>
                    <w:rPr>
                      <w:rFonts w:ascii="Century Gothic"/>
                      <w:b/>
                      <w:sz w:val="12"/>
                    </w:rPr>
                  </w:pPr>
                  <w:r>
                    <w:rPr>
                      <w:rFonts w:ascii="Century Gothic"/>
                      <w:b/>
                      <w:color w:val="4D4D4D"/>
                      <w:w w:val="105"/>
                      <w:sz w:val="12"/>
                    </w:rPr>
                    <w:t>By-pas</w:t>
                  </w:r>
                  <w:r>
                    <w:rPr>
                      <w:rFonts w:ascii="Century Gothic"/>
                      <w:b/>
                      <w:color w:val="4D4D4D"/>
                      <w:w w:val="105"/>
                      <w:position w:val="1"/>
                      <w:sz w:val="12"/>
                    </w:rPr>
                    <w:t>s Hwy</w:t>
                  </w:r>
                </w:p>
              </w:txbxContent>
            </v:textbox>
            <w10:wrap type="none"/>
          </v:shape>
        </w:pict>
      </w:r>
      <w:r>
        <w:rPr/>
        <w:pict>
          <v:shape style="position:absolute;margin-left:457.241974pt;margin-top:-11.847988pt;width:10pt;height:30.35pt;mso-position-horizontal-relative:page;mso-position-vertical-relative:paragraph;z-index:252294144" type="#_x0000_t202" filled="false" stroked="false">
            <v:textbox inset="0,0,0,0" style="layout-flow:vertical;mso-layout-flow-alt:bottom-to-top">
              <w:txbxContent>
                <w:p>
                  <w:pPr>
                    <w:spacing w:before="21"/>
                    <w:ind w:left="20" w:right="0" w:firstLine="0"/>
                    <w:jc w:val="left"/>
                    <w:rPr>
                      <w:rFonts w:ascii="Century Gothic"/>
                      <w:b/>
                      <w:sz w:val="12"/>
                    </w:rPr>
                  </w:pPr>
                  <w:r>
                    <w:rPr>
                      <w:rFonts w:ascii="Century Gothic"/>
                      <w:b/>
                      <w:color w:val="4D4D4D"/>
                      <w:w w:val="105"/>
                      <w:sz w:val="12"/>
                    </w:rPr>
                    <w:t>Thayer </w:t>
                  </w:r>
                  <w:r>
                    <w:rPr>
                      <w:rFonts w:ascii="Century Gothic"/>
                      <w:b/>
                      <w:color w:val="4D4D4D"/>
                      <w:w w:val="105"/>
                      <w:position w:val="1"/>
                      <w:sz w:val="12"/>
                    </w:rPr>
                    <w:t>Dr</w:t>
                  </w:r>
                </w:p>
              </w:txbxContent>
            </v:textbox>
            <w10:wrap type="none"/>
          </v:shape>
        </w:pict>
      </w:r>
      <w:r>
        <w:rPr/>
        <w:pict>
          <v:shape style="position:absolute;margin-left:499.223053pt;margin-top:14.022029pt;width:25.7pt;height:6.25pt;mso-position-horizontal-relative:page;mso-position-vertical-relative:paragraph;z-index:252317696;rotation:359" type="#_x0000_t136" fillcolor="#4d4d4d" stroked="f">
            <o:extrusion v:ext="view" autorotationcenter="t"/>
            <v:textpath style="font-family:&quot;Century Gothic&quot;;font-size:6pt;v-text-kern:t;mso-text-shadow:auto;font-weight:bold" string="Knight St"/>
            <w10:wrap type="none"/>
          </v:shape>
        </w:pict>
      </w:r>
      <w:r>
        <w:rPr>
          <w:rFonts w:ascii="Century Gothic"/>
          <w:b/>
          <w:color w:val="4D4D4D"/>
          <w:w w:val="105"/>
          <w:sz w:val="12"/>
        </w:rPr>
        <w:t>Swift B</w:t>
      </w:r>
      <w:r>
        <w:rPr>
          <w:rFonts w:ascii="Century Gothic"/>
          <w:b/>
          <w:color w:val="4D4D4D"/>
          <w:w w:val="105"/>
          <w:position w:val="1"/>
          <w:sz w:val="12"/>
        </w:rPr>
        <w:t>lvd</w:t>
      </w:r>
    </w:p>
    <w:p>
      <w:pPr>
        <w:pStyle w:val="BodyText"/>
        <w:spacing w:before="2"/>
        <w:rPr>
          <w:rFonts w:ascii="Century Gothic"/>
          <w:b/>
          <w:sz w:val="15"/>
        </w:rPr>
      </w:pPr>
    </w:p>
    <w:p>
      <w:pPr>
        <w:spacing w:before="109"/>
        <w:ind w:left="3842" w:right="393" w:firstLine="0"/>
        <w:jc w:val="center"/>
        <w:rPr>
          <w:rFonts w:ascii="Century Gothic"/>
          <w:b/>
          <w:sz w:val="12"/>
        </w:rPr>
      </w:pPr>
      <w:r>
        <w:rPr>
          <w:rFonts w:ascii="Century Gothic"/>
          <w:b/>
          <w:color w:val="4D4D4D"/>
          <w:w w:val="105"/>
          <w:sz w:val="12"/>
        </w:rPr>
        <w:t>Lee Blvd</w:t>
      </w:r>
    </w:p>
    <w:p>
      <w:pPr>
        <w:pStyle w:val="BodyText"/>
        <w:spacing w:before="1"/>
        <w:rPr>
          <w:rFonts w:ascii="Century Gothic"/>
          <w:b/>
          <w:sz w:val="26"/>
        </w:rPr>
      </w:pPr>
    </w:p>
    <w:p>
      <w:pPr>
        <w:spacing w:before="128"/>
        <w:ind w:left="0" w:right="2773" w:firstLine="0"/>
        <w:jc w:val="right"/>
        <w:rPr>
          <w:rFonts w:ascii="Arial" w:hAnsi="Arial"/>
          <w:b/>
          <w:sz w:val="11"/>
        </w:rPr>
      </w:pPr>
      <w:r>
        <w:rPr/>
        <w:pict>
          <v:shape style="position:absolute;margin-left:475.814514pt;margin-top:-8.113215pt;width:10.2pt;height:42pt;mso-position-horizontal-relative:page;mso-position-vertical-relative:paragraph;z-index:252296192" type="#_x0000_t202" filled="false" stroked="false">
            <v:textbox inset="0,0,0,0" style="layout-flow:vertical;mso-layout-flow-alt:bottom-to-top">
              <w:txbxContent>
                <w:p>
                  <w:pPr>
                    <w:spacing w:before="25"/>
                    <w:ind w:left="20" w:right="0" w:firstLine="0"/>
                    <w:jc w:val="left"/>
                    <w:rPr>
                      <w:rFonts w:ascii="Century Gothic"/>
                      <w:b/>
                      <w:sz w:val="12"/>
                    </w:rPr>
                  </w:pPr>
                  <w:r>
                    <w:rPr>
                      <w:rFonts w:ascii="Century Gothic"/>
                      <w:b/>
                      <w:color w:val="4D4D4D"/>
                      <w:w w:val="105"/>
                      <w:sz w:val="12"/>
                    </w:rPr>
                    <w:t>Wellsia</w:t>
                  </w:r>
                  <w:r>
                    <w:rPr>
                      <w:rFonts w:ascii="Century Gothic"/>
                      <w:b/>
                      <w:color w:val="4D4D4D"/>
                      <w:w w:val="105"/>
                      <w:position w:val="1"/>
                      <w:sz w:val="12"/>
                    </w:rPr>
                    <w:t>n Way</w:t>
                  </w:r>
                </w:p>
              </w:txbxContent>
            </v:textbox>
            <w10:wrap type="none"/>
          </v:shape>
        </w:pict>
      </w:r>
      <w:r>
        <w:rPr/>
        <w:pict>
          <v:shape style="position:absolute;margin-left:492.626038pt;margin-top:2.845638pt;width:10.15pt;height:37.7pt;mso-position-horizontal-relative:page;mso-position-vertical-relative:paragraph;z-index:252297216" type="#_x0000_t202" filled="false" stroked="false">
            <v:textbox inset="0,0,0,0" style="layout-flow:vertical;mso-layout-flow-alt:bottom-to-top">
              <w:txbxContent>
                <w:p>
                  <w:pPr>
                    <w:spacing w:before="24"/>
                    <w:ind w:left="20" w:right="0" w:firstLine="0"/>
                    <w:jc w:val="left"/>
                    <w:rPr>
                      <w:rFonts w:ascii="Century Gothic"/>
                      <w:b/>
                      <w:sz w:val="12"/>
                    </w:rPr>
                  </w:pPr>
                  <w:r>
                    <w:rPr>
                      <w:rFonts w:ascii="Century Gothic"/>
                      <w:b/>
                      <w:color w:val="4D4D4D"/>
                      <w:w w:val="105"/>
                      <w:sz w:val="12"/>
                    </w:rPr>
                    <w:t>Goeth</w:t>
                  </w:r>
                  <w:r>
                    <w:rPr>
                      <w:rFonts w:ascii="Century Gothic"/>
                      <w:b/>
                      <w:color w:val="4D4D4D"/>
                      <w:w w:val="105"/>
                      <w:position w:val="1"/>
                      <w:sz w:val="12"/>
                    </w:rPr>
                    <w:t>als Dr</w:t>
                  </w:r>
                </w:p>
              </w:txbxContent>
            </v:textbox>
            <w10:wrap type="none"/>
          </v:shape>
        </w:pict>
      </w:r>
      <w:r>
        <w:rPr/>
        <w:pict>
          <v:shape style="position:absolute;margin-left:403.845367pt;margin-top:15.366618pt;width:34.5pt;height:6.25pt;mso-position-horizontal-relative:page;mso-position-vertical-relative:paragraph;z-index:252311552;rotation:312" type="#_x0000_t136" fillcolor="#4d4d4d" stroked="f">
            <o:extrusion v:ext="view" autorotationcenter="t"/>
            <v:textpath style="font-family:&quot;Century Gothic&quot;;font-size:6pt;v-text-kern:t;mso-text-shadow:auto;font-weight:bold" string="Duportail St"/>
            <w10:wrap type="none"/>
          </v:shape>
        </w:pict>
      </w:r>
      <w:r>
        <w:rPr/>
        <w:pict>
          <v:shape style="position:absolute;margin-left:505.018616pt;margin-top:24.139479pt;width:38.2pt;height:6.25pt;mso-position-horizontal-relative:page;mso-position-vertical-relative:paragraph;z-index:252313600;rotation:354" type="#_x0000_t136" fillcolor="#4d4d4d" stroked="f">
            <o:extrusion v:ext="view" autorotationcenter="t"/>
            <v:textpath style="font-family:&quot;Century Gothic&quot;;font-size:6pt;v-text-kern:t;mso-text-shadow:auto;font-weight:bold" string="Comstock St"/>
            <w10:wrap type="none"/>
          </v:shape>
        </w:pict>
      </w:r>
      <w:r>
        <w:rPr>
          <w:rFonts w:ascii="Arial" w:hAnsi="Arial"/>
          <w:color w:val="FF0000"/>
          <w:spacing w:val="-262"/>
          <w:w w:val="127"/>
          <w:position w:val="-8"/>
          <w:sz w:val="37"/>
        </w:rPr>
        <w:t>§</w:t>
      </w:r>
      <w:r>
        <w:rPr>
          <w:rFonts w:ascii="Arial" w:hAnsi="Arial"/>
          <w:color w:val="0000FF"/>
          <w:spacing w:val="-262"/>
          <w:w w:val="212"/>
          <w:position w:val="-8"/>
          <w:sz w:val="37"/>
        </w:rPr>
        <w:t>¨</w:t>
      </w:r>
      <w:r>
        <w:rPr>
          <w:rFonts w:ascii="Arial" w:hAnsi="Arial"/>
          <w:spacing w:val="-224"/>
          <w:w w:val="272"/>
          <w:position w:val="-8"/>
          <w:sz w:val="37"/>
        </w:rPr>
        <w:t>¦</w:t>
      </w:r>
      <w:r>
        <w:rPr>
          <w:rFonts w:ascii="Arial" w:hAnsi="Arial"/>
          <w:b/>
          <w:color w:val="FFFFFF"/>
          <w:spacing w:val="-1"/>
          <w:w w:val="98"/>
          <w:sz w:val="11"/>
        </w:rPr>
        <w:t>18</w:t>
      </w:r>
      <w:r>
        <w:rPr>
          <w:rFonts w:ascii="Arial" w:hAnsi="Arial"/>
          <w:b/>
          <w:color w:val="FFFFFF"/>
          <w:w w:val="98"/>
          <w:sz w:val="11"/>
        </w:rPr>
        <w:t>2</w:t>
      </w:r>
    </w:p>
    <w:p>
      <w:pPr>
        <w:pStyle w:val="BodyText"/>
        <w:spacing w:before="5"/>
        <w:rPr>
          <w:rFonts w:ascii="Arial"/>
          <w:b/>
          <w:sz w:val="25"/>
        </w:rPr>
      </w:pPr>
    </w:p>
    <w:p>
      <w:pPr>
        <w:spacing w:before="102"/>
        <w:ind w:left="8599" w:right="3862" w:firstLine="0"/>
        <w:jc w:val="center"/>
        <w:rPr>
          <w:rFonts w:ascii="Century Gothic"/>
          <w:b/>
          <w:sz w:val="12"/>
        </w:rPr>
      </w:pPr>
      <w:r>
        <w:rPr/>
        <w:pict>
          <v:shape style="position:absolute;margin-left:341.269012pt;margin-top:20.359003pt;width:36.9pt;height:6.25pt;mso-position-horizontal-relative:page;mso-position-vertical-relative:paragraph;z-index:252270592;rotation:13" type="#_x0000_t136" fillcolor="#4d4d4d" stroked="f">
            <o:extrusion v:ext="view" autorotationcenter="t"/>
            <v:textpath style="font-family:&quot;Century Gothic&quot;;font-size:6pt;v-text-kern:t;mso-text-shadow:auto;font-weight:bold" string="Kennedy Rd"/>
            <w10:wrap type="none"/>
          </v:shape>
        </w:pict>
      </w:r>
      <w:r>
        <w:rPr/>
        <w:pict>
          <v:shape style="position:absolute;margin-left:406.018958pt;margin-top:40.839080pt;width:45.95pt;height:6.25pt;mso-position-horizontal-relative:page;mso-position-vertical-relative:paragraph;z-index:252280832;rotation:64" type="#_x0000_t136" fillcolor="#4d4d4d" stroked="f">
            <o:extrusion v:ext="view" autorotationcenter="t"/>
            <v:textpath style="font-family:&quot;Century Gothic&quot;;font-size:6pt;v-text-kern:t;mso-text-shadow:auto;font-weight:bold" string="Queensgate Dr"/>
            <w10:wrap type="none"/>
          </v:shape>
        </w:pict>
      </w:r>
      <w:r>
        <w:rPr/>
        <w:pict>
          <v:shape style="position:absolute;margin-left:494.010339pt;margin-top:79.338274pt;width:40.8pt;height:6.25pt;mso-position-horizontal-relative:page;mso-position-vertical-relative:paragraph;z-index:252281856;rotation:67" type="#_x0000_t136" fillcolor="#4d4d4d" stroked="f">
            <o:extrusion v:ext="view" autorotationcenter="t"/>
            <v:textpath style="font-family:&quot;Century Gothic&quot;;font-size:6pt;v-text-kern:t;mso-text-shadow:auto;font-weight:bold" string="Rockwood Dr"/>
            <w10:wrap type="none"/>
          </v:shape>
        </w:pict>
      </w:r>
      <w:r>
        <w:rPr>
          <w:rFonts w:ascii="Century Gothic"/>
          <w:b/>
          <w:color w:val="4D4D4D"/>
          <w:w w:val="105"/>
          <w:sz w:val="12"/>
        </w:rPr>
        <w:t>Aaron </w:t>
      </w:r>
      <w:r>
        <w:rPr>
          <w:rFonts w:ascii="Century Gothic"/>
          <w:b/>
          <w:color w:val="4D4D4D"/>
          <w:w w:val="105"/>
          <w:position w:val="1"/>
          <w:sz w:val="12"/>
        </w:rPr>
        <w:t>Dr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2"/>
        <w:rPr>
          <w:rFonts w:ascii="Century Gothic"/>
          <w:b/>
          <w:sz w:val="20"/>
        </w:rPr>
      </w:pPr>
    </w:p>
    <w:p>
      <w:pPr>
        <w:spacing w:after="0"/>
        <w:rPr>
          <w:rFonts w:ascii="Century Gothic"/>
          <w:sz w:val="20"/>
        </w:rPr>
        <w:sectPr>
          <w:type w:val="continuous"/>
          <w:pgSz w:w="15840" w:h="24480"/>
          <w:pgMar w:top="1480" w:bottom="1320" w:left="0" w:right="0"/>
        </w:sectPr>
      </w:pPr>
    </w:p>
    <w:p>
      <w:pPr>
        <w:spacing w:line="422" w:lineRule="exact" w:before="270"/>
        <w:ind w:left="0" w:right="0" w:firstLine="0"/>
        <w:jc w:val="right"/>
        <w:rPr>
          <w:rFonts w:ascii="Arial" w:hAnsi="Arial"/>
          <w:b/>
          <w:sz w:val="11"/>
        </w:rPr>
      </w:pPr>
      <w:r>
        <w:rPr/>
        <w:pict>
          <v:shape style="position:absolute;margin-left:315.190765pt;margin-top:-26.973555pt;width:9.85pt;height:32.6pt;mso-position-horizontal-relative:page;mso-position-vertical-relative:paragraph;z-index:252289024" type="#_x0000_t202" filled="false" stroked="false">
            <v:textbox inset="0,0,0,0" style="layout-flow:vertical;mso-layout-flow-alt:bottom-to-top">
              <w:txbxContent>
                <w:p>
                  <w:pPr>
                    <w:spacing w:before="29"/>
                    <w:ind w:left="20" w:right="0" w:firstLine="0"/>
                    <w:jc w:val="left"/>
                    <w:rPr>
                      <w:rFonts w:ascii="Century Gothic"/>
                      <w:b/>
                      <w:sz w:val="12"/>
                    </w:rPr>
                  </w:pPr>
                  <w:r>
                    <w:rPr>
                      <w:rFonts w:ascii="Century Gothic"/>
                      <w:b/>
                      <w:color w:val="4D4D4D"/>
                      <w:w w:val="105"/>
                      <w:sz w:val="12"/>
                    </w:rPr>
                    <w:t>Sirron Ave</w:t>
                  </w:r>
                </w:p>
              </w:txbxContent>
            </v:textbox>
            <w10:wrap type="none"/>
          </v:shape>
        </w:pict>
      </w:r>
      <w:r>
        <w:rPr/>
        <w:pict>
          <v:shape style="position:absolute;margin-left:319.036133pt;margin-top:-17.273331pt;width:35.75pt;height:6.25pt;mso-position-horizontal-relative:page;mso-position-vertical-relative:paragraph;z-index:252303360;rotation:273" type="#_x0000_t136" fillcolor="#4d4d4d" stroked="f">
            <o:extrusion v:ext="view" autorotationcenter="t"/>
            <v:textpath style="font-family:&quot;Century Gothic&quot;;font-size:6pt;v-text-kern:t;mso-text-shadow:auto;font-weight:bold" string="Tomich Ave"/>
            <w10:wrap type="none"/>
          </v:shape>
        </w:pict>
      </w:r>
      <w:r>
        <w:rPr/>
        <w:pict>
          <v:shape style="position:absolute;margin-left:352.136908pt;margin-top:-19.725432pt;width:34.450pt;height:6.25pt;mso-position-horizontal-relative:page;mso-position-vertical-relative:paragraph;z-index:252309504;rotation:311" type="#_x0000_t136" fillcolor="#4d4d4d" stroked="f">
            <o:extrusion v:ext="view" autorotationcenter="t"/>
            <v:textpath style="font-family:&quot;Century Gothic&quot;;font-size:6pt;v-text-kern:t;mso-text-shadow:auto;font-weight:bold" string="Duportail St"/>
            <w10:wrap type="none"/>
          </v:shape>
        </w:pict>
      </w:r>
      <w:r>
        <w:rPr>
          <w:rFonts w:ascii="Arial" w:hAnsi="Arial"/>
          <w:color w:val="FF0000"/>
          <w:spacing w:val="-262"/>
          <w:w w:val="127"/>
          <w:position w:val="-8"/>
          <w:sz w:val="37"/>
        </w:rPr>
        <w:t>§</w:t>
      </w:r>
      <w:r>
        <w:rPr>
          <w:rFonts w:ascii="Arial" w:hAnsi="Arial"/>
          <w:color w:val="0000FF"/>
          <w:spacing w:val="-262"/>
          <w:w w:val="212"/>
          <w:position w:val="-8"/>
          <w:sz w:val="37"/>
        </w:rPr>
        <w:t>¨</w:t>
      </w:r>
      <w:r>
        <w:rPr>
          <w:rFonts w:ascii="Arial" w:hAnsi="Arial"/>
          <w:spacing w:val="-224"/>
          <w:w w:val="272"/>
          <w:position w:val="-8"/>
          <w:sz w:val="37"/>
        </w:rPr>
        <w:t>¦</w:t>
      </w:r>
      <w:r>
        <w:rPr>
          <w:rFonts w:ascii="Arial" w:hAnsi="Arial"/>
          <w:b/>
          <w:color w:val="FFFFFF"/>
          <w:spacing w:val="-1"/>
          <w:w w:val="98"/>
          <w:sz w:val="11"/>
        </w:rPr>
        <w:t>18</w:t>
      </w:r>
      <w:r>
        <w:rPr>
          <w:rFonts w:ascii="Arial" w:hAnsi="Arial"/>
          <w:b/>
          <w:color w:val="FFFFFF"/>
          <w:w w:val="98"/>
          <w:sz w:val="11"/>
        </w:rPr>
        <w:t>2</w:t>
      </w:r>
    </w:p>
    <w:p>
      <w:pPr>
        <w:spacing w:before="62"/>
        <w:ind w:left="5542" w:right="3650" w:firstLine="0"/>
        <w:jc w:val="center"/>
        <w:rPr>
          <w:rFonts w:ascii="Arial"/>
          <w:b/>
          <w:sz w:val="12"/>
        </w:rPr>
      </w:pPr>
      <w:r>
        <w:rPr/>
        <w:br w:type="column"/>
      </w:r>
      <w:r>
        <w:rPr>
          <w:rFonts w:ascii="Arial Black"/>
          <w:spacing w:val="-269"/>
          <w:w w:val="108"/>
          <w:position w:val="-3"/>
          <w:sz w:val="32"/>
        </w:rPr>
        <w:t>V</w:t>
      </w:r>
      <w:r>
        <w:rPr>
          <w:rFonts w:ascii="Arial Black"/>
          <w:color w:val="FFFFFF"/>
          <w:spacing w:val="-237"/>
          <w:w w:val="100"/>
          <w:position w:val="-3"/>
          <w:sz w:val="32"/>
        </w:rPr>
        <w:t>U</w:t>
      </w:r>
      <w:r>
        <w:rPr>
          <w:rFonts w:ascii="Arial"/>
          <w:b/>
          <w:spacing w:val="1"/>
          <w:w w:val="103"/>
          <w:sz w:val="12"/>
        </w:rPr>
        <w:t>24</w:t>
      </w:r>
      <w:r>
        <w:rPr>
          <w:rFonts w:ascii="Arial"/>
          <w:b/>
          <w:w w:val="103"/>
          <w:sz w:val="12"/>
        </w:rPr>
        <w:t>0</w:t>
      </w:r>
    </w:p>
    <w:p>
      <w:pPr>
        <w:spacing w:after="0"/>
        <w:jc w:val="center"/>
        <w:rPr>
          <w:rFonts w:ascii="Arial"/>
          <w:sz w:val="12"/>
        </w:rPr>
        <w:sectPr>
          <w:type w:val="continuous"/>
          <w:pgSz w:w="15840" w:h="24480"/>
          <w:pgMar w:top="1480" w:bottom="1320" w:left="0" w:right="0"/>
          <w:cols w:num="2" w:equalWidth="0">
            <w:col w:w="6325" w:space="40"/>
            <w:col w:w="9475"/>
          </w:cols>
        </w:sectPr>
      </w:pPr>
    </w:p>
    <w:p>
      <w:pPr>
        <w:spacing w:before="4"/>
        <w:ind w:left="3842" w:right="2197" w:firstLine="0"/>
        <w:jc w:val="center"/>
        <w:rPr>
          <w:rFonts w:ascii="Century Gothic"/>
          <w:b/>
          <w:sz w:val="12"/>
        </w:rPr>
      </w:pPr>
      <w:r>
        <w:rPr/>
        <w:pict>
          <v:shape style="position:absolute;margin-left:588.242737pt;margin-top:9.283545pt;width:53.05pt;height:6.25pt;mso-position-horizontal-relative:page;mso-position-vertical-relative:paragraph;z-index:252271616;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525.479309pt;margin-top:2.428937pt;width:38.8pt;height:6.25pt;mso-position-horizontal-relative:page;mso-position-vertical-relative:paragraph;z-index:252273664;rotation:24" type="#_x0000_t136" fillcolor="#4d4d4d" stroked="f">
            <o:extrusion v:ext="view" autorotationcenter="t"/>
            <v:textpath style="font-family:&quot;Century Gothic&quot;;font-size:6pt;v-text-kern:t;mso-text-shadow:auto;font-weight:bold" string="Riverwood St"/>
            <w10:wrap type="none"/>
          </v:shape>
        </w:pict>
      </w:r>
      <w:r>
        <w:rPr/>
        <w:pict>
          <v:shape style="position:absolute;margin-left:464.662781pt;margin-top:14.206678pt;width:29.35pt;height:6.25pt;mso-position-horizontal-relative:page;mso-position-vertical-relative:paragraph;z-index:252276736;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453.858795pt;margin-top:15.467128pt;width:21pt;height:6.25pt;mso-position-horizontal-relative:page;mso-position-vertical-relative:paragraph;z-index:252277760;rotation:48" type="#_x0000_t136" fillcolor="#4d4d4d" stroked="f">
            <o:extrusion v:ext="view" autorotationcenter="t"/>
            <v:textpath style="font-family:&quot;Century Gothic&quot;;font-size:6pt;v-text-kern:t;mso-text-shadow:auto;font-weight:bold" string="Fuji Wy"/>
            <w10:wrap type="none"/>
          </v:shape>
        </w:pict>
      </w:r>
      <w:r>
        <w:rPr/>
        <w:pict>
          <v:shape style="position:absolute;margin-left:553.729004pt;margin-top:34.003321pt;width:38.25pt;height:6.25pt;mso-position-horizontal-relative:page;mso-position-vertical-relative:paragraph;z-index:252278784;rotation:59" type="#_x0000_t136" fillcolor="#4d4d4d" stroked="f">
            <o:extrusion v:ext="view" autorotationcenter="t"/>
            <v:textpath style="font-family:&quot;Century Gothic&quot;;font-size:6pt;v-text-kern:t;mso-text-shadow:auto;font-weight:bold" string="Canyon Ave"/>
            <w10:wrap type="none"/>
          </v:shape>
        </w:pict>
      </w:r>
      <w:r>
        <w:rPr/>
        <w:pict>
          <v:shape style="position:absolute;margin-left:621.439636pt;margin-top:36.65641pt;width:10.25pt;height:32.2pt;mso-position-horizontal-relative:page;mso-position-vertical-relative:paragraph;z-index:252299264" type="#_x0000_t202" filled="false" stroked="false">
            <v:textbox inset="0,0,0,0" style="layout-flow:vertical;mso-layout-flow-alt:bottom-to-top">
              <w:txbxContent>
                <w:p>
                  <w:pPr>
                    <w:spacing w:before="26"/>
                    <w:ind w:left="20" w:right="0" w:firstLine="0"/>
                    <w:jc w:val="left"/>
                    <w:rPr>
                      <w:rFonts w:ascii="Century Gothic"/>
                      <w:b/>
                      <w:sz w:val="12"/>
                    </w:rPr>
                  </w:pPr>
                  <w:r>
                    <w:rPr>
                      <w:rFonts w:ascii="Century Gothic"/>
                      <w:b/>
                      <w:color w:val="4D4D4D"/>
                      <w:w w:val="105"/>
                      <w:sz w:val="12"/>
                    </w:rPr>
                    <w:t>Step</w:t>
                  </w:r>
                  <w:r>
                    <w:rPr>
                      <w:rFonts w:ascii="Century Gothic"/>
                      <w:b/>
                      <w:color w:val="4D4D4D"/>
                      <w:w w:val="105"/>
                      <w:position w:val="1"/>
                      <w:sz w:val="12"/>
                    </w:rPr>
                    <w:t>toe St</w:t>
                  </w:r>
                </w:p>
              </w:txbxContent>
            </v:textbox>
            <w10:wrap type="none"/>
          </v:shape>
        </w:pict>
      </w:r>
      <w:r>
        <w:rPr/>
        <w:pict>
          <v:shape style="position:absolute;margin-left:517.70343pt;margin-top:41.41156pt;width:41.25pt;height:6.25pt;mso-position-horizontal-relative:page;mso-position-vertical-relative:paragraph;z-index:252308480;rotation:300" type="#_x0000_t136" fillcolor="#4d4d4d" stroked="f">
            <o:extrusion v:ext="view" autorotationcenter="t"/>
            <v:textpath style="font-family:&quot;Century Gothic&quot;;font-size:6pt;v-text-kern:t;mso-text-shadow:auto;font-weight:bold" string="Elementary St"/>
            <w10:wrap type="none"/>
          </v:shape>
        </w:pict>
      </w:r>
      <w:r>
        <w:rPr/>
        <w:pict>
          <v:shape style="position:absolute;margin-left:505.514832pt;margin-top:16.922165pt;width:42.2pt;height:6.25pt;mso-position-horizontal-relative:page;mso-position-vertical-relative:paragraph;z-index:252315648;rotation:358" type="#_x0000_t136" fillcolor="#4d4d4d" stroked="f">
            <o:extrusion v:ext="view" autorotationcenter="t"/>
            <v:textpath style="font-family:&quot;Century Gothic&quot;;font-size:6pt;v-text-kern:t;mso-text-shadow:auto;font-weight:bold" string="Englewood Dr"/>
            <w10:wrap type="none"/>
          </v:shape>
        </w:pict>
      </w:r>
      <w:r>
        <w:rPr>
          <w:rFonts w:ascii="Century Gothic"/>
          <w:b/>
          <w:color w:val="4D4D4D"/>
          <w:w w:val="105"/>
          <w:sz w:val="12"/>
        </w:rPr>
        <w:t>Shockle</w:t>
      </w:r>
      <w:r>
        <w:rPr>
          <w:rFonts w:ascii="Century Gothic"/>
          <w:b/>
          <w:color w:val="4D4D4D"/>
          <w:w w:val="105"/>
          <w:position w:val="1"/>
          <w:sz w:val="12"/>
        </w:rPr>
        <w:t>y Rd</w:t>
      </w:r>
    </w:p>
    <w:p>
      <w:pPr>
        <w:pStyle w:val="BodyText"/>
        <w:spacing w:before="4"/>
        <w:rPr>
          <w:rFonts w:ascii="Century Gothic"/>
          <w:b/>
          <w:sz w:val="25"/>
        </w:rPr>
      </w:pPr>
    </w:p>
    <w:p>
      <w:pPr>
        <w:spacing w:after="0"/>
        <w:rPr>
          <w:rFonts w:ascii="Century Gothic"/>
          <w:sz w:val="25"/>
        </w:rPr>
        <w:sectPr>
          <w:type w:val="continuous"/>
          <w:pgSz w:w="15840" w:h="24480"/>
          <w:pgMar w:top="1480" w:bottom="1320" w:left="0" w:right="0"/>
        </w:sectPr>
      </w:pPr>
    </w:p>
    <w:p>
      <w:pPr>
        <w:pStyle w:val="BodyText"/>
        <w:rPr>
          <w:rFonts w:ascii="Century Gothic"/>
          <w:b/>
        </w:rPr>
      </w:pPr>
      <w:r>
        <w:rPr/>
        <w:pict>
          <v:group style="position:absolute;margin-left:35.055271pt;margin-top:35.460236pt;width:721.85pt;height:1153.850pt;mso-position-horizontal-relative:page;mso-position-vertical-relative:page;z-index:-267770880" coordorigin="701,709" coordsize="14437,23077">
            <v:rect style="position:absolute;left:720;top:2880;width:14402;height:20881" filled="true" fillcolor="#e5e2cf" stroked="false">
              <v:fill type="solid"/>
            </v:rect>
            <v:shape style="position:absolute;left:717;top:3148;width:14412;height:20622" type="#_x0000_t75" stroked="false">
              <v:imagedata r:id="rId47" o:title=""/>
            </v:shape>
            <v:shape style="position:absolute;left:11943;top:19235;width:786;height:2994" coordorigin="11943,19235" coordsize="786,2994" path="m12636,19241l12620,19235,12625,19349,12625,19441,12604,19441,12268,19446,12263,19879,12263,19906,12263,20074,12263,20085,12620,20080,12614,21531,12723,21531,12728,21942,12365,22077,12003,22207,11943,22229e" filled="false" stroked="true" strokeweight="2.97767pt" strokecolor="#cccccc">
              <v:path arrowok="t"/>
              <v:stroke dashstyle="solid"/>
            </v:shape>
            <v:shape style="position:absolute;left:1621;top:5963;width:10352;height:17422" type="#_x0000_t75" stroked="false">
              <v:imagedata r:id="rId48" o:title=""/>
            </v:shape>
            <v:shape style="position:absolute;left:2235;top:6312;width:4830;height:1495" coordorigin="2236,6312" coordsize="4830,1495" path="m2236,6312l2588,6415,3335,6648,4033,6865,5057,7179,5446,7298,6172,7525,6448,7606,6827,7731,7065,7807e" filled="false" stroked="true" strokeweight="2.97767pt" strokecolor="#cccccc">
              <v:path arrowok="t"/>
              <v:stroke dashstyle="solid"/>
            </v:shape>
            <v:shape style="position:absolute;left:7035;top:6575;width:7845;height:13302" type="#_x0000_t75" stroked="false">
              <v:imagedata r:id="rId267" o:title=""/>
            </v:shape>
            <v:shape style="position:absolute;left:9531;top:20239;width:201;height:103" type="#_x0000_t75" stroked="false">
              <v:imagedata r:id="rId268" o:title=""/>
            </v:shape>
            <v:shape style="position:absolute;left:9463;top:20269;width:363;height:228" coordorigin="9464,20269" coordsize="363,228" path="m9561,20269l9464,20302,9464,20334,9469,20453,9550,20453,9713,20459,9713,20491,9767,20497,9799,20480,9826,20464e" filled="false" stroked="true" strokeweight="2.97767pt" strokecolor="#cccccc">
              <v:path arrowok="t"/>
              <v:stroke dashstyle="solid"/>
            </v:shape>
            <v:shape style="position:absolute;left:9672;top:20234;width:185;height:260" type="#_x0000_t75" stroked="false">
              <v:imagedata r:id="rId269" o:title=""/>
            </v:shape>
            <v:shape style="position:absolute;left:14842;top:21486;width:293;height:139" type="#_x0000_t75" stroked="false">
              <v:imagedata r:id="rId270" o:title=""/>
            </v:shape>
            <v:shape style="position:absolute;left:12814;top:21617;width:2036;height:233" coordorigin="12815,21617" coordsize="2036,233" path="m12815,21850l12842,21845,12869,21834,12885,21828,12907,21818,12939,21812,12950,21807,12956,21801,12966,21801,12983,21796,12993,21790,13010,21790,13021,21785,13031,21780,13042,21780,13058,21774,13080,21769,13096,21769,13102,21763,13113,21763,13140,21758,13167,21753,13178,21753,13199,21747,13237,21742,13264,21742,13280,21742,13335,21736,13356,21736,13372,21731,13475,21725,13524,21720,13562,21720,13751,21704,13946,21693,14103,21682,14320,21666,14499,21650,14612,21644,14721,21639,14737,21633,14758,21633,14775,21633,14791,21628,14807,21628,14818,21623,14850,21617e" filled="false" stroked="true" strokeweight=".81209pt" strokecolor="#897044">
              <v:path arrowok="t"/>
              <v:stroke dashstyle="solid"/>
            </v:shape>
            <v:line style="position:absolute" from="12945,21763" to="12966,21839" stroked="true" strokeweight=".2707pt" strokecolor="#897044">
              <v:stroke dashstyle="solid"/>
            </v:line>
            <v:line style="position:absolute" from="13251,21701" to="13251,21782" stroked="true" strokeweight=".541390pt" strokecolor="#897044">
              <v:stroke dashstyle="solid"/>
            </v:line>
            <v:line style="position:absolute" from="13548,21679" to="13548,21761" stroked="true" strokeweight=".541390pt" strokecolor="#897044">
              <v:stroke dashstyle="solid"/>
            </v:line>
            <v:shape style="position:absolute;left:13851;top:21614;width:596;height:125" coordorigin="13852,21615" coordsize="596,125" path="m13852,21658l13852,21739m14149,21636l14149,21717m14447,21615l14447,21696e" filled="false" stroked="true" strokeweight=".5414pt" strokecolor="#897044">
              <v:path arrowok="t"/>
              <v:stroke dashstyle="solid"/>
            </v:shape>
            <v:line style="position:absolute" from="14742,21596" to="14753,21671" stroked="true" strokeweight=".2707pt" strokecolor="#897044">
              <v:stroke dashstyle="solid"/>
            </v:line>
            <v:shape style="position:absolute;left:13345;top:21498;width:1782;height:239" coordorigin="13345,21498" coordsize="1782,239" path="m15127,21498l15089,21525,15067,21536,15051,21547,15029,21558,15007,21568,14980,21579,14959,21590,14937,21596,14915,21606,14894,21612,14872,21617,14856,21623,14818,21628,14796,21633,14780,21633,14764,21639,14742,21639,14726,21639,14704,21644,14683,21644,14661,21644,14628,21650,14553,21650,14444,21661,14390,21666,14309,21671,14217,21677,14011,21693,13935,21698,13827,21704,13432,21731,13400,21736,13389,21736,13383,21736,13372,21736,13345,21736e" filled="false" stroked="true" strokeweight=".81209pt" strokecolor="#897044">
              <v:path arrowok="t"/>
              <v:stroke dashstyle="solid"/>
            </v:shape>
            <v:shape style="position:absolute;left:14861;top:21454;width:266;height:201" coordorigin="14861,21455" coordsize="266,201" path="m15127,21469l15116,21455m14883,21655l14861,21579e" filled="false" stroked="true" strokeweight=".2707pt" strokecolor="#897044">
              <v:path arrowok="t"/>
              <v:stroke dashstyle="solid"/>
            </v:shape>
            <v:line style="position:absolute" from="14572,21609" to="14572,21696" stroked="true" strokeweight=".5414pt" strokecolor="#897044">
              <v:stroke dashstyle="solid"/>
            </v:line>
            <v:line style="position:absolute" from="14274,21631" to="14274,21717" stroked="true" strokeweight=".5414pt" strokecolor="#897044">
              <v:stroke dashstyle="solid"/>
            </v:line>
            <v:line style="position:absolute" from="13976,21652" to="13976,21734" stroked="true" strokeweight=".5414pt" strokecolor="#897044">
              <v:stroke dashstyle="solid"/>
            </v:line>
            <v:line style="position:absolute" from="13678,21674" to="13678,21755" stroked="true" strokeweight=".541390pt" strokecolor="#897044">
              <v:stroke dashstyle="solid"/>
            </v:line>
            <v:line style="position:absolute" from="13378,21774" to="13378,21693" stroked="true" strokeweight=".2707pt" strokecolor="#897044">
              <v:stroke dashstyle="solid"/>
            </v:line>
            <v:shape style="position:absolute;left:10756;top:23457;width:170;height:309" coordorigin="10756,23458" coordsize="170,309" path="m10756,23766l10817,23658,10925,23458e" filled="false" stroked="true" strokeweight=".81209pt" strokecolor="#897044">
              <v:path arrowok="t"/>
              <v:stroke dashstyle="solid"/>
            </v:shape>
            <v:line style="position:absolute" from="10833,23545" to="10904,23582" stroked="true" strokeweight=".2707pt" strokecolor="#897044">
              <v:stroke dashstyle="solid"/>
            </v:line>
            <v:shape style="position:absolute;left:9555;top:4146;width:87;height:3682" coordorigin="9556,4147" coordsize="87,3682" path="m9642,7828l9637,7823,9631,7753,9610,7460,9604,7346,9594,7227,9594,7103,9588,7016,9588,6924,9588,6740,9583,6377,9577,6015,9572,5652,9566,5306,9556,4147e" filled="false" stroked="true" strokeweight=".81209pt" strokecolor="#897044">
              <v:path arrowok="t"/>
              <v:stroke dashstyle="solid"/>
            </v:shape>
            <v:shape style="position:absolute;left:9517;top:4379;width:87;height:899" coordorigin="9518,4380" coordsize="87,899" path="m9523,5278l9604,5278m9523,4981l9604,4981m9518,4683l9599,4683m9518,4380l9599,4380e" filled="false" stroked="true" strokeweight=".2707pt" strokecolor="#897044">
              <v:path arrowok="t"/>
              <v:stroke dashstyle="solid"/>
            </v:shape>
            <v:shape style="position:absolute;left:717;top:2877;width:14418;height:20895" type="#_x0000_t75" stroked="false">
              <v:imagedata r:id="rId271" o:title=""/>
            </v:shape>
            <v:shape style="position:absolute;left:11943;top:19235;width:786;height:2994" coordorigin="11943,19235" coordsize="786,2994" path="m12636,19241l12620,19235,12625,19349,12625,19441,12604,19441,12268,19446,12263,19879,12263,19906,12263,20074,12263,20085,12620,20080,12614,21531,12723,21531,12728,21942,12365,22077,12003,22207,11943,22229e" filled="false" stroked="true" strokeweight="1.89488pt" strokecolor="#000000">
              <v:path arrowok="t"/>
              <v:stroke dashstyle="solid"/>
            </v:shape>
            <v:shape style="position:absolute;left:1632;top:5974;width:10330;height:17400" type="#_x0000_t75" stroked="false">
              <v:imagedata r:id="rId50" o:title=""/>
            </v:shape>
            <v:shape style="position:absolute;left:2235;top:6312;width:7591;height:14185" coordorigin="2236,6312" coordsize="7591,14185" path="m2236,6312l2588,6415,3335,6648,4033,6865,5057,7179,5446,7298,6172,7525,6448,7606,6827,7731,7065,7807m9702,20269l9621,20312m9621,20312l9615,20312,9610,20307m9610,20307l9604,20291m9604,20291l9599,20285,9594,20280,9588,20275,9583,20275,9577,20269,9572,20269,9566,20269,9561,20269m9561,20269l9464,20302,9464,20334,9469,20453,9550,20453,9713,20459,9713,20491,9767,20497,9799,20480,9826,20464e" filled="false" stroked="true" strokeweight="1.89488pt" strokecolor="#000000">
              <v:path arrowok="t"/>
              <v:stroke dashstyle="solid"/>
            </v:shape>
            <v:shape style="position:absolute;left:9682;top:20244;width:163;height:239" type="#_x0000_t75" stroked="false">
              <v:imagedata r:id="rId51" o:title=""/>
            </v:shape>
            <v:shape style="position:absolute;left:706;top:6585;width:14431;height:17200" type="#_x0000_t75" stroked="false">
              <v:imagedata r:id="rId52" o:title=""/>
            </v:shape>
            <v:shape style="position:absolute;left:720;top:16761;width:4510;height:3850" coordorigin="720,16761" coordsize="4510,3850" path="m5230,20610l5181,20502,5078,20231,5024,20074,4526,18683,4391,18407,4266,18228,4093,18044,2891,17183m2891,17183l2886,17178,2880,17173,2875,17173,2869,17167,2864,17162,2859,17162,2853,17156,2848,17151,2842,17145,2837,17145,2831,17140,2826,17135,2821,17135,2815,17129,2810,17124,2804,17124,2799,17118,2794,17118,2788,17113,2783,17108,2777,17108,2772,17102,2767,17097,2761,17097,2756,17091,2750,17091,2745,17086,2739,17080,2734,17080,2729,17075,2723,17075,2718,17070,2712,17064,2707,17064,2702,17059,2696,17059,2691,17053,2685,17053,2680,17048,2674,17043,2669,17043,2664,17037,2658,17037,2653,17032,2647,17032,2642,17026,2637,17026,2631,17021,2626,17021,2620,17016,2615,17010,2610,17010,2604,17005,2599,17005,2593,16999,2588,16999,2582,16994,2577,16994,2572,16988,2566,16988,2561,16983,2555,16983,2550,16983,2545,16978,2539,16978,2534,16972,2528,16972,2523,16967,2517,16967,2512,16961,2507,16961,2501,16956,2496,16956,2490,16951,2485,16951,2480,16951,2474,16945,2469,16945,2463,16940,2458,16940,2453,16934,2447,16934,2442,16934,2436,16929,2431,16929,2425,16923,2420,16923,2415,16923,2409,16918,2404,16918,2398,16913,2393,16913,2388,16913,2382,16907,2377,16907,2371,16902,2366,16902,2360,16902,2355,16896,2350,16896,2344,16896,2339,16891,2333,16891,2328,16891,2323,16886,2317,16886,2312,16886,2306,16880,2301,16880,2296,16880,2290,16875,2285,16875,2279,16875,2274,16869,2268,16869,2263,16869,2258,16864,2252,16864,2247,16864,2241,16859,2236,16859,2231,16859,2225,16853,2220,16853,2214,16853,2209,16853,2203,16848,2198,16848,2193,16848,2187,16842,2182,16842,2176,16842,2171,16842,2166,16837,2160,16837,2155,16837,2149,16831,2144,16831,2139,16831,2133,16831,2128,16826,2122,16826,2117,16826,2111,16826,2106,16821,2101,16821,2095,16821,2090,16821,2084,16821,2079,16815,2074,16815,2068,16815,2063,16815,2057,16810,2052,16810,2046,16810,2041,16810,2036,16810,2030,16804,2025,16804,2019,16804,2014,16804,2009,16804,2003,16799,1998,16799,1992,16799,1987,16799,1982,16799,1976,16794,1971,16794,1965,16794,1960,16794,1954,16794,1949,16794,1944,16788,1938,16788,1933,16788,1927,16788,1922,16788,1917,16788,1911,16788,1906,16783,1900,16783,1895,16783,1889,16783,1884,16783,1879,16783,1873,16783,1868,16777,1862,16777,1857,16777,1852,16777,1846,16777,1841,16777,1835,16777,1830,16777,1824,16772,1819,16772,1814,16772,1808,16772,1803,16772,1797,16772,1792,16772,1787,16772,1781,16772,1776,16772,1770,16766,1765,16766,1760,16766,1754,16766,1749,16766,1743,16766,1738,16766,1732,16766,1727,16766,1722,16766,1716,16766,1711,16766,1705,16766,1700,16766,1695,16766,1689,16761,1684,16761,1678,16761,1673,16761,1667,16761,1662,16761,1657,16761,1651,16761,1646,16761,1640,16761,1635,16761,1630,16761,1624,16761,1619,16761,1613,16761,1608,16761,1603,16761,1597,16761,1592,16761,1586,16761,1581,16761,1575,16761,1570,16761,1565,16761,1559,16761,1554,16761,1548,16761,1543,16761,1538,16761,1532,16761,1527,16761,1521,16761,1516,16761,1510,16761,1505,16761,1500,16761,1494,16761,1489,16761,1483,16761,1478,16761,1473,16761,1467,16766,1462,16766,1456,16766,1451,16766,1446,16766,1440,16766,1435,16766,1429,16766,1424,16766,1418,16766,1413,16766,1408,16766,1402,16766,1397,16766,1391,16766,1386,16772,1381,16772,1375,16772,1370,16772,1364,16772,1359,16772,1353,16772,1348,16772,1343,16772,1337,16772,1332,16777,1326,16777,1321,16777,1316,16777,1310,16777,1305,16777,1299,16777,1294,16777,1289,16783,1283,16783,1278,16783,1272,16783,1267,16783m1267,16783l720,16893e" filled="false" stroked="true" strokeweight="1.89488pt" strokecolor="#005be5">
              <v:path arrowok="t"/>
              <v:stroke dashstyle="solid"/>
            </v:shape>
            <v:shape style="position:absolute;left:1708;top:5995;width:13156;height:17211" type="#_x0000_t75" stroked="false">
              <v:imagedata r:id="rId272" o:title=""/>
            </v:shape>
            <v:shape style="position:absolute;left:720;top:2880;width:14402;height:20881" coordorigin="720,2880" coordsize="14402,20881" path="m720,13318l720,2880,15121,2880,15121,23761,720,23761,720,13318e" filled="false" stroked="true" strokeweight="1.082790pt" strokecolor="#000000">
              <v:path arrowok="t"/>
              <v:stroke dashstyle="solid"/>
            </v:shape>
            <v:shape style="position:absolute;left:871;top:19148;width:3563;height:4526" coordorigin="872,19149" coordsize="3563,4526" path="m4207,23669l1099,23669,1104,23674,4201,23674,4207,23669xm4239,23664l1072,23664,1077,23669,4234,23669,4239,23664xm4255,23658l1050,23658,1056,23664,4250,23664,4255,23658xm4272,23653l1039,23653,1045,23658,4266,23658,4272,23653xm4282,23647l1023,23647,1029,23653,4277,23653,4282,23647xm4293,23642l1012,23642,1018,23647,4288,23647,4293,23642xm4326,23620l980,23620,991,23631,996,23631,1007,23642,4299,23642,4304,23637,4309,23637,4326,23620xm4315,19192l991,19192,975,19208,969,19208,931,19246,931,19251,915,19268,915,19273,904,19284,904,19289,899,19295,899,19300,893,19306,893,19316,888,19322,888,19327,882,19333,882,19349,877,19354,877,19376,872,19381,872,23442,877,23447,877,23469,882,23474,882,23490,888,23496,888,23507,893,23512,893,23517,899,23523,899,23528,904,23534,904,23539,915,23550,915,23555,926,23566,926,23572,975,23620,4331,23620,4380,23572,4380,23566,4396,23550,4396,23545,4402,23539,4402,23534,4407,23528,4407,23523,4412,23517,4412,23512,4418,23507,4418,23496,4423,23490,4423,23480,4429,23474,4429,23447,4434,23442,4434,19381,4429,19376,4429,19354,4423,19349,4423,19333,4418,19327,4418,19322,4412,19316,4412,19306,4407,19300,4407,19295,4402,19289,4402,19284,4391,19273,4391,19268,4380,19257,4380,19251,4331,19203,4326,19203,4315,19192xm4299,19181l1007,19181,996,19192,4309,19192,4299,19181xm4288,19176l1018,19176,1012,19181,4293,19181,4288,19176xm4277,19170l1029,19170,1023,19176,4282,19176,4277,19170xm4266,19165l1045,19165,1039,19170,4272,19170,4266,19165xm4250,19159l1056,19159,1050,19165,4255,19165,4250,19159xm4228,19154l1077,19154,1072,19159,4234,19159,4228,19154xm4201,19149l1104,19149,1099,19154,4207,19154,4201,19149xe" filled="true" fillcolor="#ffffff" stroked="false">
              <v:path arrowok="t"/>
              <v:fill type="solid"/>
            </v:shape>
            <v:rect style="position:absolute;left:1071;top:19348;width:482;height:239" filled="false" stroked="true" strokeweight="1.89488pt" strokecolor="#000000">
              <v:stroke dashstyle="solid"/>
            </v:rect>
            <v:line style="position:absolute" from="1072,20118" to="1554,20118" stroked="true" strokeweight="1.89488pt" strokecolor="#005be5">
              <v:stroke dashstyle="solid"/>
            </v:line>
            <v:line style="position:absolute" from="1072,20437" to="1554,20437" stroked="true" strokeweight="1.89488pt" strokecolor="#897044">
              <v:stroke dashstyle="solid"/>
            </v:line>
            <v:line style="position:absolute" from="1072,20762" to="1554,20762" stroked="true" strokeweight="1.89488pt" strokecolor="#ff0000">
              <v:stroke dashstyle="solid"/>
            </v:line>
            <v:line style="position:absolute" from="1072,21087" to="1554,21087" stroked="true" strokeweight="1.89488pt" strokecolor="#38a700">
              <v:stroke dashstyle="solid"/>
            </v:line>
            <v:line style="position:absolute" from="1072,21411" to="1554,21411" stroked="true" strokeweight="1.89488pt" strokecolor="#c500ff">
              <v:stroke dashstyle="solid"/>
            </v:line>
            <v:line style="position:absolute" from="1072,21736" to="1554,21736" stroked="true" strokeweight="1.89488pt" strokecolor="#ffaa00">
              <v:stroke dashstyle="solid"/>
            </v:line>
            <v:line style="position:absolute" from="1072,22061" to="1554,22061" stroked="true" strokeweight="1.082790pt" strokecolor="#818181">
              <v:stroke dashstyle="solid"/>
            </v:line>
            <v:shape style="position:absolute;left:1071;top:22385;width:439;height:2" coordorigin="1072,22386" coordsize="439,0" path="m1072,22386l1110,22386m1110,22386l1153,22386m1153,22386l1191,22386m1191,22386l1234,22386m1234,22386l1272,22386m1272,22386l1310,22386m1310,22386l1353,22386m1353,22386l1391,22386m1391,22386l1435,22386m1435,22386l1473,22386m1473,22386l1510,22386e" filled="false" stroked="true" strokeweight="1.89488pt" strokecolor="#ffffff">
              <v:path arrowok="t"/>
              <v:stroke dashstyle="solid"/>
            </v:shape>
            <v:rect style="position:absolute;left:1510;top:22367;width:44;height:38" filled="true" fillcolor="#ffffff" stroked="false">
              <v:fill type="solid"/>
            </v:rect>
            <v:line style="position:absolute" from="1554,22386" to="1554,22386" stroked="true" strokeweight="1.89488pt" strokecolor="#ffffff">
              <v:stroke dashstyle="solid"/>
            </v:line>
            <v:shape style="position:absolute;left:1071;top:22385;width:342;height:2" coordorigin="1072,22386" coordsize="342,0" path="m1072,22386l1191,22386m1294,22386l1413,22386e" filled="false" stroked="true" strokeweight="1.89488pt" strokecolor="#38a700">
              <v:path arrowok="t"/>
              <v:stroke dashstyle="solid"/>
            </v:shape>
            <v:rect style="position:absolute;left:1510;top:22367;width:44;height:38" filled="true" fillcolor="#38a700" stroked="false">
              <v:fill type="solid"/>
            </v:rect>
            <v:shape style="position:absolute;left:1071;top:22710;width:482;height:2" coordorigin="1072,22711" coordsize="482,0" path="m1072,22711l1191,22711m1294,22711l1413,22711m1510,22711l1554,22711e" filled="false" stroked="true" strokeweight="1.89488pt" strokecolor="#c500ff">
              <v:path arrowok="t"/>
              <v:stroke dashstyle="solid"/>
            </v:shape>
            <v:shape style="position:absolute;left:1071;top:23035;width:482;height:2" coordorigin="1072,23036" coordsize="482,0" path="m1072,23036l1191,23036m1294,23036l1413,23036m1510,23036l1554,23036e" filled="false" stroked="true" strokeweight="1.89488pt" strokecolor="#ffaa00">
              <v:path arrowok="t"/>
              <v:stroke dashstyle="solid"/>
            </v:shape>
            <v:line style="position:absolute" from="1072,23355" to="1554,23355" stroked="true" strokeweight="1.082790pt" strokecolor="#005be5">
              <v:stroke dashstyle="shortdot"/>
            </v:line>
            <v:line style="position:absolute" from="4169,23674" to="1137,23674" stroked="true" strokeweight="1.082790pt" strokecolor="#000000">
              <v:stroke dashstyle="solid"/>
            </v:line>
            <v:shape style="position:absolute;left:860;top:23398;width:287;height:287" type="#_x0000_t75" stroked="false">
              <v:imagedata r:id="rId54" o:title=""/>
            </v:shape>
            <v:line style="position:absolute" from="872,23409" to="872,19414" stroked="true" strokeweight="1.082790pt" strokecolor="#000000">
              <v:stroke dashstyle="solid"/>
            </v:line>
            <v:shape style="position:absolute;left:860;top:19137;width:287;height:287" type="#_x0000_t75" stroked="false">
              <v:imagedata r:id="rId273" o:title=""/>
            </v:shape>
            <v:line style="position:absolute" from="1137,19149" to="4169,19149" stroked="true" strokeweight="1.082790pt" strokecolor="#000000">
              <v:stroke dashstyle="solid"/>
            </v:line>
            <v:shape style="position:absolute;left:4157;top:19137;width:287;height:287" type="#_x0000_t75" stroked="false">
              <v:imagedata r:id="rId274" o:title=""/>
            </v:shape>
            <v:line style="position:absolute" from="4434,19414" to="4434,23409" stroked="true" strokeweight="1.082790pt" strokecolor="#000000">
              <v:stroke dashstyle="solid"/>
            </v:line>
            <v:shape style="position:absolute;left:4157;top:23398;width:287;height:287" type="#_x0000_t75" stroked="false">
              <v:imagedata r:id="rId275" o:title=""/>
            </v:shape>
            <v:rect style="position:absolute;left:720;top:720;width:14402;height:2161" filled="false" stroked="true" strokeweight="1.082790pt" strokecolor="#000000">
              <v:stroke dashstyle="solid"/>
            </v:rect>
            <v:shape style="position:absolute;left:14541;top:947;width:342;height:1706" coordorigin="14542,947" coordsize="342,1706" path="m14714,2000l14709,2000,14709,2595,14712,2595,14712,2598,14780,2653,14780,2135,14714,2074,14714,2000xm14883,1658l14598,1658,14576,1662,14558,1674,14546,1692,14542,1714,14542,2000,14827,2000,14848,1995,14866,1983,14878,1965,14882,1949,14709,1949,14689,1947,14670,1942,14651,1933,14634,1921,14622,1909,14634,1898,14612,1898,14596,1860,14592,1819,14592,1818,14602,1780,14627,1745,14645,1730,14666,1719,14687,1713,14709,1710,14883,1710,14883,1658xm14883,1740l14793,1740,14803,1752,14825,1791,14832,1834,14822,1877,14796,1914,14778,1929,14758,1940,14736,1947,14714,1949,14882,1949,14883,1944,14883,1740xm14712,1911l14711,1911,14711,1913,14709,1913,14703,1916,14694,1919,14688,1923,14683,1924,14676,1924,14671,1926,14683,1931,14696,1934,14727,1934,14732,1932,14714,1914,14712,1911xm14753,1881l14744,1890,14735,1896,14725,1903,14750,1928,14760,1923,14771,1918,14780,1909,14753,1881xm14678,1877l14647,1908,14655,1913,14668,1913,14688,1906,14701,1900,14678,1877xm14714,1729l14709,1729,14671,1738,14640,1760,14618,1792,14611,1829,14611,1834,14612,1845,14614,1859,14619,1872,14625,1885,14612,1898,14634,1898,14663,1868,14642,1868,14635,1857,14632,1844,14632,1829,14634,1815,14638,1800,14646,1786,14657,1773,14668,1763,14681,1756,14695,1752,14709,1750,14783,1750,14789,1743,14766,1743,14755,1738,14742,1733,14728,1730,14714,1729xm14786,1842l14780,1852,14771,1862,14763,1870,14791,1898,14799,1888,14806,1877,14809,1867,14786,1842xm14712,1842l14688,1867,14709,1886,14714,1891,14724,1886,14732,1878,14742,1870,14714,1844,14712,1842xm14722,1770l14709,1770,14698,1771,14688,1774,14679,1780,14670,1788,14661,1797,14656,1808,14653,1819,14652,1829,14652,1839,14653,1847,14655,1854,14642,1868,14663,1868,14714,1817,14759,1773,14735,1773,14722,1770xm14748,1806l14724,1830,14753,1860,14762,1850,14775,1830,14748,1806xm14807,1789l14807,1794,14806,1799,14804,1806,14801,1812,14794,1829,14814,1849,14815,1834,14815,1829,14815,1818,14812,1803,14807,1789xm14791,1765l14760,1794,14783,1817,14785,1811,14788,1806,14794,1786,14794,1773,14791,1765xm14783,1750l14727,1750,14739,1753,14750,1758,14735,1773,14759,1773,14783,1750xm14883,1710l14714,1710,14731,1712,14748,1716,14764,1723,14778,1732,14766,1743,14789,1743,14793,1740,14883,1740,14883,1710xm14714,947l14644,1523,14709,1585,14709,1658,14714,1658,14714,947xe" filled="true" fillcolor="#335f93" stroked="false">
              <v:path arrowok="t"/>
              <v:fill type="solid"/>
            </v:shape>
            <v:shape style="position:absolute;left:14592;top:1710;width:186;height:188" type="#_x0000_t75" stroked="false">
              <v:imagedata r:id="rId58" o:title=""/>
            </v:shape>
            <w10:wrap type="none"/>
          </v:group>
        </w:pict>
      </w:r>
    </w:p>
    <w:p>
      <w:pPr>
        <w:spacing w:line="357" w:lineRule="auto" w:before="144"/>
        <w:ind w:left="1640" w:right="882" w:firstLine="0"/>
        <w:jc w:val="both"/>
        <w:rPr>
          <w:rFonts w:ascii="Arial"/>
          <w:sz w:val="19"/>
        </w:rPr>
      </w:pPr>
      <w:r>
        <w:rPr/>
        <w:pict>
          <v:shape style="position:absolute;margin-left:53.598019pt;margin-top:22.607416pt;width:24.1pt;height:11.95pt;mso-position-horizontal-relative:page;mso-position-vertical-relative:paragraph;z-index:252267520" type="#_x0000_t202" filled="true" fillcolor="#cccccc" stroked="true" strokeweight="1.89488pt" strokecolor="#000000">
            <v:textbox inset="0,0,0,0">
              <w:txbxContent>
                <w:p>
                  <w:pPr>
                    <w:spacing w:line="200" w:lineRule="exact" w:before="0"/>
                    <w:ind w:left="105" w:right="0" w:firstLine="0"/>
                    <w:jc w:val="left"/>
                    <w:rPr>
                      <w:rFonts w:ascii="Arial"/>
                      <w:sz w:val="19"/>
                    </w:rPr>
                  </w:pPr>
                  <w:r>
                    <w:rPr>
                      <w:rFonts w:ascii="Arial"/>
                      <w:w w:val="102"/>
                      <w:sz w:val="19"/>
                      <w:u w:val="thick"/>
                    </w:rPr>
                    <w:t> </w:t>
                  </w:r>
                  <w:r>
                    <w:rPr>
                      <w:rFonts w:ascii="Arial"/>
                      <w:spacing w:val="12"/>
                      <w:sz w:val="19"/>
                      <w:u w:val="thick"/>
                    </w:rPr>
                    <w:t> </w:t>
                  </w:r>
                </w:p>
              </w:txbxContent>
            </v:textbox>
            <v:fill type="solid"/>
            <v:stroke dashstyle="solid"/>
            <w10:wrap type="none"/>
          </v:shape>
        </w:pict>
      </w:r>
      <w:r>
        <w:rPr>
          <w:rFonts w:ascii="Arial"/>
          <w:w w:val="105"/>
          <w:sz w:val="19"/>
        </w:rPr>
        <w:t>Richland City Limits Urban Growth Area Interstate</w:t>
      </w:r>
    </w:p>
    <w:p>
      <w:pPr>
        <w:spacing w:line="357" w:lineRule="auto" w:before="0"/>
        <w:ind w:left="1640" w:right="0" w:firstLine="0"/>
        <w:jc w:val="left"/>
        <w:rPr>
          <w:rFonts w:ascii="Arial"/>
          <w:sz w:val="19"/>
        </w:rPr>
      </w:pPr>
      <w:r>
        <w:rPr>
          <w:rFonts w:ascii="Arial"/>
          <w:w w:val="105"/>
          <w:sz w:val="19"/>
        </w:rPr>
        <w:t>Other Freeway - Expressway Principal Arterial</w:t>
      </w:r>
    </w:p>
    <w:p>
      <w:pPr>
        <w:spacing w:line="357" w:lineRule="auto" w:before="0"/>
        <w:ind w:left="1640" w:right="1272" w:firstLine="0"/>
        <w:jc w:val="left"/>
        <w:rPr>
          <w:rFonts w:ascii="Arial"/>
          <w:sz w:val="19"/>
        </w:rPr>
      </w:pPr>
      <w:r>
        <w:rPr>
          <w:rFonts w:ascii="Arial"/>
          <w:w w:val="105"/>
          <w:sz w:val="19"/>
        </w:rPr>
        <w:t>Minor Arterial Major Collector Minor Collector Local Streets</w:t>
      </w:r>
    </w:p>
    <w:p>
      <w:pPr>
        <w:spacing w:line="357" w:lineRule="auto" w:before="0"/>
        <w:ind w:left="1640" w:right="507" w:firstLine="0"/>
        <w:jc w:val="left"/>
        <w:rPr>
          <w:rFonts w:ascii="Arial"/>
          <w:sz w:val="19"/>
        </w:rPr>
      </w:pPr>
      <w:r>
        <w:rPr>
          <w:rFonts w:ascii="Arial"/>
          <w:w w:val="105"/>
          <w:sz w:val="19"/>
        </w:rPr>
        <w:t>Future Minor Arterial Future Arterial Collector Future Minor Collector</w:t>
      </w:r>
    </w:p>
    <w:p>
      <w:pPr>
        <w:tabs>
          <w:tab w:pos="1640" w:val="left" w:leader="none"/>
        </w:tabs>
        <w:spacing w:line="211" w:lineRule="exact" w:before="0"/>
        <w:ind w:left="1071" w:right="0" w:firstLine="0"/>
        <w:jc w:val="left"/>
        <w:rPr>
          <w:rFonts w:ascii="Arial"/>
          <w:sz w:val="19"/>
        </w:rPr>
      </w:pPr>
      <w:r>
        <w:rPr>
          <w:rFonts w:ascii="Arial"/>
          <w:w w:val="102"/>
          <w:sz w:val="19"/>
        </w:rPr>
        <w:t> </w:t>
      </w:r>
      <w:r>
        <w:rPr>
          <w:rFonts w:ascii="Arial"/>
          <w:sz w:val="19"/>
        </w:rPr>
        <w:tab/>
      </w:r>
      <w:r>
        <w:rPr>
          <w:rFonts w:ascii="Arial"/>
          <w:w w:val="105"/>
          <w:sz w:val="19"/>
        </w:rPr>
        <w:t>Future </w:t>
      </w:r>
      <w:r>
        <w:rPr>
          <w:rFonts w:ascii="Arial"/>
          <w:spacing w:val="2"/>
          <w:w w:val="105"/>
          <w:sz w:val="19"/>
        </w:rPr>
        <w:t>Interstate</w:t>
      </w:r>
      <w:r>
        <w:rPr>
          <w:rFonts w:ascii="Arial"/>
          <w:spacing w:val="1"/>
          <w:w w:val="105"/>
          <w:sz w:val="19"/>
        </w:rPr>
        <w:t> </w:t>
      </w:r>
      <w:r>
        <w:rPr>
          <w:rFonts w:ascii="Arial"/>
          <w:spacing w:val="3"/>
          <w:w w:val="105"/>
          <w:sz w:val="19"/>
        </w:rPr>
        <w:t>Ramp</w:t>
      </w:r>
    </w:p>
    <w:p>
      <w:pPr>
        <w:pStyle w:val="BodyText"/>
        <w:rPr>
          <w:rFonts w:ascii="Arial"/>
          <w:sz w:val="14"/>
        </w:rPr>
      </w:pPr>
      <w:r>
        <w:rPr/>
        <w:br w:type="column"/>
      </w:r>
      <w:r>
        <w:rPr>
          <w:rFonts w:ascii="Arial"/>
          <w:sz w:val="14"/>
        </w:rPr>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spacing w:before="9"/>
        <w:rPr>
          <w:rFonts w:ascii="Arial"/>
          <w:sz w:val="18"/>
        </w:rPr>
      </w:pPr>
    </w:p>
    <w:p>
      <w:pPr>
        <w:spacing w:before="0"/>
        <w:ind w:left="1071" w:right="0" w:firstLine="0"/>
        <w:jc w:val="left"/>
        <w:rPr>
          <w:rFonts w:ascii="Century Gothic"/>
          <w:b/>
          <w:sz w:val="12"/>
        </w:rPr>
      </w:pPr>
      <w:r>
        <w:rPr/>
        <w:pict>
          <v:shape style="position:absolute;margin-left:295.994720pt;margin-top:-12.717496pt;width:30.95pt;height:6.25pt;mso-position-horizontal-relative:page;mso-position-vertical-relative:paragraph;z-index:252272640;rotation:23" type="#_x0000_t136" fillcolor="#4d4d4d" stroked="f">
            <o:extrusion v:ext="view" autorotationcenter="t"/>
            <v:textpath style="font-family:&quot;Century Gothic&quot;;font-size:6pt;v-text-kern:t;mso-text-shadow:auto;font-weight:bold" string="Corvina St"/>
            <w10:wrap type="none"/>
          </v:shape>
        </w:pict>
      </w:r>
      <w:r>
        <w:rPr>
          <w:rFonts w:ascii="Century Gothic"/>
          <w:b/>
          <w:color w:val="4D4D4D"/>
          <w:w w:val="105"/>
          <w:sz w:val="12"/>
        </w:rPr>
        <w:t>Ava Way</w:t>
      </w:r>
    </w:p>
    <w:p>
      <w:pPr>
        <w:spacing w:before="108"/>
        <w:ind w:left="1071" w:right="0" w:firstLine="0"/>
        <w:jc w:val="left"/>
        <w:rPr>
          <w:rFonts w:ascii="Century Gothic"/>
          <w:b/>
          <w:sz w:val="12"/>
        </w:rPr>
      </w:pPr>
      <w:r>
        <w:rPr/>
        <w:br w:type="column"/>
      </w:r>
      <w:r>
        <w:rPr>
          <w:rFonts w:ascii="Century Gothic"/>
          <w:b/>
          <w:color w:val="4D4D4D"/>
          <w:w w:val="105"/>
          <w:sz w:val="12"/>
        </w:rPr>
        <w:t>Westcliffe</w:t>
      </w:r>
      <w:r>
        <w:rPr>
          <w:rFonts w:ascii="Century Gothic"/>
          <w:b/>
          <w:color w:val="4D4D4D"/>
          <w:spacing w:val="-13"/>
          <w:w w:val="105"/>
          <w:sz w:val="12"/>
        </w:rPr>
        <w:t> </w:t>
      </w:r>
      <w:r>
        <w:rPr>
          <w:rFonts w:ascii="Century Gothic"/>
          <w:b/>
          <w:color w:val="4D4D4D"/>
          <w:w w:val="105"/>
          <w:sz w:val="12"/>
        </w:rPr>
        <w:t>Blvd</w:t>
      </w: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21"/>
        </w:rPr>
      </w:pPr>
    </w:p>
    <w:p>
      <w:pPr>
        <w:spacing w:before="0"/>
        <w:ind w:left="1335" w:right="0" w:firstLine="0"/>
        <w:jc w:val="left"/>
        <w:rPr>
          <w:rFonts w:ascii="Century Gothic"/>
          <w:b/>
          <w:sz w:val="12"/>
        </w:rPr>
      </w:pPr>
      <w:r>
        <w:rPr/>
        <w:pict>
          <v:shape style="position:absolute;margin-left:463.093109pt;margin-top:-7.283406pt;width:29.35pt;height:6.25pt;mso-position-horizontal-relative:page;mso-position-vertical-relative:paragraph;z-index:252275712;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419.528619pt;margin-top:-35.012582pt;width:27.05pt;height:6.25pt;mso-position-horizontal-relative:page;mso-position-vertical-relative:paragraph;z-index:-267752448;rotation:80" type="#_x0000_t136" fillcolor="#4d4d4d" stroked="f">
            <o:extrusion v:ext="view" autorotationcenter="t"/>
            <v:textpath style="font-family:&quot;Century Gothic&quot;;font-size:6pt;v-text-kern:t;mso-text-shadow:auto;font-weight:bold" string="Meadow"/>
            <w10:wrap type="none"/>
          </v:shape>
        </w:pict>
      </w:r>
      <w:r>
        <w:rPr/>
        <w:pict>
          <v:shape style="position:absolute;margin-left:415.725311pt;margin-top:-33.123951pt;width:19.75pt;height:6.25pt;mso-position-horizontal-relative:page;mso-position-vertical-relative:paragraph;z-index:252285952;rotation:80" type="#_x0000_t136" fillcolor="#4d4d4d" stroked="f">
            <o:extrusion v:ext="view" autorotationcenter="t"/>
            <v:textpath style="font-family:&quot;Century Gothic&quot;;font-size:6pt;v-text-kern:t;mso-text-shadow:auto;font-weight:bold" string="Hills Dr"/>
            <w10:wrap type="none"/>
          </v:shape>
        </w:pict>
      </w:r>
      <w:r>
        <w:rPr/>
        <w:pict>
          <v:shape style="position:absolute;margin-left:462.704419pt;margin-top:-31.436017pt;width:26.15pt;height:6.25pt;mso-position-horizontal-relative:page;mso-position-vertical-relative:paragraph;z-index:252301312;rotation:272" type="#_x0000_t136" fillcolor="#4d4d4d" stroked="f">
            <o:extrusion v:ext="view" autorotationcenter="t"/>
            <v:textpath style="font-family:&quot;Century Gothic&quot;;font-size:6pt;v-text-kern:t;mso-text-shadow:auto;font-weight:bold" string="Gala Wy"/>
            <w10:wrap type="none"/>
          </v:shape>
        </w:pict>
      </w:r>
      <w:r>
        <w:rPr/>
        <w:pict>
          <v:shape style="position:absolute;margin-left:385.815198pt;margin-top:-49.633656pt;width:45.9pt;height:6.25pt;mso-position-horizontal-relative:page;mso-position-vertical-relative:paragraph;z-index:252307456;rotation:285" type="#_x0000_t136" fillcolor="#4d4d4d" stroked="f">
            <o:extrusion v:ext="view" autorotationcenter="t"/>
            <v:textpath style="font-family:&quot;Century Gothic&quot;;font-size:6pt;v-text-kern:t;mso-text-shadow:auto;font-weight:bold" string="Queensgate Dr"/>
            <w10:wrap type="none"/>
          </v:shape>
        </w:pict>
      </w:r>
      <w:r>
        <w:rPr>
          <w:rFonts w:ascii="Century Gothic"/>
          <w:b/>
          <w:color w:val="4D4D4D"/>
          <w:w w:val="105"/>
          <w:position w:val="1"/>
          <w:sz w:val="12"/>
        </w:rPr>
        <w:t>Ga</w:t>
      </w:r>
      <w:r>
        <w:rPr>
          <w:rFonts w:ascii="Century Gothic"/>
          <w:b/>
          <w:color w:val="4D4D4D"/>
          <w:w w:val="105"/>
          <w:sz w:val="12"/>
        </w:rPr>
        <w:t>la Wy</w:t>
      </w: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spacing w:before="6"/>
        <w:rPr>
          <w:rFonts w:ascii="Century Gothic"/>
          <w:b/>
          <w:sz w:val="23"/>
        </w:rPr>
      </w:pPr>
    </w:p>
    <w:p>
      <w:pPr>
        <w:spacing w:before="0"/>
        <w:ind w:left="1367" w:right="0" w:firstLine="0"/>
        <w:jc w:val="left"/>
        <w:rPr>
          <w:rFonts w:ascii="Arial" w:hAnsi="Arial"/>
          <w:b/>
          <w:sz w:val="11"/>
        </w:rPr>
      </w:pPr>
      <w:r>
        <w:rPr/>
        <w:pict>
          <v:shape style="position:absolute;margin-left:521.03772pt;margin-top:-11.365568pt;width:27.45pt;height:6.25pt;mso-position-horizontal-relative:page;mso-position-vertical-relative:paragraph;z-index:252268544;rotation:1" type="#_x0000_t136" fillcolor="#4d4d4d" stroked="f">
            <o:extrusion v:ext="view" autorotationcenter="t"/>
            <v:textpath style="font-family:&quot;Century Gothic&quot;;font-size:6pt;v-text-kern:t;mso-text-shadow:auto;font-weight:bold" string="Reata Rd"/>
            <w10:wrap type="none"/>
          </v:shape>
        </w:pict>
      </w:r>
      <w:r>
        <w:rPr>
          <w:rFonts w:ascii="Arial" w:hAnsi="Arial"/>
          <w:color w:val="FF0000"/>
          <w:spacing w:val="-262"/>
          <w:w w:val="127"/>
          <w:position w:val="1"/>
          <w:sz w:val="37"/>
        </w:rPr>
        <w:t>§</w:t>
      </w:r>
      <w:r>
        <w:rPr>
          <w:rFonts w:ascii="Arial" w:hAnsi="Arial"/>
          <w:spacing w:val="-262"/>
          <w:w w:val="272"/>
          <w:sz w:val="37"/>
        </w:rPr>
        <w:t>¦</w:t>
      </w:r>
      <w:r>
        <w:rPr>
          <w:rFonts w:ascii="Arial" w:hAnsi="Arial"/>
          <w:color w:val="0000FF"/>
          <w:spacing w:val="-192"/>
          <w:w w:val="212"/>
          <w:sz w:val="37"/>
        </w:rPr>
        <w:t>¨</w:t>
      </w:r>
      <w:r>
        <w:rPr>
          <w:rFonts w:ascii="Arial" w:hAnsi="Arial"/>
          <w:b/>
          <w:color w:val="FFFFFF"/>
          <w:spacing w:val="-1"/>
          <w:w w:val="98"/>
          <w:position w:val="9"/>
          <w:sz w:val="11"/>
        </w:rPr>
        <w:t>8</w:t>
      </w:r>
      <w:r>
        <w:rPr>
          <w:rFonts w:ascii="Arial" w:hAnsi="Arial"/>
          <w:b/>
          <w:color w:val="FFFFFF"/>
          <w:w w:val="98"/>
          <w:position w:val="9"/>
          <w:sz w:val="11"/>
        </w:rPr>
        <w:t>2</w:t>
      </w:r>
    </w:p>
    <w:p>
      <w:pPr>
        <w:pStyle w:val="BodyText"/>
        <w:rPr>
          <w:rFonts w:ascii="Arial"/>
          <w:b/>
          <w:sz w:val="16"/>
        </w:rPr>
      </w:pPr>
      <w:r>
        <w:rPr/>
        <w:br w:type="column"/>
      </w:r>
      <w:r>
        <w:rPr>
          <w:rFonts w:ascii="Arial"/>
          <w:b/>
          <w:sz w:val="16"/>
        </w:rPr>
      </w:r>
    </w:p>
    <w:p>
      <w:pPr>
        <w:pStyle w:val="BodyText"/>
        <w:rPr>
          <w:rFonts w:ascii="Arial"/>
          <w:b/>
          <w:sz w:val="16"/>
        </w:rPr>
      </w:pPr>
    </w:p>
    <w:p>
      <w:pPr>
        <w:pStyle w:val="BodyText"/>
        <w:rPr>
          <w:rFonts w:ascii="Arial"/>
          <w:b/>
          <w:sz w:val="16"/>
        </w:rPr>
      </w:pPr>
    </w:p>
    <w:p>
      <w:pPr>
        <w:spacing w:before="94"/>
        <w:ind w:left="292" w:right="0" w:firstLine="0"/>
        <w:jc w:val="left"/>
        <w:rPr>
          <w:rFonts w:ascii="Century Gothic"/>
          <w:b/>
          <w:sz w:val="12"/>
        </w:rPr>
      </w:pPr>
      <w:r>
        <w:rPr/>
        <w:pict>
          <v:shape style="position:absolute;margin-left:666.9646pt;margin-top:-17.482552pt;width:26.6pt;height:6.25pt;mso-position-horizontal-relative:page;mso-position-vertical-relative:paragraph;z-index:252269568;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636.800598pt;margin-top:-3.49404pt;width:30.8pt;height:6.25pt;mso-position-horizontal-relative:page;mso-position-vertical-relative:paragraph;z-index:252274688;rotation:25" type="#_x0000_t136" fillcolor="#4d4d4d" stroked="f">
            <o:extrusion v:ext="view" autorotationcenter="t"/>
            <v:textpath style="font-family:&quot;Century Gothic&quot;;font-size:6pt;v-text-kern:t;mso-text-shadow:auto;font-weight:bold" string="Tapteal Dr"/>
            <w10:wrap type="none"/>
          </v:shape>
        </w:pict>
      </w:r>
      <w:r>
        <w:rPr/>
        <w:pict>
          <v:shape style="position:absolute;margin-left:494.762811pt;margin-top:29.754751pt;width:35.8pt;height:6.25pt;mso-position-horizontal-relative:page;mso-position-vertical-relative:paragraph;z-index:252305408;rotation:281" type="#_x0000_t136" fillcolor="#4d4d4d" stroked="f">
            <o:extrusion v:ext="view" autorotationcenter="t"/>
            <v:textpath style="font-family:&quot;Century Gothic&quot;;font-size:6pt;v-text-kern:t;mso-text-shadow:auto;font-weight:bold" string="Kapalua Av"/>
            <w10:wrap type="none"/>
          </v:shape>
        </w:pict>
      </w:r>
      <w:r>
        <w:rPr/>
        <w:pict>
          <v:shape style="position:absolute;margin-left:586.596313pt;margin-top:-11.788894pt;width:31.2pt;height:6.25pt;mso-position-horizontal-relative:page;mso-position-vertical-relative:paragraph;z-index:252314624;rotation:356" type="#_x0000_t136" fillcolor="#4d4d4d" stroked="f">
            <o:extrusion v:ext="view" autorotationcenter="t"/>
            <v:textpath style="font-family:&quot;Century Gothic&quot;;font-size:6pt;v-text-kern:t;mso-text-shadow:auto;font-weight:bold" string="Canyon St"/>
            <w10:wrap type="none"/>
          </v:shape>
        </w:pict>
      </w:r>
      <w:r>
        <w:rPr/>
        <w:pict>
          <v:shape style="position:absolute;margin-left:564.674438pt;margin-top:21.764412pt;width:32.0500pt;height:6.25pt;mso-position-horizontal-relative:page;mso-position-vertical-relative:paragraph;z-index:252318720;rotation:359" type="#_x0000_t136" fillcolor="#4d4d4d" stroked="f">
            <o:extrusion v:ext="view" autorotationcenter="t"/>
            <v:textpath style="font-family:&quot;Century Gothic&quot;;font-size:6pt;v-text-kern:t;mso-text-shadow:auto;font-weight:bold" string="Gage Blvd"/>
            <w10:wrap type="none"/>
          </v:shape>
        </w:pict>
      </w:r>
      <w:r>
        <w:rPr>
          <w:rFonts w:ascii="Century Gothic"/>
          <w:b/>
          <w:color w:val="4D4D4D"/>
          <w:w w:val="105"/>
          <w:position w:val="1"/>
          <w:sz w:val="12"/>
        </w:rPr>
        <w:t>Oa</w:t>
      </w:r>
      <w:r>
        <w:rPr>
          <w:rFonts w:ascii="Century Gothic"/>
          <w:b/>
          <w:color w:val="4D4D4D"/>
          <w:w w:val="105"/>
          <w:sz w:val="12"/>
        </w:rPr>
        <w:t>hu St</w:t>
      </w:r>
    </w:p>
    <w:p>
      <w:pPr>
        <w:pStyle w:val="BodyText"/>
        <w:rPr>
          <w:rFonts w:ascii="Century Gothic"/>
          <w:b/>
          <w:sz w:val="14"/>
        </w:rPr>
      </w:pPr>
      <w:r>
        <w:rPr/>
        <w:br w:type="column"/>
      </w:r>
      <w:r>
        <w:rPr>
          <w:rFonts w:ascii="Century Gothic"/>
          <w:b/>
          <w:sz w:val="14"/>
        </w:rPr>
      </w:r>
    </w:p>
    <w:p>
      <w:pPr>
        <w:pStyle w:val="BodyText"/>
        <w:rPr>
          <w:rFonts w:ascii="Century Gothic"/>
          <w:b/>
          <w:sz w:val="14"/>
        </w:rPr>
      </w:pPr>
    </w:p>
    <w:p>
      <w:pPr>
        <w:pStyle w:val="BodyText"/>
        <w:rPr>
          <w:rFonts w:ascii="Century Gothic"/>
          <w:b/>
          <w:sz w:val="14"/>
        </w:rPr>
      </w:pPr>
    </w:p>
    <w:p>
      <w:pPr>
        <w:pStyle w:val="BodyText"/>
        <w:rPr>
          <w:rFonts w:ascii="Century Gothic"/>
          <w:b/>
          <w:sz w:val="14"/>
        </w:rPr>
      </w:pPr>
    </w:p>
    <w:p>
      <w:pPr>
        <w:pStyle w:val="BodyText"/>
        <w:rPr>
          <w:rFonts w:ascii="Century Gothic"/>
          <w:b/>
          <w:sz w:val="14"/>
        </w:rPr>
      </w:pPr>
    </w:p>
    <w:p>
      <w:pPr>
        <w:pStyle w:val="BodyText"/>
        <w:rPr>
          <w:rFonts w:ascii="Century Gothic"/>
          <w:b/>
          <w:sz w:val="14"/>
        </w:rPr>
      </w:pPr>
    </w:p>
    <w:p>
      <w:pPr>
        <w:pStyle w:val="BodyText"/>
        <w:rPr>
          <w:rFonts w:ascii="Century Gothic"/>
          <w:b/>
          <w:sz w:val="14"/>
        </w:rPr>
      </w:pPr>
    </w:p>
    <w:p>
      <w:pPr>
        <w:pStyle w:val="BodyText"/>
        <w:rPr>
          <w:rFonts w:ascii="Century Gothic"/>
          <w:b/>
          <w:sz w:val="14"/>
        </w:rPr>
      </w:pPr>
    </w:p>
    <w:p>
      <w:pPr>
        <w:pStyle w:val="BodyText"/>
        <w:rPr>
          <w:rFonts w:ascii="Century Gothic"/>
          <w:b/>
          <w:sz w:val="14"/>
        </w:rPr>
      </w:pPr>
    </w:p>
    <w:p>
      <w:pPr>
        <w:pStyle w:val="BodyText"/>
        <w:rPr>
          <w:rFonts w:ascii="Century Gothic"/>
          <w:b/>
          <w:sz w:val="14"/>
        </w:rPr>
      </w:pPr>
    </w:p>
    <w:p>
      <w:pPr>
        <w:pStyle w:val="BodyText"/>
        <w:rPr>
          <w:rFonts w:ascii="Century Gothic"/>
          <w:b/>
          <w:sz w:val="14"/>
        </w:rPr>
      </w:pPr>
    </w:p>
    <w:p>
      <w:pPr>
        <w:spacing w:before="93"/>
        <w:ind w:left="832" w:right="0" w:firstLine="0"/>
        <w:jc w:val="left"/>
        <w:rPr>
          <w:rFonts w:ascii="Century Gothic"/>
          <w:b/>
          <w:sz w:val="12"/>
        </w:rPr>
      </w:pPr>
      <w:r>
        <w:rPr/>
        <w:pict>
          <v:shape style="position:absolute;margin-left:483.995801pt;margin-top:-16.811223pt;width:35.4pt;height:6.25pt;mso-position-horizontal-relative:page;mso-position-vertical-relative:paragraph;z-index:252279808;rotation:59" type="#_x0000_t136" fillcolor="#4d4d4d" stroked="f">
            <o:extrusion v:ext="view" autorotationcenter="t"/>
            <v:textpath style="font-family:&quot;Century Gothic&quot;;font-size:6pt;v-text-kern:t;mso-text-shadow:auto;font-weight:bold" string="Morency Dr"/>
            <w10:wrap type="none"/>
          </v:shape>
        </w:pict>
      </w:r>
      <w:r>
        <w:rPr/>
        <w:pict>
          <v:shape style="position:absolute;margin-left:262.365387pt;margin-top:-36.313812pt;width:9.950pt;height:30.05pt;mso-position-horizontal-relative:page;mso-position-vertical-relative:paragraph;z-index:252288000" type="#_x0000_t202" filled="false" stroked="false">
            <v:textbox inset="0,0,0,0" style="layout-flow:vertical;mso-layout-flow-alt:bottom-to-top">
              <w:txbxContent>
                <w:p>
                  <w:pPr>
                    <w:spacing w:before="29"/>
                    <w:ind w:left="20" w:right="0" w:firstLine="0"/>
                    <w:jc w:val="left"/>
                    <w:rPr>
                      <w:rFonts w:ascii="Century Gothic"/>
                      <w:b/>
                      <w:sz w:val="12"/>
                    </w:rPr>
                  </w:pPr>
                  <w:r>
                    <w:rPr>
                      <w:rFonts w:ascii="Century Gothic"/>
                      <w:b/>
                      <w:color w:val="4D4D4D"/>
                      <w:w w:val="105"/>
                      <w:sz w:val="12"/>
                    </w:rPr>
                    <w:t>Dallas Rd</w:t>
                  </w:r>
                </w:p>
              </w:txbxContent>
            </v:textbox>
            <w10:wrap type="none"/>
          </v:shape>
        </w:pict>
      </w:r>
      <w:r>
        <w:rPr/>
        <w:pict>
          <v:shape style="position:absolute;margin-left:548.998474pt;margin-top:-30.522423pt;width:10pt;height:28.15pt;mso-position-horizontal-relative:page;mso-position-vertical-relative:paragraph;z-index:252298240" type="#_x0000_t202" filled="false" stroked="false">
            <v:textbox inset="0,0,0,0" style="layout-flow:vertical;mso-layout-flow-alt:bottom-to-top">
              <w:txbxContent>
                <w:p>
                  <w:pPr>
                    <w:spacing w:before="20"/>
                    <w:ind w:left="20" w:right="0" w:firstLine="0"/>
                    <w:jc w:val="left"/>
                    <w:rPr>
                      <w:rFonts w:ascii="Century Gothic"/>
                      <w:b/>
                      <w:sz w:val="12"/>
                    </w:rPr>
                  </w:pPr>
                  <w:r>
                    <w:rPr>
                      <w:rFonts w:ascii="Century Gothic"/>
                      <w:b/>
                      <w:color w:val="4D4D4D"/>
                      <w:w w:val="105"/>
                      <w:position w:val="1"/>
                      <w:sz w:val="12"/>
                    </w:rPr>
                    <w:t>Le</w:t>
                  </w:r>
                  <w:r>
                    <w:rPr>
                      <w:rFonts w:ascii="Century Gothic"/>
                      <w:b/>
                      <w:color w:val="4D4D4D"/>
                      <w:w w:val="105"/>
                      <w:sz w:val="12"/>
                    </w:rPr>
                    <w:t>slie Rd</w:t>
                  </w:r>
                </w:p>
              </w:txbxContent>
            </v:textbox>
            <w10:wrap type="none"/>
          </v:shape>
        </w:pict>
      </w:r>
      <w:r>
        <w:rPr/>
        <w:pict>
          <v:shape style="position:absolute;margin-left:518.413757pt;margin-top:57.817436pt;width:30.7pt;height:6.25pt;mso-position-horizontal-relative:page;mso-position-vertical-relative:paragraph;z-index:252319744;rotation:359" type="#_x0000_t136" fillcolor="#4d4d4d" stroked="f">
            <o:extrusion v:ext="view" autorotationcenter="t"/>
            <v:textpath style="font-family:&quot;Century Gothic&quot;;font-size:6pt;v-text-kern:t;mso-text-shadow:auto;font-weight:bold" string="Rachel Rd"/>
            <w10:wrap type="none"/>
          </v:shape>
        </w:pict>
      </w:r>
      <w:r>
        <w:rPr>
          <w:rFonts w:ascii="Century Gothic"/>
          <w:b/>
          <w:color w:val="4D4D4D"/>
          <w:w w:val="105"/>
          <w:sz w:val="12"/>
        </w:rPr>
        <w:t>Broadmoor </w:t>
      </w:r>
      <w:r>
        <w:rPr>
          <w:rFonts w:ascii="Century Gothic"/>
          <w:b/>
          <w:color w:val="4D4D4D"/>
          <w:spacing w:val="-9"/>
          <w:w w:val="105"/>
          <w:sz w:val="12"/>
        </w:rPr>
        <w:t>St</w:t>
      </w:r>
    </w:p>
    <w:p>
      <w:pPr>
        <w:pStyle w:val="BodyText"/>
        <w:rPr>
          <w:rFonts w:ascii="Century Gothic"/>
          <w:b/>
          <w:sz w:val="26"/>
        </w:rPr>
      </w:pPr>
      <w:r>
        <w:rPr/>
        <w:br w:type="column"/>
      </w:r>
      <w:r>
        <w:rPr>
          <w:rFonts w:ascii="Century Gothic"/>
          <w:b/>
          <w:sz w:val="26"/>
        </w:rPr>
      </w:r>
    </w:p>
    <w:p>
      <w:pPr>
        <w:pStyle w:val="BodyText"/>
        <w:rPr>
          <w:rFonts w:ascii="Century Gothic"/>
          <w:b/>
          <w:sz w:val="26"/>
        </w:rPr>
      </w:pPr>
    </w:p>
    <w:p>
      <w:pPr>
        <w:pStyle w:val="BodyText"/>
        <w:rPr>
          <w:rFonts w:ascii="Century Gothic"/>
          <w:b/>
          <w:sz w:val="26"/>
        </w:rPr>
      </w:pPr>
    </w:p>
    <w:p>
      <w:pPr>
        <w:pStyle w:val="BodyText"/>
        <w:rPr>
          <w:rFonts w:ascii="Century Gothic"/>
          <w:b/>
          <w:sz w:val="26"/>
        </w:rPr>
      </w:pPr>
    </w:p>
    <w:p>
      <w:pPr>
        <w:pStyle w:val="BodyText"/>
        <w:rPr>
          <w:rFonts w:ascii="Century Gothic"/>
          <w:b/>
          <w:sz w:val="26"/>
        </w:rPr>
      </w:pPr>
    </w:p>
    <w:p>
      <w:pPr>
        <w:pStyle w:val="BodyText"/>
        <w:rPr>
          <w:rFonts w:ascii="Century Gothic"/>
          <w:b/>
          <w:sz w:val="26"/>
        </w:rPr>
      </w:pPr>
    </w:p>
    <w:p>
      <w:pPr>
        <w:pStyle w:val="BodyText"/>
        <w:rPr>
          <w:rFonts w:ascii="Century Gothic"/>
          <w:b/>
          <w:sz w:val="26"/>
        </w:rPr>
      </w:pPr>
    </w:p>
    <w:p>
      <w:pPr>
        <w:spacing w:before="175"/>
        <w:ind w:left="840" w:right="0" w:firstLine="0"/>
        <w:jc w:val="left"/>
        <w:rPr>
          <w:rFonts w:ascii="Arial"/>
          <w:sz w:val="24"/>
        </w:rPr>
      </w:pPr>
      <w:r>
        <w:rPr/>
        <w:pict>
          <v:shape style="position:absolute;margin-left:602.317188pt;margin-top:-30.600497pt;width:34.1pt;height:6.25pt;mso-position-horizontal-relative:page;mso-position-vertical-relative:paragraph;z-index:252283904;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576.109924pt;margin-top:50.426445pt;width:47.6pt;height:6.25pt;mso-position-horizontal-relative:page;mso-position-vertical-relative:paragraph;z-index:252312576;rotation:332" type="#_x0000_t136" fillcolor="#4d4d4d" stroked="f">
            <o:extrusion v:ext="view" autorotationcenter="t"/>
            <v:textpath style="font-family:&quot;Century Gothic&quot;;font-size:6pt;v-text-kern:t;mso-text-shadow:auto;font-weight:bold" string="Clearwater Ave"/>
            <w10:wrap type="none"/>
          </v:shape>
        </w:pict>
      </w:r>
      <w:r>
        <w:rPr>
          <w:rFonts w:ascii="Arial"/>
          <w:emboss/>
          <w:color w:val="757576"/>
          <w:sz w:val="24"/>
        </w:rPr>
        <w:t>K</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w</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k</w:t>
      </w: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5"/>
        <w:rPr>
          <w:rFonts w:ascii="Arial"/>
          <w:sz w:val="24"/>
        </w:rPr>
      </w:pPr>
    </w:p>
    <w:p>
      <w:pPr>
        <w:spacing w:before="0"/>
        <w:ind w:left="1230" w:right="0" w:firstLine="0"/>
        <w:jc w:val="left"/>
        <w:rPr>
          <w:rFonts w:ascii="Century Gothic"/>
          <w:sz w:val="24"/>
        </w:rPr>
      </w:pPr>
      <w:r>
        <w:rPr>
          <w:rFonts w:ascii="Century Gothic"/>
          <w:sz w:val="24"/>
        </w:rPr>
        <w:t>March 28, 2023</w:t>
      </w:r>
    </w:p>
    <w:p>
      <w:pPr>
        <w:spacing w:after="0"/>
        <w:jc w:val="left"/>
        <w:rPr>
          <w:rFonts w:ascii="Century Gothic"/>
          <w:sz w:val="24"/>
        </w:rPr>
        <w:sectPr>
          <w:type w:val="continuous"/>
          <w:pgSz w:w="15840" w:h="24480"/>
          <w:pgMar w:top="1480" w:bottom="1320" w:left="0" w:right="0"/>
          <w:cols w:num="6" w:equalWidth="0">
            <w:col w:w="4274" w:space="228"/>
            <w:col w:w="1662" w:space="1413"/>
            <w:col w:w="1940" w:space="39"/>
            <w:col w:w="771" w:space="39"/>
            <w:col w:w="1650" w:space="40"/>
            <w:col w:w="3784"/>
          </w:cols>
        </w:sect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spacing w:before="8"/>
        <w:rPr>
          <w:rFonts w:ascii="Century Gothic"/>
          <w:sz w:val="15"/>
        </w:rPr>
      </w:pPr>
    </w:p>
    <w:p>
      <w:pPr>
        <w:spacing w:before="100"/>
        <w:ind w:left="3842" w:right="3850" w:firstLine="0"/>
        <w:jc w:val="center"/>
        <w:rPr>
          <w:rFonts w:ascii="Century Gothic"/>
          <w:b/>
          <w:sz w:val="72"/>
        </w:rPr>
      </w:pPr>
      <w:r>
        <w:rPr>
          <w:rFonts w:ascii="Century Gothic"/>
          <w:b/>
          <w:color w:val="004CA7"/>
          <w:sz w:val="72"/>
        </w:rPr>
        <w:t>City of Richland</w:t>
      </w:r>
    </w:p>
    <w:p>
      <w:pPr>
        <w:pStyle w:val="ListParagraph"/>
        <w:numPr>
          <w:ilvl w:val="1"/>
          <w:numId w:val="6"/>
        </w:numPr>
        <w:tabs>
          <w:tab w:pos="5474" w:val="left" w:leader="none"/>
        </w:tabs>
        <w:spacing w:line="240" w:lineRule="auto" w:before="57" w:after="0"/>
        <w:ind w:left="5473" w:right="18" w:hanging="5474"/>
        <w:jc w:val="left"/>
        <w:rPr>
          <w:rFonts w:ascii="Century Gothic"/>
          <w:b/>
          <w:sz w:val="39"/>
        </w:rPr>
      </w:pPr>
      <w:r>
        <w:rPr>
          <w:rFonts w:ascii="Century Gothic"/>
          <w:b/>
          <w:sz w:val="39"/>
        </w:rPr>
        <w:t>-Transportation</w:t>
      </w:r>
      <w:r>
        <w:rPr>
          <w:rFonts w:ascii="Century Gothic"/>
          <w:b/>
          <w:spacing w:val="7"/>
          <w:sz w:val="39"/>
        </w:rPr>
        <w:t> </w:t>
      </w:r>
      <w:r>
        <w:rPr>
          <w:rFonts w:ascii="Century Gothic"/>
          <w:b/>
          <w:sz w:val="39"/>
        </w:rPr>
        <w:t>Improvements</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spacing w:after="0"/>
        <w:rPr>
          <w:rFonts w:ascii="Century Gothic"/>
          <w:sz w:val="20"/>
        </w:rPr>
        <w:sectPr>
          <w:footerReference w:type="default" r:id="rId276"/>
          <w:pgSz w:w="15840" w:h="24480"/>
          <w:pgMar w:footer="0" w:header="0" w:top="0" w:bottom="280" w:left="0" w:right="0"/>
        </w:sectPr>
      </w:pPr>
    </w:p>
    <w:p>
      <w:pPr>
        <w:spacing w:line="363" w:lineRule="exact" w:before="280"/>
        <w:ind w:left="0" w:right="1536" w:firstLine="0"/>
        <w:jc w:val="right"/>
        <w:rPr>
          <w:rFonts w:ascii="Arial"/>
          <w:sz w:val="35"/>
        </w:rPr>
      </w:pPr>
      <w:r>
        <w:rPr/>
        <w:pict>
          <v:shape style="position:absolute;margin-left:260.10202pt;margin-top:17.100046pt;width:10.15pt;height:48.45pt;mso-position-horizontal-relative:page;mso-position-vertical-relative:paragraph;z-index:252340224" type="#_x0000_t202" filled="false" stroked="false">
            <v:textbox inset="0,0,0,0" style="layout-flow:vertical;mso-layout-flow-alt:bottom-to-top">
              <w:txbxContent>
                <w:p>
                  <w:pPr>
                    <w:spacing w:before="23"/>
                    <w:ind w:left="20" w:right="0" w:firstLine="0"/>
                    <w:jc w:val="left"/>
                    <w:rPr>
                      <w:rFonts w:ascii="Century Gothic"/>
                      <w:b/>
                      <w:sz w:val="12"/>
                    </w:rPr>
                  </w:pPr>
                  <w:r>
                    <w:rPr>
                      <w:rFonts w:ascii="Century Gothic"/>
                      <w:b/>
                      <w:color w:val="4D4D4D"/>
                      <w:w w:val="105"/>
                      <w:position w:val="1"/>
                      <w:sz w:val="12"/>
                    </w:rPr>
                    <w:t>Twin Br</w:t>
                  </w:r>
                  <w:r>
                    <w:rPr>
                      <w:rFonts w:ascii="Century Gothic"/>
                      <w:b/>
                      <w:color w:val="4D4D4D"/>
                      <w:w w:val="105"/>
                      <w:sz w:val="12"/>
                    </w:rPr>
                    <w:t>idges Rd</w:t>
                  </w:r>
                </w:p>
              </w:txbxContent>
            </v:textbox>
            <w10:wrap type="none"/>
          </v:shape>
        </w:pict>
      </w:r>
      <w:r>
        <w:rPr>
          <w:rFonts w:ascii="Arial"/>
          <w:spacing w:val="-253"/>
          <w:w w:val="235"/>
          <w:sz w:val="35"/>
        </w:rPr>
        <w:t>(</w:t>
      </w:r>
      <w:r>
        <w:rPr>
          <w:rFonts w:ascii="Arial"/>
          <w:color w:val="72DFFF"/>
          <w:spacing w:val="-253"/>
          <w:w w:val="235"/>
          <w:sz w:val="35"/>
        </w:rPr>
        <w:t>!</w:t>
      </w:r>
    </w:p>
    <w:p>
      <w:pPr>
        <w:spacing w:line="412" w:lineRule="exact" w:before="0"/>
        <w:ind w:left="0" w:right="812" w:firstLine="0"/>
        <w:jc w:val="right"/>
        <w:rPr>
          <w:rFonts w:ascii="Arial"/>
          <w:b/>
          <w:sz w:val="12"/>
        </w:rPr>
      </w:pPr>
      <w:r>
        <w:rPr>
          <w:rFonts w:ascii="Arial Black"/>
          <w:color w:val="FFFFFF"/>
          <w:spacing w:val="-269"/>
          <w:w w:val="100"/>
          <w:position w:val="-3"/>
          <w:sz w:val="32"/>
        </w:rPr>
        <w:t>U</w:t>
      </w:r>
      <w:r>
        <w:rPr>
          <w:rFonts w:ascii="Arial Black"/>
          <w:spacing w:val="-242"/>
          <w:w w:val="108"/>
          <w:position w:val="-3"/>
          <w:sz w:val="32"/>
        </w:rPr>
        <w:t>V</w:t>
      </w:r>
      <w:r>
        <w:rPr>
          <w:rFonts w:ascii="Arial"/>
          <w:b/>
          <w:spacing w:val="1"/>
          <w:w w:val="103"/>
          <w:sz w:val="12"/>
        </w:rPr>
        <w:t>24</w:t>
      </w:r>
      <w:r>
        <w:rPr>
          <w:rFonts w:ascii="Arial"/>
          <w:b/>
          <w:w w:val="103"/>
          <w:sz w:val="12"/>
        </w:rPr>
        <w:t>0</w:t>
      </w:r>
    </w:p>
    <w:p>
      <w:pPr>
        <w:spacing w:before="216"/>
        <w:ind w:left="0" w:right="0" w:firstLine="0"/>
        <w:jc w:val="right"/>
        <w:rPr>
          <w:rFonts w:ascii="Arial"/>
          <w:sz w:val="35"/>
        </w:rPr>
      </w:pPr>
      <w:r>
        <w:rPr>
          <w:rFonts w:ascii="Arial"/>
          <w:spacing w:val="-251"/>
          <w:w w:val="214"/>
          <w:sz w:val="35"/>
        </w:rPr>
        <w:t>(</w:t>
      </w:r>
      <w:r>
        <w:rPr>
          <w:rFonts w:ascii="Arial"/>
          <w:color w:val="72DFFF"/>
          <w:w w:val="257"/>
          <w:sz w:val="35"/>
        </w:rPr>
        <w:t>!</w:t>
      </w:r>
    </w:p>
    <w:p>
      <w:pPr>
        <w:pStyle w:val="BodyText"/>
        <w:rPr>
          <w:rFonts w:ascii="Arial"/>
          <w:sz w:val="16"/>
        </w:rPr>
      </w:pPr>
      <w:r>
        <w:rPr/>
        <w:br w:type="column"/>
      </w:r>
      <w:r>
        <w:rPr>
          <w:rFonts w:ascii="Arial"/>
          <w:sz w:val="16"/>
        </w:rPr>
      </w:r>
    </w:p>
    <w:p>
      <w:pPr>
        <w:spacing w:before="124"/>
        <w:ind w:left="2716" w:right="0" w:firstLine="0"/>
        <w:jc w:val="left"/>
        <w:rPr>
          <w:rFonts w:ascii="Century Gothic"/>
          <w:b/>
          <w:sz w:val="12"/>
        </w:rPr>
      </w:pPr>
      <w:r>
        <w:rPr>
          <w:rFonts w:ascii="Century Gothic"/>
          <w:b/>
          <w:color w:val="4D4D4D"/>
          <w:w w:val="105"/>
          <w:sz w:val="12"/>
        </w:rPr>
        <w:t>Horn Rapids Rd</w:t>
      </w:r>
    </w:p>
    <w:p>
      <w:pPr>
        <w:pStyle w:val="BodyText"/>
        <w:rPr>
          <w:rFonts w:ascii="Century Gothic"/>
          <w:b/>
          <w:sz w:val="16"/>
        </w:rPr>
      </w:pPr>
    </w:p>
    <w:p>
      <w:pPr>
        <w:pStyle w:val="BodyText"/>
        <w:rPr>
          <w:rFonts w:ascii="Century Gothic"/>
          <w:b/>
          <w:sz w:val="16"/>
        </w:rPr>
      </w:pPr>
    </w:p>
    <w:p>
      <w:pPr>
        <w:pStyle w:val="BodyText"/>
        <w:spacing w:before="10"/>
        <w:rPr>
          <w:rFonts w:ascii="Century Gothic"/>
          <w:b/>
          <w:sz w:val="11"/>
        </w:rPr>
      </w:pPr>
    </w:p>
    <w:p>
      <w:pPr>
        <w:spacing w:before="0"/>
        <w:ind w:left="3013" w:right="0" w:firstLine="0"/>
        <w:jc w:val="left"/>
        <w:rPr>
          <w:rFonts w:ascii="Century Gothic"/>
          <w:b/>
          <w:sz w:val="12"/>
        </w:rPr>
      </w:pPr>
      <w:r>
        <w:rPr/>
        <w:pict>
          <v:shape style="position:absolute;margin-left:365.173767pt;margin-top:-10.002178pt;width:11.15pt;height:47.55pt;mso-position-horizontal-relative:page;mso-position-vertical-relative:paragraph;z-index:252344320" type="#_x0000_t202" filled="false" stroked="false">
            <v:textbox inset="0,0,0,0" style="layout-flow:vertical;mso-layout-flow-alt:bottom-to-top">
              <w:txbxContent>
                <w:p>
                  <w:pPr>
                    <w:spacing w:before="24"/>
                    <w:ind w:left="20" w:right="0" w:firstLine="0"/>
                    <w:jc w:val="left"/>
                    <w:rPr>
                      <w:rFonts w:ascii="Century Gothic"/>
                      <w:b/>
                      <w:sz w:val="12"/>
                    </w:rPr>
                  </w:pPr>
                  <w:r>
                    <w:rPr>
                      <w:rFonts w:ascii="Century Gothic"/>
                      <w:b/>
                      <w:color w:val="4D4D4D"/>
                      <w:w w:val="105"/>
                      <w:sz w:val="12"/>
                    </w:rPr>
                    <w:t>Kin</w:t>
                  </w:r>
                  <w:r>
                    <w:rPr>
                      <w:rFonts w:ascii="Century Gothic"/>
                      <w:b/>
                      <w:color w:val="4D4D4D"/>
                      <w:w w:val="105"/>
                      <w:position w:val="1"/>
                      <w:sz w:val="12"/>
                    </w:rPr>
                    <w:t>gsga</w:t>
                  </w:r>
                  <w:r>
                    <w:rPr>
                      <w:rFonts w:ascii="Century Gothic"/>
                      <w:b/>
                      <w:color w:val="4D4D4D"/>
                      <w:w w:val="105"/>
                      <w:position w:val="2"/>
                      <w:sz w:val="12"/>
                    </w:rPr>
                    <w:t>te Wa</w:t>
                  </w:r>
                  <w:r>
                    <w:rPr>
                      <w:rFonts w:ascii="Century Gothic"/>
                      <w:b/>
                      <w:color w:val="4D4D4D"/>
                      <w:w w:val="105"/>
                      <w:position w:val="3"/>
                      <w:sz w:val="12"/>
                    </w:rPr>
                    <w:t>y</w:t>
                  </w:r>
                </w:p>
              </w:txbxContent>
            </v:textbox>
            <w10:wrap type="none"/>
          </v:shape>
        </w:pict>
      </w:r>
      <w:r>
        <w:rPr>
          <w:rFonts w:ascii="Century Gothic"/>
          <w:b/>
          <w:color w:val="4D4D4D"/>
          <w:w w:val="105"/>
          <w:sz w:val="12"/>
        </w:rPr>
        <w:t>Battelle Bl</w:t>
      </w:r>
      <w:r>
        <w:rPr>
          <w:rFonts w:ascii="Century Gothic"/>
          <w:b/>
          <w:color w:val="4D4D4D"/>
          <w:w w:val="105"/>
          <w:position w:val="1"/>
          <w:sz w:val="12"/>
        </w:rPr>
        <w:t>vd</w:t>
      </w:r>
    </w:p>
    <w:p>
      <w:pPr>
        <w:spacing w:after="0"/>
        <w:jc w:val="left"/>
        <w:rPr>
          <w:rFonts w:ascii="Century Gothic"/>
          <w:sz w:val="12"/>
        </w:rPr>
        <w:sectPr>
          <w:type w:val="continuous"/>
          <w:pgSz w:w="15840" w:h="24480"/>
          <w:pgMar w:top="1480" w:bottom="1320" w:left="0" w:right="0"/>
          <w:cols w:num="2" w:equalWidth="0">
            <w:col w:w="5524" w:space="40"/>
            <w:col w:w="10276"/>
          </w:cols>
        </w:sectPr>
      </w:pPr>
    </w:p>
    <w:p>
      <w:pPr>
        <w:pStyle w:val="BodyText"/>
        <w:spacing w:before="11"/>
        <w:rPr>
          <w:rFonts w:ascii="Century Gothic"/>
          <w:b/>
          <w:sz w:val="20"/>
        </w:rPr>
      </w:pPr>
    </w:p>
    <w:p>
      <w:pPr>
        <w:tabs>
          <w:tab w:pos="4369" w:val="left" w:leader="none"/>
        </w:tabs>
        <w:spacing w:before="130"/>
        <w:ind w:left="939" w:right="0" w:firstLine="0"/>
        <w:jc w:val="center"/>
        <w:rPr>
          <w:rFonts w:ascii="Century Gothic"/>
          <w:b/>
          <w:sz w:val="12"/>
        </w:rPr>
      </w:pPr>
      <w:r>
        <w:rPr>
          <w:rFonts w:ascii="Arial"/>
          <w:color w:val="72DFFF"/>
          <w:spacing w:val="-251"/>
          <w:w w:val="257"/>
          <w:position w:val="-17"/>
          <w:sz w:val="35"/>
        </w:rPr>
        <w:t>!</w:t>
      </w:r>
      <w:r>
        <w:rPr>
          <w:rFonts w:ascii="Arial"/>
          <w:w w:val="214"/>
          <w:position w:val="-17"/>
          <w:sz w:val="35"/>
        </w:rPr>
        <w:t>(</w:t>
      </w:r>
      <w:r>
        <w:rPr>
          <w:rFonts w:ascii="Arial"/>
          <w:position w:val="-17"/>
          <w:sz w:val="35"/>
        </w:rPr>
        <w:tab/>
      </w:r>
      <w:r>
        <w:rPr>
          <w:rFonts w:ascii="Century Gothic"/>
          <w:b/>
          <w:color w:val="4D4D4D"/>
          <w:spacing w:val="-7"/>
          <w:w w:val="103"/>
          <w:sz w:val="12"/>
        </w:rPr>
        <w:t>U</w:t>
      </w:r>
      <w:r>
        <w:rPr>
          <w:rFonts w:ascii="Century Gothic"/>
          <w:b/>
          <w:color w:val="4D4D4D"/>
          <w:spacing w:val="-2"/>
          <w:w w:val="103"/>
          <w:sz w:val="12"/>
        </w:rPr>
        <w:t>n</w:t>
      </w:r>
      <w:r>
        <w:rPr>
          <w:rFonts w:ascii="Century Gothic"/>
          <w:b/>
          <w:color w:val="4D4D4D"/>
          <w:w w:val="103"/>
          <w:sz w:val="12"/>
        </w:rPr>
        <w:t>i</w:t>
      </w:r>
      <w:r>
        <w:rPr>
          <w:rFonts w:ascii="Century Gothic"/>
          <w:b/>
          <w:color w:val="4D4D4D"/>
          <w:spacing w:val="-2"/>
          <w:w w:val="103"/>
          <w:sz w:val="12"/>
        </w:rPr>
        <w:t>v</w:t>
      </w:r>
      <w:r>
        <w:rPr>
          <w:rFonts w:ascii="Century Gothic"/>
          <w:b/>
          <w:color w:val="4D4D4D"/>
          <w:spacing w:val="-1"/>
          <w:w w:val="103"/>
          <w:sz w:val="12"/>
        </w:rPr>
        <w:t>e</w:t>
      </w:r>
      <w:r>
        <w:rPr>
          <w:rFonts w:ascii="Century Gothic"/>
          <w:b/>
          <w:color w:val="4D4D4D"/>
          <w:spacing w:val="-5"/>
          <w:w w:val="103"/>
          <w:sz w:val="12"/>
        </w:rPr>
        <w:t>r</w:t>
      </w:r>
      <w:r>
        <w:rPr>
          <w:rFonts w:ascii="Century Gothic"/>
          <w:b/>
          <w:color w:val="4D4D4D"/>
          <w:spacing w:val="2"/>
          <w:w w:val="103"/>
          <w:position w:val="1"/>
          <w:sz w:val="12"/>
        </w:rPr>
        <w:t>s</w:t>
      </w:r>
      <w:r>
        <w:rPr>
          <w:rFonts w:ascii="Century Gothic"/>
          <w:b/>
          <w:color w:val="4D4D4D"/>
          <w:spacing w:val="-5"/>
          <w:w w:val="103"/>
          <w:position w:val="1"/>
          <w:sz w:val="12"/>
        </w:rPr>
        <w:t>i</w:t>
      </w:r>
      <w:r>
        <w:rPr>
          <w:rFonts w:ascii="Century Gothic"/>
          <w:b/>
          <w:color w:val="4D4D4D"/>
          <w:spacing w:val="-2"/>
          <w:w w:val="103"/>
          <w:position w:val="1"/>
          <w:sz w:val="12"/>
        </w:rPr>
        <w:t>t</w:t>
      </w:r>
      <w:r>
        <w:rPr>
          <w:rFonts w:ascii="Century Gothic"/>
          <w:b/>
          <w:color w:val="4D4D4D"/>
          <w:w w:val="103"/>
          <w:position w:val="1"/>
          <w:sz w:val="12"/>
        </w:rPr>
        <w:t>y</w:t>
      </w:r>
      <w:r>
        <w:rPr>
          <w:rFonts w:ascii="Century Gothic"/>
          <w:b/>
          <w:color w:val="4D4D4D"/>
          <w:position w:val="1"/>
          <w:sz w:val="12"/>
        </w:rPr>
        <w:t> </w:t>
      </w:r>
      <w:r>
        <w:rPr>
          <w:rFonts w:ascii="Century Gothic"/>
          <w:b/>
          <w:color w:val="4D4D4D"/>
          <w:spacing w:val="-3"/>
          <w:w w:val="103"/>
          <w:position w:val="1"/>
          <w:sz w:val="12"/>
        </w:rPr>
        <w:t>D</w:t>
      </w:r>
      <w:r>
        <w:rPr>
          <w:rFonts w:ascii="Century Gothic"/>
          <w:b/>
          <w:color w:val="4D4D4D"/>
          <w:w w:val="103"/>
          <w:position w:val="1"/>
          <w:sz w:val="12"/>
        </w:rPr>
        <w:t>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3"/>
        <w:rPr>
          <w:rFonts w:ascii="Century Gothic"/>
          <w:b/>
          <w:sz w:val="16"/>
        </w:rPr>
      </w:pPr>
    </w:p>
    <w:p>
      <w:pPr>
        <w:tabs>
          <w:tab w:pos="10503" w:val="left" w:leader="none"/>
        </w:tabs>
        <w:spacing w:before="121"/>
        <w:ind w:left="8342" w:right="0" w:firstLine="0"/>
        <w:jc w:val="left"/>
        <w:rPr>
          <w:rFonts w:ascii="Century Gothic"/>
          <w:b/>
          <w:sz w:val="12"/>
        </w:rPr>
      </w:pPr>
      <w:r>
        <w:rPr/>
        <w:pict>
          <v:shape style="position:absolute;margin-left:463.078235pt;margin-top:-13.157747pt;width:31.35pt;height:6.25pt;mso-position-horizontal-relative:page;mso-position-vertical-relative:paragraph;z-index:252353536;rotation:272" type="#_x0000_t136" fillcolor="#4d4d4d" stroked="f">
            <o:extrusion v:ext="view" autorotationcenter="t"/>
            <v:textpath style="font-family:&quot;Century Gothic&quot;;font-size:6pt;v-text-kern:t;mso-text-shadow:auto;font-weight:bold" string="Stevens Dr"/>
            <w10:wrap type="none"/>
          </v:shape>
        </w:pict>
      </w:r>
      <w:r>
        <w:rPr/>
        <w:pict>
          <v:shape style="position:absolute;margin-left:480.570898pt;margin-top:-2.363261pt;width:75.95pt;height:6.25pt;mso-position-horizontal-relative:page;mso-position-vertical-relative:paragraph;z-index:-267681792;rotation:272" type="#_x0000_t136" fillcolor="#4d4d4d" stroked="f">
            <o:extrusion v:ext="view" autorotationcenter="t"/>
            <v:textpath style="font-family:&quot;Century Gothic&quot;;font-size:6pt;v-text-kern:t;mso-text-shadow:auto;font-weight:bold" string="George Washington Way"/>
            <w10:wrap type="none"/>
          </v:shape>
        </w:pict>
      </w:r>
      <w:r>
        <w:rPr/>
        <w:pict>
          <v:shape style="position:absolute;margin-left:423.837964pt;margin-top:6.49495pt;width:38.4pt;height:6.25pt;mso-position-horizontal-relative:page;mso-position-vertical-relative:paragraph;z-index:-267679744;rotation:277" type="#_x0000_t136" fillcolor="#4d4d4d" stroked="f">
            <o:extrusion v:ext="view" autorotationcenter="t"/>
            <v:textpath style="font-family:&quot;Century Gothic&quot;;font-size:6pt;v-text-kern:t;mso-text-shadow:auto;font-weight:bold" string="Robertson Dr"/>
            <w10:wrap type="none"/>
          </v:shape>
        </w:pict>
      </w:r>
      <w:r>
        <w:rPr/>
        <w:pict>
          <v:shape style="position:absolute;margin-left:529.797424pt;margin-top:42.492641pt;width:21.4pt;height:6.25pt;mso-position-horizontal-relative:page;mso-position-vertical-relative:paragraph;z-index:252369920;rotation:359" type="#_x0000_t136" fillcolor="#4d4d4d" stroked="f">
            <o:extrusion v:ext="view" autorotationcenter="t"/>
            <v:textpath style="font-family:&quot;Century Gothic&quot;;font-size:6pt;v-text-kern:t;mso-text-shadow:auto;font-weight:bold" string="Saint St"/>
            <w10:wrap type="none"/>
          </v:shape>
        </w:pict>
      </w:r>
      <w:r>
        <w:rPr>
          <w:rFonts w:ascii="Arial"/>
          <w:spacing w:val="-251"/>
          <w:w w:val="214"/>
          <w:position w:val="-19"/>
          <w:sz w:val="35"/>
        </w:rPr>
        <w:t>(</w:t>
      </w:r>
      <w:r>
        <w:rPr>
          <w:rFonts w:ascii="Arial"/>
          <w:color w:val="72DFFF"/>
          <w:w w:val="257"/>
          <w:position w:val="-19"/>
          <w:sz w:val="35"/>
        </w:rPr>
        <w:t>!</w:t>
      </w:r>
      <w:r>
        <w:rPr>
          <w:rFonts w:ascii="Arial"/>
          <w:color w:val="72DFFF"/>
          <w:position w:val="-19"/>
          <w:sz w:val="35"/>
        </w:rPr>
        <w:tab/>
      </w:r>
      <w:r>
        <w:rPr>
          <w:rFonts w:ascii="Century Gothic"/>
          <w:b/>
          <w:color w:val="4D4D4D"/>
          <w:spacing w:val="-3"/>
          <w:w w:val="103"/>
          <w:sz w:val="12"/>
        </w:rPr>
        <w:t>S</w:t>
      </w:r>
      <w:r>
        <w:rPr>
          <w:rFonts w:ascii="Century Gothic"/>
          <w:b/>
          <w:color w:val="4D4D4D"/>
          <w:spacing w:val="-4"/>
          <w:w w:val="103"/>
          <w:sz w:val="12"/>
        </w:rPr>
        <w:t>p</w:t>
      </w:r>
      <w:r>
        <w:rPr>
          <w:rFonts w:ascii="Century Gothic"/>
          <w:b/>
          <w:color w:val="4D4D4D"/>
          <w:spacing w:val="-1"/>
          <w:w w:val="103"/>
          <w:sz w:val="12"/>
        </w:rPr>
        <w:t>e</w:t>
      </w:r>
      <w:r>
        <w:rPr>
          <w:rFonts w:ascii="Century Gothic"/>
          <w:b/>
          <w:color w:val="4D4D4D"/>
          <w:spacing w:val="-2"/>
          <w:w w:val="103"/>
          <w:sz w:val="12"/>
        </w:rPr>
        <w:t>n</w:t>
      </w:r>
      <w:r>
        <w:rPr>
          <w:rFonts w:ascii="Century Gothic"/>
          <w:b/>
          <w:color w:val="4D4D4D"/>
          <w:spacing w:val="-4"/>
          <w:w w:val="103"/>
          <w:sz w:val="12"/>
        </w:rPr>
        <w:t>g</w:t>
      </w:r>
      <w:r>
        <w:rPr>
          <w:rFonts w:ascii="Century Gothic"/>
          <w:b/>
          <w:color w:val="4D4D4D"/>
          <w:w w:val="103"/>
          <w:position w:val="1"/>
          <w:sz w:val="12"/>
        </w:rPr>
        <w:t>l</w:t>
      </w:r>
      <w:r>
        <w:rPr>
          <w:rFonts w:ascii="Century Gothic"/>
          <w:b/>
          <w:color w:val="4D4D4D"/>
          <w:spacing w:val="-1"/>
          <w:w w:val="103"/>
          <w:position w:val="1"/>
          <w:sz w:val="12"/>
        </w:rPr>
        <w:t>e</w:t>
      </w:r>
      <w:r>
        <w:rPr>
          <w:rFonts w:ascii="Century Gothic"/>
          <w:b/>
          <w:color w:val="4D4D4D"/>
          <w:w w:val="103"/>
          <w:position w:val="1"/>
          <w:sz w:val="12"/>
        </w:rPr>
        <w:t>r</w:t>
      </w:r>
      <w:r>
        <w:rPr>
          <w:rFonts w:ascii="Century Gothic"/>
          <w:b/>
          <w:color w:val="4D4D4D"/>
          <w:position w:val="1"/>
          <w:sz w:val="12"/>
        </w:rPr>
        <w:t> </w:t>
      </w:r>
      <w:r>
        <w:rPr>
          <w:rFonts w:ascii="Century Gothic"/>
          <w:b/>
          <w:color w:val="4D4D4D"/>
          <w:spacing w:val="-3"/>
          <w:w w:val="103"/>
          <w:position w:val="1"/>
          <w:sz w:val="12"/>
        </w:rPr>
        <w:t>S</w:t>
      </w:r>
      <w:r>
        <w:rPr>
          <w:rFonts w:ascii="Century Gothic"/>
          <w:b/>
          <w:color w:val="4D4D4D"/>
          <w:w w:val="103"/>
          <w:position w:val="1"/>
          <w:sz w:val="12"/>
        </w:rPr>
        <w:t>t</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7"/>
        <w:rPr>
          <w:rFonts w:ascii="Century Gothic"/>
          <w:b/>
          <w:sz w:val="20"/>
        </w:rPr>
      </w:pPr>
    </w:p>
    <w:p>
      <w:pPr>
        <w:spacing w:after="0"/>
        <w:rPr>
          <w:rFonts w:ascii="Century Gothic"/>
          <w:sz w:val="20"/>
        </w:rPr>
        <w:sectPr>
          <w:type w:val="continuous"/>
          <w:pgSz w:w="15840" w:h="24480"/>
          <w:pgMar w:top="1480" w:bottom="1320" w:left="0" w:right="0"/>
        </w:sectPr>
      </w:pPr>
    </w:p>
    <w:p>
      <w:pPr>
        <w:spacing w:before="90"/>
        <w:ind w:left="2382" w:right="0" w:firstLine="0"/>
        <w:jc w:val="left"/>
        <w:rPr>
          <w:rFonts w:ascii="Arial"/>
          <w:sz w:val="24"/>
        </w:rPr>
      </w:pPr>
      <w:r>
        <w:rPr/>
        <w:pict>
          <v:shape style="position:absolute;margin-left:426.213623pt;margin-top:-23.950161pt;width:30pt;height:6.25pt;mso-position-horizontal-relative:page;mso-position-vertical-relative:paragraph;z-index:252359680;rotation:282" type="#_x0000_t136" fillcolor="#4d4d4d" stroked="f">
            <o:extrusion v:ext="view" autorotationcenter="t"/>
            <v:textpath style="font-family:&quot;Century Gothic&quot;;font-size:6pt;v-text-kern:t;mso-text-shadow:auto;font-weight:bold" string="Hagen Rd"/>
            <w10:wrap type="none"/>
          </v:shape>
        </w:pict>
      </w:r>
      <w:r>
        <w:rPr>
          <w:rFonts w:ascii="Arial"/>
          <w:emboss/>
          <w:color w:val="757576"/>
          <w:sz w:val="24"/>
        </w:rPr>
        <w:t>W</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s</w:t>
      </w:r>
      <w:r>
        <w:rPr>
          <w:rFonts w:ascii="Arial"/>
          <w:shadow w:val="0"/>
          <w:color w:val="757576"/>
          <w:sz w:val="24"/>
        </w:rPr>
        <w:t> </w:t>
      </w:r>
      <w:r>
        <w:rPr>
          <w:rFonts w:ascii="Arial"/>
          <w:emboss/>
          <w:color w:val="757576"/>
          <w:sz w:val="24"/>
        </w:rPr>
        <w:t>t</w:t>
      </w:r>
      <w:r>
        <w:rPr>
          <w:rFonts w:ascii="Arial"/>
          <w:shadow w:val="0"/>
          <w:color w:val="757576"/>
          <w:sz w:val="24"/>
        </w:rPr>
        <w:t> </w:t>
      </w:r>
      <w:r>
        <w:rPr>
          <w:rFonts w:ascii="Arial"/>
          <w:emboss/>
          <w:color w:val="757576"/>
          <w:sz w:val="24"/>
        </w:rPr>
        <w:t>R</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h</w:t>
      </w:r>
      <w:r>
        <w:rPr>
          <w:rFonts w:ascii="Arial"/>
          <w:shadow w:val="0"/>
          <w:color w:val="757576"/>
          <w:sz w:val="24"/>
        </w:rPr>
        <w:t> </w:t>
      </w:r>
      <w:r>
        <w:rPr>
          <w:rFonts w:ascii="Arial"/>
          <w:emboss/>
          <w:color w:val="757576"/>
          <w:sz w:val="24"/>
        </w:rPr>
        <w:t>l</w:t>
      </w:r>
      <w:r>
        <w:rPr>
          <w:rFonts w:ascii="Arial"/>
          <w:shadow w:val="0"/>
          <w:color w:val="757576"/>
          <w:sz w:val="24"/>
        </w:rPr>
        <w:t> </w:t>
      </w:r>
      <w:r>
        <w:rPr>
          <w:rFonts w:ascii="Arial"/>
          <w:emboss/>
          <w:color w:val="757576"/>
          <w:sz w:val="24"/>
        </w:rPr>
        <w:t>a</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d</w:t>
      </w:r>
    </w:p>
    <w:p>
      <w:pPr>
        <w:pStyle w:val="BodyText"/>
        <w:spacing w:before="4"/>
        <w:rPr>
          <w:rFonts w:ascii="Arial"/>
          <w:sz w:val="36"/>
        </w:rPr>
      </w:pPr>
      <w:r>
        <w:rPr/>
        <w:br w:type="column"/>
      </w:r>
      <w:r>
        <w:rPr>
          <w:rFonts w:ascii="Arial"/>
          <w:sz w:val="36"/>
        </w:rPr>
      </w:r>
    </w:p>
    <w:p>
      <w:pPr>
        <w:tabs>
          <w:tab w:pos="3450" w:val="left" w:leader="none"/>
        </w:tabs>
        <w:spacing w:before="0"/>
        <w:ind w:left="2382" w:right="0" w:firstLine="0"/>
        <w:jc w:val="left"/>
        <w:rPr>
          <w:rFonts w:ascii="Century Gothic"/>
          <w:b/>
          <w:sz w:val="12"/>
        </w:rPr>
      </w:pPr>
      <w:r>
        <w:rPr/>
        <w:pict>
          <v:shape style="position:absolute;margin-left:349.357483pt;margin-top:1.645928pt;width:9.75pt;height:29.15pt;mso-position-horizontal-relative:page;mso-position-vertical-relative:paragraph;z-index:252343296" type="#_x0000_t202" filled="false" stroked="false">
            <v:textbox inset="0,0,0,0" style="layout-flow:vertical;mso-layout-flow-alt:bottom-to-top">
              <w:txbxContent>
                <w:p>
                  <w:pPr>
                    <w:spacing w:before="26"/>
                    <w:ind w:left="20" w:right="0" w:firstLine="0"/>
                    <w:jc w:val="left"/>
                    <w:rPr>
                      <w:rFonts w:ascii="Century Gothic"/>
                      <w:b/>
                      <w:sz w:val="12"/>
                    </w:rPr>
                  </w:pPr>
                  <w:r>
                    <w:rPr>
                      <w:rFonts w:ascii="Century Gothic"/>
                      <w:b/>
                      <w:color w:val="4D4D4D"/>
                      <w:w w:val="105"/>
                      <w:sz w:val="12"/>
                    </w:rPr>
                    <w:t>Jones Rd</w:t>
                  </w:r>
                </w:p>
              </w:txbxContent>
            </v:textbox>
            <w10:wrap type="none"/>
          </v:shape>
        </w:pict>
      </w:r>
      <w:r>
        <w:rPr/>
        <w:pict>
          <v:shape style="position:absolute;margin-left:438.485529pt;margin-top:-17.0991pt;width:38.3pt;height:6.25pt;mso-position-horizontal-relative:page;mso-position-vertical-relative:paragraph;z-index:-267673600;rotation:312" type="#_x0000_t136" fillcolor="#4d4d4d" stroked="f">
            <o:extrusion v:ext="view" autorotationcenter="t"/>
            <v:textpath style="font-family:&quot;Century Gothic&quot;;font-size:6pt;v-text-kern:t;mso-text-shadow:auto;font-weight:bold" string="By-pass Hwy"/>
            <w10:wrap type="none"/>
          </v:shape>
        </w:pict>
      </w:r>
      <w:r>
        <w:rPr>
          <w:rFonts w:ascii="Arial"/>
          <w:color w:val="72DFFF"/>
          <w:spacing w:val="-251"/>
          <w:w w:val="257"/>
          <w:position w:val="-23"/>
          <w:sz w:val="35"/>
        </w:rPr>
        <w:t>!</w:t>
      </w:r>
      <w:r>
        <w:rPr>
          <w:rFonts w:ascii="Arial"/>
          <w:w w:val="214"/>
          <w:position w:val="-23"/>
          <w:sz w:val="35"/>
        </w:rPr>
        <w:t>(</w:t>
      </w:r>
      <w:r>
        <w:rPr>
          <w:rFonts w:ascii="Arial"/>
          <w:position w:val="-23"/>
          <w:sz w:val="35"/>
        </w:rPr>
        <w:tab/>
      </w:r>
      <w:r>
        <w:rPr>
          <w:rFonts w:ascii="Century Gothic"/>
          <w:b/>
          <w:color w:val="4D4D4D"/>
          <w:spacing w:val="-5"/>
          <w:w w:val="103"/>
          <w:sz w:val="12"/>
        </w:rPr>
        <w:t>M</w:t>
      </w:r>
      <w:r>
        <w:rPr>
          <w:rFonts w:ascii="Century Gothic"/>
          <w:b/>
          <w:color w:val="4D4D4D"/>
          <w:w w:val="103"/>
          <w:sz w:val="12"/>
        </w:rPr>
        <w:t>c</w:t>
      </w:r>
      <w:r>
        <w:rPr>
          <w:rFonts w:ascii="Century Gothic"/>
          <w:b/>
          <w:color w:val="4D4D4D"/>
          <w:spacing w:val="1"/>
          <w:w w:val="103"/>
          <w:sz w:val="12"/>
        </w:rPr>
        <w:t>m</w:t>
      </w:r>
      <w:r>
        <w:rPr>
          <w:rFonts w:ascii="Century Gothic"/>
          <w:b/>
          <w:color w:val="4D4D4D"/>
          <w:w w:val="103"/>
          <w:sz w:val="12"/>
        </w:rPr>
        <w:t>u</w:t>
      </w:r>
      <w:r>
        <w:rPr>
          <w:rFonts w:ascii="Century Gothic"/>
          <w:b/>
          <w:color w:val="4D4D4D"/>
          <w:spacing w:val="2"/>
          <w:w w:val="103"/>
          <w:sz w:val="12"/>
        </w:rPr>
        <w:t>r</w:t>
      </w:r>
      <w:r>
        <w:rPr>
          <w:rFonts w:ascii="Century Gothic"/>
          <w:b/>
          <w:color w:val="4D4D4D"/>
          <w:spacing w:val="-3"/>
          <w:w w:val="103"/>
          <w:sz w:val="12"/>
        </w:rPr>
        <w:t>ra</w:t>
      </w:r>
      <w:r>
        <w:rPr>
          <w:rFonts w:ascii="Century Gothic"/>
          <w:b/>
          <w:color w:val="4D4D4D"/>
          <w:w w:val="103"/>
          <w:sz w:val="12"/>
        </w:rPr>
        <w:t>y</w:t>
      </w:r>
      <w:r>
        <w:rPr>
          <w:rFonts w:ascii="Century Gothic"/>
          <w:b/>
          <w:color w:val="4D4D4D"/>
          <w:spacing w:val="1"/>
          <w:sz w:val="12"/>
        </w:rPr>
        <w:t> </w:t>
      </w:r>
      <w:r>
        <w:rPr>
          <w:rFonts w:ascii="Century Gothic"/>
          <w:b/>
          <w:color w:val="4D4D4D"/>
          <w:spacing w:val="4"/>
          <w:w w:val="103"/>
          <w:sz w:val="12"/>
        </w:rPr>
        <w:t>S</w:t>
      </w:r>
      <w:r>
        <w:rPr>
          <w:rFonts w:ascii="Century Gothic"/>
          <w:b/>
          <w:color w:val="4D4D4D"/>
          <w:w w:val="103"/>
          <w:position w:val="1"/>
          <w:sz w:val="12"/>
        </w:rPr>
        <w:t>t</w:t>
      </w:r>
    </w:p>
    <w:p>
      <w:pPr>
        <w:spacing w:after="0"/>
        <w:jc w:val="left"/>
        <w:rPr>
          <w:rFonts w:ascii="Century Gothic"/>
          <w:sz w:val="12"/>
        </w:rPr>
        <w:sectPr>
          <w:type w:val="continuous"/>
          <w:pgSz w:w="15840" w:h="24480"/>
          <w:pgMar w:top="1480" w:bottom="1320" w:left="0" w:right="0"/>
          <w:cols w:num="2" w:equalWidth="0">
            <w:col w:w="4672" w:space="1614"/>
            <w:col w:w="9554"/>
          </w:cols>
        </w:sectPr>
      </w:pPr>
    </w:p>
    <w:p>
      <w:pPr>
        <w:pStyle w:val="BodyText"/>
        <w:spacing w:before="9"/>
        <w:rPr>
          <w:rFonts w:ascii="Century Gothic"/>
          <w:b/>
          <w:sz w:val="15"/>
        </w:rPr>
      </w:pPr>
    </w:p>
    <w:p>
      <w:pPr>
        <w:spacing w:before="107"/>
        <w:ind w:left="3842" w:right="2619" w:firstLine="0"/>
        <w:jc w:val="center"/>
        <w:rPr>
          <w:rFonts w:ascii="Century Gothic"/>
          <w:b/>
          <w:sz w:val="12"/>
        </w:rPr>
      </w:pPr>
      <w:r>
        <w:rPr/>
        <w:pict>
          <v:shape style="position:absolute;margin-left:491.528436pt;margin-top:6.758455pt;width:35.550pt;height:6.25pt;mso-position-horizontal-relative:page;mso-position-vertical-relative:paragraph;z-index:252336128;rotation:69" type="#_x0000_t136" fillcolor="#4d4d4d" stroked="f">
            <o:extrusion v:ext="view" autorotationcenter="t"/>
            <v:textpath style="font-family:&quot;Century Gothic&quot;;font-size:6pt;v-text-kern:t;mso-text-shadow:auto;font-weight:bold" string="Jadwin Ave"/>
            <w10:wrap type="none"/>
          </v:shape>
        </w:pict>
      </w:r>
      <w:r>
        <w:rPr/>
        <w:pict>
          <v:shape style="position:absolute;margin-left:475.089783pt;margin-top:-8.070427pt;width:10.050pt;height:33.35pt;mso-position-horizontal-relative:page;mso-position-vertical-relative:paragraph;z-index:252348416" type="#_x0000_t202" filled="false" stroked="false">
            <v:textbox inset="0,0,0,0" style="layout-flow:vertical;mso-layout-flow-alt:bottom-to-top">
              <w:txbxContent>
                <w:p>
                  <w:pPr>
                    <w:spacing w:before="22"/>
                    <w:ind w:left="20" w:right="0" w:firstLine="0"/>
                    <w:jc w:val="left"/>
                    <w:rPr>
                      <w:rFonts w:ascii="Century Gothic"/>
                      <w:b/>
                      <w:sz w:val="12"/>
                    </w:rPr>
                  </w:pPr>
                  <w:r>
                    <w:rPr>
                      <w:rFonts w:ascii="Century Gothic"/>
                      <w:b/>
                      <w:color w:val="4D4D4D"/>
                      <w:w w:val="105"/>
                      <w:sz w:val="12"/>
                    </w:rPr>
                    <w:t>Stevens </w:t>
                  </w:r>
                  <w:r>
                    <w:rPr>
                      <w:rFonts w:ascii="Century Gothic"/>
                      <w:b/>
                      <w:color w:val="4D4D4D"/>
                      <w:w w:val="105"/>
                      <w:position w:val="1"/>
                      <w:sz w:val="12"/>
                    </w:rPr>
                    <w:t>Dr</w:t>
                  </w:r>
                </w:p>
              </w:txbxContent>
            </v:textbox>
            <w10:wrap type="none"/>
          </v:shape>
        </w:pict>
      </w:r>
      <w:r>
        <w:rPr>
          <w:rFonts w:ascii="Century Gothic"/>
          <w:b/>
          <w:color w:val="4D4D4D"/>
          <w:w w:val="105"/>
          <w:sz w:val="12"/>
        </w:rPr>
        <w:t>Van Giesen St</w:t>
      </w:r>
    </w:p>
    <w:p>
      <w:pPr>
        <w:pStyle w:val="BodyText"/>
        <w:rPr>
          <w:rFonts w:ascii="Century Gothic"/>
          <w:b/>
          <w:sz w:val="20"/>
        </w:rPr>
      </w:pPr>
    </w:p>
    <w:p>
      <w:pPr>
        <w:pStyle w:val="BodyText"/>
        <w:spacing w:before="11"/>
        <w:rPr>
          <w:rFonts w:ascii="Century Gothic"/>
          <w:b/>
          <w:sz w:val="15"/>
        </w:rPr>
      </w:pPr>
    </w:p>
    <w:p>
      <w:pPr>
        <w:spacing w:before="105"/>
        <w:ind w:left="3842" w:right="605" w:firstLine="0"/>
        <w:jc w:val="center"/>
        <w:rPr>
          <w:rFonts w:ascii="Century Gothic"/>
          <w:b/>
          <w:sz w:val="12"/>
        </w:rPr>
      </w:pPr>
      <w:r>
        <w:rPr/>
        <w:pict>
          <v:shape style="position:absolute;margin-left:430.924622pt;margin-top:-1.301005pt;width:10.1pt;height:35.1pt;mso-position-horizontal-relative:page;mso-position-vertical-relative:paragraph;z-index:252346368" type="#_x0000_t202" filled="false" stroked="false">
            <v:textbox inset="0,0,0,0" style="layout-flow:vertical;mso-layout-flow-alt:bottom-to-top">
              <w:txbxContent>
                <w:p>
                  <w:pPr>
                    <w:spacing w:before="23"/>
                    <w:ind w:left="20" w:right="0" w:firstLine="0"/>
                    <w:jc w:val="left"/>
                    <w:rPr>
                      <w:rFonts w:ascii="Century Gothic"/>
                      <w:b/>
                      <w:sz w:val="12"/>
                    </w:rPr>
                  </w:pPr>
                  <w:r>
                    <w:rPr>
                      <w:rFonts w:ascii="Century Gothic"/>
                      <w:b/>
                      <w:color w:val="4D4D4D"/>
                      <w:w w:val="105"/>
                      <w:sz w:val="12"/>
                    </w:rPr>
                    <w:t>Wright </w:t>
                  </w:r>
                  <w:r>
                    <w:rPr>
                      <w:rFonts w:ascii="Century Gothic"/>
                      <w:b/>
                      <w:color w:val="4D4D4D"/>
                      <w:w w:val="105"/>
                      <w:position w:val="1"/>
                      <w:sz w:val="12"/>
                    </w:rPr>
                    <w:t>Ave</w:t>
                  </w:r>
                </w:p>
              </w:txbxContent>
            </v:textbox>
            <w10:wrap type="none"/>
          </v:shape>
        </w:pict>
      </w:r>
      <w:r>
        <w:rPr>
          <w:rFonts w:ascii="Century Gothic"/>
          <w:b/>
          <w:color w:val="4D4D4D"/>
          <w:w w:val="105"/>
          <w:sz w:val="12"/>
        </w:rPr>
        <w:t>William</w:t>
      </w:r>
      <w:r>
        <w:rPr>
          <w:rFonts w:ascii="Century Gothic"/>
          <w:b/>
          <w:color w:val="4D4D4D"/>
          <w:w w:val="105"/>
          <w:position w:val="1"/>
          <w:sz w:val="12"/>
        </w:rPr>
        <w:t>s Blvd</w:t>
      </w:r>
    </w:p>
    <w:p>
      <w:pPr>
        <w:pStyle w:val="BodyText"/>
        <w:rPr>
          <w:rFonts w:ascii="Century Gothic"/>
          <w:b/>
          <w:sz w:val="20"/>
        </w:rPr>
      </w:pPr>
    </w:p>
    <w:p>
      <w:pPr>
        <w:pStyle w:val="BodyText"/>
        <w:spacing w:before="5"/>
        <w:rPr>
          <w:rFonts w:ascii="Century Gothic"/>
          <w:b/>
          <w:sz w:val="21"/>
        </w:rPr>
      </w:pPr>
    </w:p>
    <w:p>
      <w:pPr>
        <w:spacing w:before="0"/>
        <w:ind w:left="3842" w:right="2620" w:firstLine="0"/>
        <w:jc w:val="center"/>
        <w:rPr>
          <w:rFonts w:ascii="Century Gothic"/>
          <w:b/>
          <w:sz w:val="12"/>
        </w:rPr>
      </w:pPr>
      <w:r>
        <w:rPr/>
        <w:pict>
          <v:shape style="position:absolute;margin-left:401.146545pt;margin-top:-16.039232pt;width:10.1pt;height:40.35pt;mso-position-horizontal-relative:page;mso-position-vertical-relative:paragraph;z-index:252345344" type="#_x0000_t202" filled="false" stroked="false">
            <v:textbox inset="0,0,0,0" style="layout-flow:vertical;mso-layout-flow-alt:bottom-to-top">
              <w:txbxContent>
                <w:p>
                  <w:pPr>
                    <w:spacing w:before="24"/>
                    <w:ind w:left="20" w:right="0" w:firstLine="0"/>
                    <w:jc w:val="left"/>
                    <w:rPr>
                      <w:rFonts w:ascii="Century Gothic"/>
                      <w:b/>
                      <w:sz w:val="12"/>
                    </w:rPr>
                  </w:pPr>
                  <w:r>
                    <w:rPr>
                      <w:rFonts w:ascii="Century Gothic"/>
                      <w:b/>
                      <w:color w:val="4D4D4D"/>
                      <w:w w:val="105"/>
                      <w:sz w:val="12"/>
                    </w:rPr>
                    <w:t>By-pas</w:t>
                  </w:r>
                  <w:r>
                    <w:rPr>
                      <w:rFonts w:ascii="Century Gothic"/>
                      <w:b/>
                      <w:color w:val="4D4D4D"/>
                      <w:w w:val="105"/>
                      <w:position w:val="1"/>
                      <w:sz w:val="12"/>
                    </w:rPr>
                    <w:t>s Hwy</w:t>
                  </w:r>
                </w:p>
              </w:txbxContent>
            </v:textbox>
            <w10:wrap type="none"/>
          </v:shape>
        </w:pict>
      </w:r>
      <w:r>
        <w:rPr/>
        <w:pict>
          <v:shape style="position:absolute;margin-left:457.241974pt;margin-top:-11.847988pt;width:10pt;height:30.35pt;mso-position-horizontal-relative:page;mso-position-vertical-relative:paragraph;z-index:252347392" type="#_x0000_t202" filled="false" stroked="false">
            <v:textbox inset="0,0,0,0" style="layout-flow:vertical;mso-layout-flow-alt:bottom-to-top">
              <w:txbxContent>
                <w:p>
                  <w:pPr>
                    <w:spacing w:before="21"/>
                    <w:ind w:left="20" w:right="0" w:firstLine="0"/>
                    <w:jc w:val="left"/>
                    <w:rPr>
                      <w:rFonts w:ascii="Century Gothic"/>
                      <w:b/>
                      <w:sz w:val="12"/>
                    </w:rPr>
                  </w:pPr>
                  <w:r>
                    <w:rPr>
                      <w:rFonts w:ascii="Century Gothic"/>
                      <w:b/>
                      <w:color w:val="4D4D4D"/>
                      <w:w w:val="105"/>
                      <w:sz w:val="12"/>
                    </w:rPr>
                    <w:t>Thayer </w:t>
                  </w:r>
                  <w:r>
                    <w:rPr>
                      <w:rFonts w:ascii="Century Gothic"/>
                      <w:b/>
                      <w:color w:val="4D4D4D"/>
                      <w:w w:val="105"/>
                      <w:position w:val="1"/>
                      <w:sz w:val="12"/>
                    </w:rPr>
                    <w:t>Dr</w:t>
                  </w:r>
                </w:p>
              </w:txbxContent>
            </v:textbox>
            <w10:wrap type="none"/>
          </v:shape>
        </w:pict>
      </w:r>
      <w:r>
        <w:rPr/>
        <w:pict>
          <v:shape style="position:absolute;margin-left:499.223053pt;margin-top:14.022029pt;width:25.7pt;height:6.25pt;mso-position-horizontal-relative:page;mso-position-vertical-relative:paragraph;z-index:252370944;rotation:359" type="#_x0000_t136" fillcolor="#4d4d4d" stroked="f">
            <o:extrusion v:ext="view" autorotationcenter="t"/>
            <v:textpath style="font-family:&quot;Century Gothic&quot;;font-size:6pt;v-text-kern:t;mso-text-shadow:auto;font-weight:bold" string="Knight St"/>
            <w10:wrap type="none"/>
          </v:shape>
        </w:pict>
      </w:r>
      <w:r>
        <w:rPr>
          <w:rFonts w:ascii="Century Gothic"/>
          <w:b/>
          <w:color w:val="4D4D4D"/>
          <w:w w:val="105"/>
          <w:sz w:val="12"/>
        </w:rPr>
        <w:t>Swift B</w:t>
      </w:r>
      <w:r>
        <w:rPr>
          <w:rFonts w:ascii="Century Gothic"/>
          <w:b/>
          <w:color w:val="4D4D4D"/>
          <w:w w:val="105"/>
          <w:position w:val="1"/>
          <w:sz w:val="12"/>
        </w:rPr>
        <w:t>lvd</w:t>
      </w:r>
    </w:p>
    <w:p>
      <w:pPr>
        <w:pStyle w:val="BodyText"/>
        <w:spacing w:before="2"/>
        <w:rPr>
          <w:rFonts w:ascii="Century Gothic"/>
          <w:b/>
          <w:sz w:val="15"/>
        </w:rPr>
      </w:pPr>
    </w:p>
    <w:p>
      <w:pPr>
        <w:spacing w:before="109"/>
        <w:ind w:left="3842" w:right="393" w:firstLine="0"/>
        <w:jc w:val="center"/>
        <w:rPr>
          <w:rFonts w:ascii="Century Gothic"/>
          <w:b/>
          <w:sz w:val="12"/>
        </w:rPr>
      </w:pPr>
      <w:r>
        <w:rPr>
          <w:rFonts w:ascii="Century Gothic"/>
          <w:b/>
          <w:color w:val="4D4D4D"/>
          <w:w w:val="105"/>
          <w:sz w:val="12"/>
        </w:rPr>
        <w:t>Lee Blvd</w:t>
      </w:r>
    </w:p>
    <w:p>
      <w:pPr>
        <w:pStyle w:val="BodyText"/>
        <w:spacing w:before="2"/>
        <w:rPr>
          <w:rFonts w:ascii="Century Gothic"/>
          <w:b/>
          <w:sz w:val="26"/>
        </w:rPr>
      </w:pPr>
    </w:p>
    <w:p>
      <w:pPr>
        <w:spacing w:after="0"/>
        <w:rPr>
          <w:rFonts w:ascii="Century Gothic"/>
          <w:sz w:val="26"/>
        </w:rPr>
        <w:sectPr>
          <w:type w:val="continuous"/>
          <w:pgSz w:w="15840" w:h="24480"/>
          <w:pgMar w:top="1480" w:bottom="1320" w:left="0" w:right="0"/>
        </w:sectPr>
      </w:pPr>
    </w:p>
    <w:p>
      <w:pPr>
        <w:pStyle w:val="BodyText"/>
        <w:rPr>
          <w:rFonts w:ascii="Century Gothic"/>
          <w:b/>
          <w:sz w:val="36"/>
        </w:rPr>
      </w:pPr>
    </w:p>
    <w:p>
      <w:pPr>
        <w:pStyle w:val="Heading5"/>
        <w:spacing w:line="383" w:lineRule="exact" w:before="323"/>
        <w:ind w:left="5652"/>
      </w:pPr>
      <w:r>
        <w:rPr>
          <w:spacing w:val="-251"/>
          <w:w w:val="235"/>
        </w:rPr>
        <w:t>(</w:t>
      </w:r>
      <w:r>
        <w:rPr>
          <w:color w:val="72DFFF"/>
          <w:spacing w:val="-251"/>
          <w:w w:val="235"/>
        </w:rPr>
        <w:t>!</w:t>
      </w:r>
    </w:p>
    <w:p>
      <w:pPr>
        <w:tabs>
          <w:tab w:pos="6529" w:val="left" w:leader="none"/>
        </w:tabs>
        <w:spacing w:line="149" w:lineRule="exact" w:before="0"/>
        <w:ind w:left="5657" w:right="0" w:firstLine="0"/>
        <w:jc w:val="left"/>
        <w:rPr>
          <w:rFonts w:ascii="Arial"/>
          <w:sz w:val="35"/>
        </w:rPr>
      </w:pPr>
      <w:r>
        <w:rPr/>
        <w:pict>
          <v:shape style="position:absolute;margin-left:315.190765pt;margin-top:20.050859pt;width:9.85pt;height:32.6pt;mso-position-horizontal-relative:page;mso-position-vertical-relative:paragraph;z-index:252342272" type="#_x0000_t202" filled="false" stroked="false">
            <v:textbox inset="0,0,0,0" style="layout-flow:vertical;mso-layout-flow-alt:bottom-to-top">
              <w:txbxContent>
                <w:p>
                  <w:pPr>
                    <w:spacing w:before="29"/>
                    <w:ind w:left="20" w:right="0" w:firstLine="0"/>
                    <w:jc w:val="left"/>
                    <w:rPr>
                      <w:rFonts w:ascii="Century Gothic"/>
                      <w:b/>
                      <w:sz w:val="12"/>
                    </w:rPr>
                  </w:pPr>
                  <w:r>
                    <w:rPr>
                      <w:rFonts w:ascii="Century Gothic"/>
                      <w:b/>
                      <w:color w:val="4D4D4D"/>
                      <w:w w:val="105"/>
                      <w:sz w:val="12"/>
                    </w:rPr>
                    <w:t>Sirron Ave</w:t>
                  </w:r>
                </w:p>
              </w:txbxContent>
            </v:textbox>
            <w10:wrap type="none"/>
          </v:shape>
        </w:pict>
      </w:r>
      <w:r>
        <w:rPr/>
        <w:pict>
          <v:shape style="position:absolute;margin-left:319.036133pt;margin-top:29.751081pt;width:35.75pt;height:6.25pt;mso-position-horizontal-relative:page;mso-position-vertical-relative:paragraph;z-index:252356608;rotation:273" type="#_x0000_t136" fillcolor="#4d4d4d" stroked="f">
            <o:extrusion v:ext="view" autorotationcenter="t"/>
            <v:textpath style="font-family:&quot;Century Gothic&quot;;font-size:6pt;v-text-kern:t;mso-text-shadow:auto;font-weight:bold" string="Tomich Ave"/>
            <w10:wrap type="none"/>
          </v:shape>
        </w:pict>
      </w:r>
      <w:r>
        <w:rPr>
          <w:rFonts w:ascii="Arial"/>
          <w:color w:val="72DFFF"/>
          <w:spacing w:val="-251"/>
          <w:w w:val="257"/>
          <w:sz w:val="35"/>
        </w:rPr>
        <w:t>!</w:t>
      </w:r>
      <w:r>
        <w:rPr>
          <w:rFonts w:ascii="Arial"/>
          <w:w w:val="214"/>
          <w:sz w:val="35"/>
        </w:rPr>
        <w:t>(</w:t>
      </w:r>
      <w:r>
        <w:rPr>
          <w:rFonts w:ascii="Arial"/>
          <w:sz w:val="35"/>
        </w:rPr>
        <w:tab/>
      </w:r>
      <w:r>
        <w:rPr>
          <w:rFonts w:ascii="Arial"/>
          <w:spacing w:val="-261"/>
          <w:w w:val="214"/>
          <w:position w:val="-10"/>
          <w:sz w:val="35"/>
        </w:rPr>
        <w:t>(</w:t>
      </w:r>
      <w:r>
        <w:rPr>
          <w:rFonts w:ascii="Arial"/>
          <w:color w:val="72DFFF"/>
          <w:spacing w:val="-10"/>
          <w:w w:val="257"/>
          <w:position w:val="-10"/>
          <w:sz w:val="35"/>
        </w:rPr>
        <w:t>!</w:t>
      </w:r>
    </w:p>
    <w:p>
      <w:pPr>
        <w:pStyle w:val="BodyText"/>
        <w:rPr>
          <w:rFonts w:ascii="Arial"/>
          <w:sz w:val="36"/>
        </w:rPr>
      </w:pPr>
      <w:r>
        <w:rPr/>
        <w:br w:type="column"/>
      </w:r>
      <w:r>
        <w:rPr>
          <w:rFonts w:ascii="Arial"/>
          <w:sz w:val="36"/>
        </w:rPr>
      </w:r>
    </w:p>
    <w:p>
      <w:pPr>
        <w:pStyle w:val="BodyText"/>
        <w:rPr>
          <w:rFonts w:ascii="Arial"/>
          <w:sz w:val="38"/>
        </w:rPr>
      </w:pPr>
    </w:p>
    <w:p>
      <w:pPr>
        <w:spacing w:line="345" w:lineRule="exact" w:before="0"/>
        <w:ind w:left="0" w:right="0" w:firstLine="0"/>
        <w:jc w:val="right"/>
        <w:rPr>
          <w:rFonts w:ascii="Arial"/>
          <w:sz w:val="35"/>
        </w:rPr>
      </w:pPr>
      <w:r>
        <w:rPr>
          <w:rFonts w:ascii="Arial"/>
          <w:color w:val="72DFFF"/>
          <w:spacing w:val="-251"/>
          <w:w w:val="257"/>
          <w:sz w:val="35"/>
        </w:rPr>
        <w:t>!</w:t>
      </w:r>
      <w:r>
        <w:rPr>
          <w:rFonts w:ascii="Arial"/>
          <w:w w:val="214"/>
          <w:sz w:val="35"/>
        </w:rPr>
        <w:t>(</w:t>
      </w:r>
    </w:p>
    <w:p>
      <w:pPr>
        <w:tabs>
          <w:tab w:pos="1187" w:val="left" w:leader="none"/>
        </w:tabs>
        <w:spacing w:line="100" w:lineRule="exact" w:before="0"/>
        <w:ind w:left="727" w:right="0" w:firstLine="0"/>
        <w:jc w:val="left"/>
        <w:rPr>
          <w:rFonts w:ascii="Arial"/>
          <w:sz w:val="35"/>
        </w:rPr>
      </w:pPr>
      <w:r>
        <w:rPr/>
        <w:pict>
          <v:shape style="position:absolute;margin-left:341.269012pt;margin-top:2.83638pt;width:36.9pt;height:6.25pt;mso-position-horizontal-relative:page;mso-position-vertical-relative:paragraph;z-index:252323840;rotation:13" type="#_x0000_t136" fillcolor="#4d4d4d" stroked="f">
            <o:extrusion v:ext="view" autorotationcenter="t"/>
            <v:textpath style="font-family:&quot;Century Gothic&quot;;font-size:6pt;v-text-kern:t;mso-text-shadow:auto;font-weight:bold" string="Kennedy Rd"/>
            <w10:wrap type="none"/>
          </v:shape>
        </w:pict>
      </w:r>
      <w:r>
        <w:rPr/>
        <w:pict>
          <v:shape style="position:absolute;margin-left:494.010339pt;margin-top:61.815649pt;width:40.8pt;height:6.25pt;mso-position-horizontal-relative:page;mso-position-vertical-relative:paragraph;z-index:252335104;rotation:67" type="#_x0000_t136" fillcolor="#4d4d4d" stroked="f">
            <o:extrusion v:ext="view" autorotationcenter="t"/>
            <v:textpath style="font-family:&quot;Century Gothic&quot;;font-size:6pt;v-text-kern:t;mso-text-shadow:auto;font-weight:bold" string="Rockwood Dr"/>
            <w10:wrap type="none"/>
          </v:shape>
        </w:pict>
      </w:r>
      <w:r>
        <w:rPr/>
        <w:pict>
          <v:shape style="position:absolute;margin-left:352.136908pt;margin-top:24.862778pt;width:34.450pt;height:6.25pt;mso-position-horizontal-relative:page;mso-position-vertical-relative:paragraph;z-index:252362752;rotation:311" type="#_x0000_t136" fillcolor="#4d4d4d" stroked="f">
            <o:extrusion v:ext="view" autorotationcenter="t"/>
            <v:textpath style="font-family:&quot;Century Gothic&quot;;font-size:6pt;v-text-kern:t;mso-text-shadow:auto;font-weight:bold" string="Duportail St"/>
            <w10:wrap type="none"/>
          </v:shape>
        </w:pict>
      </w:r>
      <w:r>
        <w:rPr>
          <w:rFonts w:ascii="Arial"/>
          <w:spacing w:val="-251"/>
          <w:w w:val="214"/>
          <w:position w:val="-27"/>
          <w:sz w:val="35"/>
        </w:rPr>
        <w:t>(</w:t>
      </w:r>
      <w:r>
        <w:rPr>
          <w:rFonts w:ascii="Arial"/>
          <w:color w:val="72DFFF"/>
          <w:w w:val="257"/>
          <w:position w:val="-27"/>
          <w:sz w:val="35"/>
        </w:rPr>
        <w:t>!</w:t>
      </w:r>
      <w:r>
        <w:rPr>
          <w:rFonts w:ascii="Arial"/>
          <w:color w:val="72DFFF"/>
          <w:position w:val="-27"/>
          <w:sz w:val="35"/>
        </w:rPr>
        <w:tab/>
      </w:r>
      <w:r>
        <w:rPr>
          <w:rFonts w:ascii="Arial"/>
          <w:color w:val="72DFFF"/>
          <w:spacing w:val="-251"/>
          <w:w w:val="257"/>
          <w:sz w:val="35"/>
        </w:rPr>
        <w:t>!</w:t>
      </w:r>
      <w:r>
        <w:rPr>
          <w:rFonts w:ascii="Arial"/>
          <w:spacing w:val="-7"/>
          <w:w w:val="214"/>
          <w:sz w:val="35"/>
        </w:rPr>
        <w:t>(</w:t>
      </w:r>
      <w:r>
        <w:rPr>
          <w:rFonts w:ascii="Arial"/>
          <w:spacing w:val="-251"/>
          <w:w w:val="214"/>
          <w:position w:val="-22"/>
          <w:sz w:val="35"/>
        </w:rPr>
        <w:t>(</w:t>
      </w:r>
    </w:p>
    <w:p>
      <w:pPr>
        <w:pStyle w:val="BodyText"/>
        <w:spacing w:before="4"/>
        <w:rPr>
          <w:rFonts w:ascii="Arial"/>
          <w:sz w:val="44"/>
        </w:rPr>
      </w:pPr>
      <w:r>
        <w:rPr/>
        <w:br w:type="column"/>
      </w:r>
      <w:r>
        <w:rPr>
          <w:rFonts w:ascii="Arial"/>
          <w:sz w:val="44"/>
        </w:rPr>
      </w:r>
    </w:p>
    <w:p>
      <w:pPr>
        <w:spacing w:before="0"/>
        <w:ind w:left="0" w:right="0" w:firstLine="0"/>
        <w:jc w:val="right"/>
        <w:rPr>
          <w:rFonts w:ascii="Arial"/>
          <w:sz w:val="35"/>
        </w:rPr>
      </w:pPr>
      <w:r>
        <w:rPr>
          <w:rFonts w:ascii="Arial"/>
          <w:color w:val="72DFFF"/>
          <w:spacing w:val="-251"/>
          <w:w w:val="257"/>
          <w:sz w:val="35"/>
        </w:rPr>
        <w:t>!</w:t>
      </w:r>
      <w:r>
        <w:rPr>
          <w:rFonts w:ascii="Arial"/>
          <w:w w:val="214"/>
          <w:sz w:val="35"/>
        </w:rPr>
        <w:t>(</w:t>
      </w:r>
    </w:p>
    <w:p>
      <w:pPr>
        <w:tabs>
          <w:tab w:pos="1659" w:val="left" w:leader="none"/>
        </w:tabs>
        <w:spacing w:line="93" w:lineRule="auto" w:before="94"/>
        <w:ind w:left="1057" w:right="0" w:firstLine="0"/>
        <w:jc w:val="left"/>
        <w:rPr>
          <w:rFonts w:ascii="Century Gothic"/>
          <w:b/>
          <w:sz w:val="12"/>
        </w:rPr>
      </w:pPr>
      <w:r>
        <w:rPr/>
        <w:pict>
          <v:shape style="position:absolute;margin-left:406.018958pt;margin-top:37.490203pt;width:45.95pt;height:6.25pt;mso-position-horizontal-relative:page;mso-position-vertical-relative:paragraph;z-index:252334080;rotation:64" type="#_x0000_t136" fillcolor="#4d4d4d" stroked="f">
            <o:extrusion v:ext="view" autorotationcenter="t"/>
            <v:textpath style="font-family:&quot;Century Gothic&quot;;font-size:6pt;v-text-kern:t;mso-text-shadow:auto;font-weight:bold" string="Queensgate Dr"/>
            <w10:wrap type="none"/>
          </v:shape>
        </w:pict>
      </w:r>
      <w:r>
        <w:rPr/>
        <w:pict>
          <v:shape style="position:absolute;margin-left:475.814514pt;margin-top:-53.775093pt;width:10.2pt;height:42pt;mso-position-horizontal-relative:page;mso-position-vertical-relative:paragraph;z-index:252349440" type="#_x0000_t202" filled="false" stroked="false">
            <v:textbox inset="0,0,0,0" style="layout-flow:vertical;mso-layout-flow-alt:bottom-to-top">
              <w:txbxContent>
                <w:p>
                  <w:pPr>
                    <w:spacing w:before="25"/>
                    <w:ind w:left="20" w:right="0" w:firstLine="0"/>
                    <w:jc w:val="left"/>
                    <w:rPr>
                      <w:rFonts w:ascii="Century Gothic"/>
                      <w:b/>
                      <w:sz w:val="12"/>
                    </w:rPr>
                  </w:pPr>
                  <w:r>
                    <w:rPr>
                      <w:rFonts w:ascii="Century Gothic"/>
                      <w:b/>
                      <w:color w:val="4D4D4D"/>
                      <w:w w:val="105"/>
                      <w:sz w:val="12"/>
                    </w:rPr>
                    <w:t>Wellsia</w:t>
                  </w:r>
                  <w:r>
                    <w:rPr>
                      <w:rFonts w:ascii="Century Gothic"/>
                      <w:b/>
                      <w:color w:val="4D4D4D"/>
                      <w:w w:val="105"/>
                      <w:position w:val="1"/>
                      <w:sz w:val="12"/>
                    </w:rPr>
                    <w:t>n Way</w:t>
                  </w:r>
                </w:p>
              </w:txbxContent>
            </v:textbox>
            <w10:wrap type="none"/>
          </v:shape>
        </w:pict>
      </w:r>
      <w:r>
        <w:rPr/>
        <w:pict>
          <v:shape style="position:absolute;margin-left:492.626038pt;margin-top:-42.816238pt;width:10.15pt;height:37.7pt;mso-position-horizontal-relative:page;mso-position-vertical-relative:paragraph;z-index:252350464" type="#_x0000_t202" filled="false" stroked="false">
            <v:textbox inset="0,0,0,0" style="layout-flow:vertical;mso-layout-flow-alt:bottom-to-top">
              <w:txbxContent>
                <w:p>
                  <w:pPr>
                    <w:spacing w:before="24"/>
                    <w:ind w:left="20" w:right="0" w:firstLine="0"/>
                    <w:jc w:val="left"/>
                    <w:rPr>
                      <w:rFonts w:ascii="Century Gothic"/>
                      <w:b/>
                      <w:sz w:val="12"/>
                    </w:rPr>
                  </w:pPr>
                  <w:r>
                    <w:rPr>
                      <w:rFonts w:ascii="Century Gothic"/>
                      <w:b/>
                      <w:color w:val="4D4D4D"/>
                      <w:w w:val="105"/>
                      <w:sz w:val="12"/>
                    </w:rPr>
                    <w:t>Goeth</w:t>
                  </w:r>
                  <w:r>
                    <w:rPr>
                      <w:rFonts w:ascii="Century Gothic"/>
                      <w:b/>
                      <w:color w:val="4D4D4D"/>
                      <w:w w:val="105"/>
                      <w:position w:val="1"/>
                      <w:sz w:val="12"/>
                    </w:rPr>
                    <w:t>als Dr</w:t>
                  </w:r>
                </w:p>
              </w:txbxContent>
            </v:textbox>
            <w10:wrap type="none"/>
          </v:shape>
        </w:pict>
      </w:r>
      <w:r>
        <w:rPr/>
        <w:pict>
          <v:shape style="position:absolute;margin-left:403.845367pt;margin-top:-30.295261pt;width:34.5pt;height:6.25pt;mso-position-horizontal-relative:page;mso-position-vertical-relative:paragraph;z-index:252364800;rotation:312" type="#_x0000_t136" fillcolor="#4d4d4d" stroked="f">
            <o:extrusion v:ext="view" autorotationcenter="t"/>
            <v:textpath style="font-family:&quot;Century Gothic&quot;;font-size:6pt;v-text-kern:t;mso-text-shadow:auto;font-weight:bold" string="Duportail St"/>
            <w10:wrap type="none"/>
          </v:shape>
        </w:pict>
      </w:r>
      <w:r>
        <w:rPr/>
        <w:pict>
          <v:shape style="position:absolute;margin-left:505.018616pt;margin-top:-21.522398pt;width:38.2pt;height:6.25pt;mso-position-horizontal-relative:page;mso-position-vertical-relative:paragraph;z-index:-267670528;rotation:354" type="#_x0000_t136" fillcolor="#4d4d4d" stroked="f">
            <o:extrusion v:ext="view" autorotationcenter="t"/>
            <v:textpath style="font-family:&quot;Century Gothic&quot;;font-size:6pt;v-text-kern:t;mso-text-shadow:auto;font-weight:bold" string="Comstock St"/>
            <w10:wrap type="none"/>
          </v:shape>
        </w:pict>
      </w:r>
      <w:r>
        <w:rPr>
          <w:rFonts w:ascii="Arial"/>
          <w:spacing w:val="-251"/>
          <w:w w:val="214"/>
          <w:position w:val="-22"/>
          <w:sz w:val="35"/>
        </w:rPr>
        <w:t>(</w:t>
      </w:r>
      <w:r>
        <w:rPr>
          <w:rFonts w:ascii="Arial"/>
          <w:color w:val="72DFFF"/>
          <w:w w:val="257"/>
          <w:position w:val="-22"/>
          <w:sz w:val="35"/>
        </w:rPr>
        <w:t>!</w:t>
      </w:r>
      <w:r>
        <w:rPr>
          <w:rFonts w:ascii="Arial"/>
          <w:color w:val="72DFFF"/>
          <w:position w:val="-22"/>
          <w:sz w:val="35"/>
        </w:rPr>
        <w:tab/>
      </w:r>
      <w:r>
        <w:rPr>
          <w:rFonts w:ascii="Century Gothic"/>
          <w:b/>
          <w:color w:val="4D4D4D"/>
          <w:spacing w:val="-3"/>
          <w:w w:val="103"/>
          <w:sz w:val="12"/>
        </w:rPr>
        <w:t>A</w:t>
      </w:r>
      <w:r>
        <w:rPr>
          <w:rFonts w:ascii="Century Gothic"/>
          <w:b/>
          <w:color w:val="4D4D4D"/>
          <w:spacing w:val="-4"/>
          <w:w w:val="103"/>
          <w:sz w:val="12"/>
        </w:rPr>
        <w:t>a</w:t>
      </w:r>
      <w:r>
        <w:rPr>
          <w:rFonts w:ascii="Century Gothic"/>
          <w:b/>
          <w:color w:val="4D4D4D"/>
          <w:spacing w:val="1"/>
          <w:w w:val="103"/>
          <w:sz w:val="12"/>
        </w:rPr>
        <w:t>r</w:t>
      </w:r>
      <w:r>
        <w:rPr>
          <w:rFonts w:ascii="Century Gothic"/>
          <w:b/>
          <w:color w:val="4D4D4D"/>
          <w:spacing w:val="-7"/>
          <w:w w:val="103"/>
          <w:sz w:val="12"/>
        </w:rPr>
        <w:t>o</w:t>
      </w:r>
      <w:r>
        <w:rPr>
          <w:rFonts w:ascii="Century Gothic"/>
          <w:b/>
          <w:color w:val="4D4D4D"/>
          <w:w w:val="103"/>
          <w:sz w:val="12"/>
        </w:rPr>
        <w:t>n</w:t>
      </w:r>
      <w:r>
        <w:rPr>
          <w:rFonts w:ascii="Century Gothic"/>
          <w:b/>
          <w:color w:val="4D4D4D"/>
          <w:spacing w:val="3"/>
          <w:sz w:val="12"/>
        </w:rPr>
        <w:t> </w:t>
      </w:r>
      <w:r>
        <w:rPr>
          <w:rFonts w:ascii="Century Gothic"/>
          <w:b/>
          <w:color w:val="4D4D4D"/>
          <w:spacing w:val="-3"/>
          <w:w w:val="103"/>
          <w:position w:val="1"/>
          <w:sz w:val="12"/>
        </w:rPr>
        <w:t>D</w:t>
      </w:r>
      <w:r>
        <w:rPr>
          <w:rFonts w:ascii="Century Gothic"/>
          <w:b/>
          <w:color w:val="4D4D4D"/>
          <w:w w:val="103"/>
          <w:position w:val="1"/>
          <w:sz w:val="12"/>
        </w:rPr>
        <w:t>r</w:t>
      </w:r>
    </w:p>
    <w:p>
      <w:pPr>
        <w:spacing w:before="127"/>
        <w:ind w:left="1743" w:right="2754" w:firstLine="0"/>
        <w:jc w:val="center"/>
        <w:rPr>
          <w:rFonts w:ascii="Arial" w:hAnsi="Arial"/>
          <w:b/>
          <w:sz w:val="11"/>
        </w:rPr>
      </w:pPr>
      <w:r>
        <w:rPr/>
        <w:br w:type="column"/>
      </w:r>
      <w:r>
        <w:rPr>
          <w:rFonts w:ascii="Arial" w:hAnsi="Arial"/>
          <w:color w:val="FF0000"/>
          <w:spacing w:val="-262"/>
          <w:w w:val="127"/>
          <w:position w:val="-8"/>
          <w:sz w:val="37"/>
        </w:rPr>
        <w:t>§</w:t>
      </w:r>
      <w:r>
        <w:rPr>
          <w:rFonts w:ascii="Arial" w:hAnsi="Arial"/>
          <w:color w:val="0000FF"/>
          <w:spacing w:val="-262"/>
          <w:w w:val="212"/>
          <w:position w:val="-8"/>
          <w:sz w:val="37"/>
        </w:rPr>
        <w:t>¨</w:t>
      </w:r>
      <w:r>
        <w:rPr>
          <w:rFonts w:ascii="Arial" w:hAnsi="Arial"/>
          <w:spacing w:val="-224"/>
          <w:w w:val="272"/>
          <w:position w:val="-8"/>
          <w:sz w:val="37"/>
        </w:rPr>
        <w:t>¦</w:t>
      </w:r>
      <w:r>
        <w:rPr>
          <w:rFonts w:ascii="Arial" w:hAnsi="Arial"/>
          <w:b/>
          <w:color w:val="FFFFFF"/>
          <w:spacing w:val="-1"/>
          <w:w w:val="98"/>
          <w:sz w:val="11"/>
        </w:rPr>
        <w:t>18</w:t>
      </w:r>
      <w:r>
        <w:rPr>
          <w:rFonts w:ascii="Arial" w:hAnsi="Arial"/>
          <w:b/>
          <w:color w:val="FFFFFF"/>
          <w:w w:val="98"/>
          <w:sz w:val="11"/>
        </w:rPr>
        <w:t>2</w:t>
      </w:r>
    </w:p>
    <w:p>
      <w:pPr>
        <w:spacing w:after="0"/>
        <w:jc w:val="center"/>
        <w:rPr>
          <w:rFonts w:ascii="Arial" w:hAnsi="Arial"/>
          <w:sz w:val="11"/>
        </w:rPr>
        <w:sectPr>
          <w:type w:val="continuous"/>
          <w:pgSz w:w="15840" w:h="24480"/>
          <w:pgMar w:top="1480" w:bottom="1320" w:left="0" w:right="0"/>
          <w:cols w:num="4" w:equalWidth="0">
            <w:col w:w="6780" w:space="40"/>
            <w:col w:w="1503" w:space="39"/>
            <w:col w:w="2684" w:space="40"/>
            <w:col w:w="4754"/>
          </w:cols>
        </w:sectPr>
      </w:pPr>
    </w:p>
    <w:p>
      <w:pPr>
        <w:pStyle w:val="BodyText"/>
        <w:rPr>
          <w:rFonts w:ascii="Arial"/>
          <w:b/>
          <w:sz w:val="38"/>
        </w:rPr>
      </w:pPr>
    </w:p>
    <w:p>
      <w:pPr>
        <w:pStyle w:val="BodyText"/>
        <w:spacing w:before="4"/>
        <w:rPr>
          <w:rFonts w:ascii="Arial"/>
          <w:b/>
          <w:sz w:val="54"/>
        </w:rPr>
      </w:pPr>
    </w:p>
    <w:p>
      <w:pPr>
        <w:spacing w:before="0"/>
        <w:ind w:left="0" w:right="0" w:firstLine="0"/>
        <w:jc w:val="right"/>
        <w:rPr>
          <w:rFonts w:ascii="Arial" w:hAnsi="Arial"/>
          <w:b/>
          <w:sz w:val="11"/>
        </w:rPr>
      </w:pPr>
      <w:r>
        <w:rPr>
          <w:rFonts w:ascii="Arial" w:hAnsi="Arial"/>
          <w:color w:val="FF0000"/>
          <w:spacing w:val="-262"/>
          <w:w w:val="127"/>
          <w:position w:val="-8"/>
          <w:sz w:val="37"/>
        </w:rPr>
        <w:t>§</w:t>
      </w:r>
      <w:r>
        <w:rPr>
          <w:rFonts w:ascii="Arial" w:hAnsi="Arial"/>
          <w:spacing w:val="-262"/>
          <w:w w:val="272"/>
          <w:position w:val="-8"/>
          <w:sz w:val="37"/>
        </w:rPr>
        <w:t>¦</w:t>
      </w:r>
      <w:r>
        <w:rPr>
          <w:rFonts w:ascii="Arial" w:hAnsi="Arial"/>
          <w:color w:val="0000FF"/>
          <w:spacing w:val="-224"/>
          <w:w w:val="212"/>
          <w:position w:val="-8"/>
          <w:sz w:val="37"/>
        </w:rPr>
        <w:t>¨</w:t>
      </w:r>
      <w:r>
        <w:rPr>
          <w:rFonts w:ascii="Arial" w:hAnsi="Arial"/>
          <w:b/>
          <w:color w:val="FFFFFF"/>
          <w:spacing w:val="-1"/>
          <w:w w:val="98"/>
          <w:sz w:val="11"/>
        </w:rPr>
        <w:t>18</w:t>
      </w:r>
      <w:r>
        <w:rPr>
          <w:rFonts w:ascii="Arial" w:hAnsi="Arial"/>
          <w:b/>
          <w:color w:val="FFFFFF"/>
          <w:w w:val="98"/>
          <w:sz w:val="11"/>
        </w:rPr>
        <w:t>2</w:t>
      </w:r>
    </w:p>
    <w:p>
      <w:pPr>
        <w:pStyle w:val="BodyText"/>
        <w:rPr>
          <w:rFonts w:ascii="Arial"/>
          <w:b/>
          <w:sz w:val="38"/>
        </w:rPr>
      </w:pPr>
    </w:p>
    <w:p>
      <w:pPr>
        <w:pStyle w:val="BodyText"/>
        <w:rPr>
          <w:rFonts w:ascii="Arial"/>
          <w:b/>
          <w:sz w:val="38"/>
        </w:rPr>
      </w:pPr>
    </w:p>
    <w:p>
      <w:pPr>
        <w:pStyle w:val="BodyText"/>
        <w:rPr>
          <w:rFonts w:ascii="Arial"/>
          <w:b/>
          <w:sz w:val="38"/>
        </w:rPr>
      </w:pPr>
    </w:p>
    <w:p>
      <w:pPr>
        <w:pStyle w:val="BodyText"/>
        <w:spacing w:before="4"/>
        <w:rPr>
          <w:rFonts w:ascii="Arial"/>
          <w:b/>
          <w:sz w:val="34"/>
        </w:rPr>
      </w:pPr>
    </w:p>
    <w:p>
      <w:pPr>
        <w:pStyle w:val="Heading5"/>
        <w:spacing w:line="259" w:lineRule="exact"/>
        <w:ind w:right="973"/>
        <w:jc w:val="right"/>
      </w:pPr>
      <w:r>
        <w:rPr/>
        <w:pict>
          <v:shape style="position:absolute;margin-left:262.365387pt;margin-top:-3.803563pt;width:9.950pt;height:30.05pt;mso-position-horizontal-relative:page;mso-position-vertical-relative:paragraph;z-index:-267696128" type="#_x0000_t202" filled="false" stroked="false">
            <v:textbox inset="0,0,0,0" style="layout-flow:vertical;mso-layout-flow-alt:bottom-to-top">
              <w:txbxContent>
                <w:p>
                  <w:pPr>
                    <w:spacing w:before="29"/>
                    <w:ind w:left="20" w:right="0" w:firstLine="0"/>
                    <w:jc w:val="left"/>
                    <w:rPr>
                      <w:rFonts w:ascii="Century Gothic"/>
                      <w:b/>
                      <w:sz w:val="12"/>
                    </w:rPr>
                  </w:pPr>
                  <w:r>
                    <w:rPr>
                      <w:rFonts w:ascii="Century Gothic"/>
                      <w:b/>
                      <w:color w:val="4D4D4D"/>
                      <w:w w:val="105"/>
                      <w:sz w:val="12"/>
                    </w:rPr>
                    <w:t>Dallas Rd</w:t>
                  </w:r>
                </w:p>
              </w:txbxContent>
            </v:textbox>
            <w10:wrap type="none"/>
          </v:shape>
        </w:pict>
      </w:r>
      <w:r>
        <w:rPr>
          <w:spacing w:val="-253"/>
          <w:w w:val="235"/>
        </w:rPr>
        <w:t>(</w:t>
      </w:r>
      <w:r>
        <w:rPr>
          <w:color w:val="72DFFF"/>
          <w:spacing w:val="-253"/>
          <w:w w:val="235"/>
        </w:rPr>
        <w:t>!</w:t>
      </w:r>
    </w:p>
    <w:p>
      <w:pPr>
        <w:tabs>
          <w:tab w:pos="1886" w:val="left" w:leader="none"/>
        </w:tabs>
        <w:spacing w:before="26"/>
        <w:ind w:left="1415" w:right="0" w:firstLine="0"/>
        <w:jc w:val="left"/>
        <w:rPr>
          <w:rFonts w:ascii="Arial"/>
          <w:sz w:val="35"/>
        </w:rPr>
      </w:pPr>
      <w:r>
        <w:rPr/>
        <w:br w:type="column"/>
      </w:r>
      <w:r>
        <w:rPr>
          <w:rFonts w:ascii="Arial"/>
          <w:w w:val="235"/>
          <w:sz w:val="35"/>
        </w:rPr>
        <w:t>(</w:t>
        <w:tab/>
      </w:r>
      <w:r>
        <w:rPr>
          <w:rFonts w:ascii="Arial"/>
          <w:color w:val="72DFFF"/>
          <w:w w:val="240"/>
          <w:position w:val="-4"/>
          <w:sz w:val="35"/>
        </w:rPr>
        <w:t>!</w:t>
      </w:r>
    </w:p>
    <w:p>
      <w:pPr>
        <w:pStyle w:val="BodyText"/>
        <w:spacing w:before="1"/>
        <w:rPr>
          <w:rFonts w:ascii="Arial"/>
          <w:sz w:val="34"/>
        </w:rPr>
      </w:pPr>
    </w:p>
    <w:p>
      <w:pPr>
        <w:pStyle w:val="Heading5"/>
        <w:ind w:left="2005"/>
      </w:pPr>
      <w:r>
        <w:rPr>
          <w:color w:val="72DFFF"/>
          <w:spacing w:val="-251"/>
          <w:w w:val="257"/>
        </w:rPr>
        <w:t>!</w:t>
      </w:r>
      <w:r>
        <w:rPr>
          <w:w w:val="214"/>
        </w:rPr>
        <w:t>(</w:t>
      </w:r>
    </w:p>
    <w:p>
      <w:pPr>
        <w:spacing w:before="215"/>
        <w:ind w:left="2003" w:right="0" w:firstLine="0"/>
        <w:jc w:val="left"/>
        <w:rPr>
          <w:rFonts w:ascii="Century Gothic"/>
          <w:b/>
          <w:sz w:val="12"/>
        </w:rPr>
      </w:pPr>
      <w:r>
        <w:rPr/>
        <w:pict>
          <v:shape style="position:absolute;margin-left:464.662781pt;margin-top:24.756678pt;width:29.35pt;height:6.25pt;mso-position-horizontal-relative:page;mso-position-vertical-relative:paragraph;z-index:252329984;rotation:40" type="#_x0000_t136" fillcolor="#4d4d4d" stroked="f">
            <o:extrusion v:ext="view" autorotationcenter="t"/>
            <v:textpath style="font-family:&quot;Century Gothic&quot;;font-size:6pt;v-text-kern:t;mso-text-shadow:auto;font-weight:bold" string="Keene Rd"/>
            <w10:wrap type="none"/>
          </v:shape>
        </w:pict>
      </w:r>
      <w:r>
        <w:rPr/>
        <w:pict>
          <v:shape style="position:absolute;margin-left:453.858795pt;margin-top:26.017128pt;width:21pt;height:6.25pt;mso-position-horizontal-relative:page;mso-position-vertical-relative:paragraph;z-index:252331008;rotation:48" type="#_x0000_t136" fillcolor="#4d4d4d" stroked="f">
            <o:extrusion v:ext="view" autorotationcenter="t"/>
            <v:textpath style="font-family:&quot;Century Gothic&quot;;font-size:6pt;v-text-kern:t;mso-text-shadow:auto;font-weight:bold" string="Fuji Wy"/>
            <w10:wrap type="none"/>
          </v:shape>
        </w:pict>
      </w:r>
      <w:r>
        <w:rPr/>
        <w:pict>
          <v:shape style="position:absolute;margin-left:385.815198pt;margin-top:39.536832pt;width:45.9pt;height:6.25pt;mso-position-horizontal-relative:page;mso-position-vertical-relative:paragraph;z-index:252360704;rotation:285" type="#_x0000_t136" fillcolor="#4d4d4d" stroked="f">
            <o:extrusion v:ext="view" autorotationcenter="t"/>
            <v:textpath style="font-family:&quot;Century Gothic&quot;;font-size:6pt;v-text-kern:t;mso-text-shadow:auto;font-weight:bold" string="Queensgate Dr"/>
            <w10:wrap type="none"/>
          </v:shape>
        </w:pict>
      </w:r>
      <w:r>
        <w:rPr>
          <w:rFonts w:ascii="Century Gothic"/>
          <w:b/>
          <w:color w:val="4D4D4D"/>
          <w:w w:val="105"/>
          <w:sz w:val="12"/>
        </w:rPr>
        <w:t>Shockle</w:t>
      </w:r>
      <w:r>
        <w:rPr>
          <w:rFonts w:ascii="Century Gothic"/>
          <w:b/>
          <w:color w:val="4D4D4D"/>
          <w:w w:val="105"/>
          <w:position w:val="1"/>
          <w:sz w:val="12"/>
        </w:rPr>
        <w:t>y Rd</w:t>
      </w:r>
    </w:p>
    <w:p>
      <w:pPr>
        <w:pStyle w:val="BodyText"/>
        <w:rPr>
          <w:rFonts w:ascii="Century Gothic"/>
          <w:b/>
          <w:sz w:val="16"/>
        </w:rPr>
      </w:pPr>
    </w:p>
    <w:p>
      <w:pPr>
        <w:pStyle w:val="BodyText"/>
        <w:spacing w:before="1"/>
        <w:rPr>
          <w:rFonts w:ascii="Century Gothic"/>
          <w:b/>
          <w:sz w:val="18"/>
        </w:rPr>
      </w:pPr>
    </w:p>
    <w:p>
      <w:pPr>
        <w:spacing w:before="0"/>
        <w:ind w:left="0" w:right="0" w:firstLine="0"/>
        <w:jc w:val="right"/>
        <w:rPr>
          <w:rFonts w:ascii="Century Gothic"/>
          <w:b/>
          <w:sz w:val="12"/>
        </w:rPr>
      </w:pPr>
      <w:r>
        <w:rPr/>
        <w:pict>
          <v:shape style="position:absolute;margin-left:419.528619pt;margin-top:14.637825pt;width:27.05pt;height:6.25pt;mso-position-horizontal-relative:page;mso-position-vertical-relative:paragraph;z-index:-267699200;rotation:80" type="#_x0000_t136" fillcolor="#4d4d4d" stroked="f">
            <o:extrusion v:ext="view" autorotationcenter="t"/>
            <v:textpath style="font-family:&quot;Century Gothic&quot;;font-size:6pt;v-text-kern:t;mso-text-shadow:auto;font-weight:bold" string="Meadow"/>
            <w10:wrap type="none"/>
          </v:shape>
        </w:pict>
      </w:r>
      <w:r>
        <w:rPr/>
        <w:pict>
          <v:shape style="position:absolute;margin-left:415.725311pt;margin-top:16.526456pt;width:19.75pt;height:6.25pt;mso-position-horizontal-relative:page;mso-position-vertical-relative:paragraph;z-index:252339200;rotation:80" type="#_x0000_t136" fillcolor="#4d4d4d" stroked="f">
            <o:extrusion v:ext="view" autorotationcenter="t"/>
            <v:textpath style="font-family:&quot;Century Gothic&quot;;font-size:6pt;v-text-kern:t;mso-text-shadow:auto;font-weight:bold" string="Hills Dr"/>
            <w10:wrap type="none"/>
          </v:shape>
        </w:pict>
      </w:r>
      <w:r>
        <w:rPr/>
        <w:pict>
          <v:shape style="position:absolute;margin-left:462.704419pt;margin-top:18.214390pt;width:26.15pt;height:6.25pt;mso-position-horizontal-relative:page;mso-position-vertical-relative:paragraph;z-index:252354560;rotation:272" type="#_x0000_t136" fillcolor="#4d4d4d" stroked="f">
            <o:extrusion v:ext="view" autorotationcenter="t"/>
            <v:textpath style="font-family:&quot;Century Gothic&quot;;font-size:6pt;v-text-kern:t;mso-text-shadow:auto;font-weight:bold" string="Gala Wy"/>
            <w10:wrap type="none"/>
          </v:shape>
        </w:pict>
      </w:r>
      <w:r>
        <w:rPr>
          <w:rFonts w:ascii="Century Gothic"/>
          <w:b/>
          <w:color w:val="4D4D4D"/>
          <w:w w:val="105"/>
          <w:sz w:val="12"/>
        </w:rPr>
        <w:t>Westcliffe Blvd</w:t>
      </w: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21"/>
        </w:rPr>
      </w:pPr>
    </w:p>
    <w:p>
      <w:pPr>
        <w:spacing w:before="0"/>
        <w:ind w:left="0" w:right="78" w:firstLine="0"/>
        <w:jc w:val="right"/>
        <w:rPr>
          <w:rFonts w:ascii="Century Gothic"/>
          <w:b/>
          <w:sz w:val="12"/>
        </w:rPr>
      </w:pPr>
      <w:r>
        <w:rPr/>
        <w:pict>
          <v:shape style="position:absolute;margin-left:295.994720pt;margin-top:7.429202pt;width:30.95pt;height:6.25pt;mso-position-horizontal-relative:page;mso-position-vertical-relative:paragraph;z-index:252325888;rotation:23" type="#_x0000_t136" fillcolor="#4d4d4d" stroked="f">
            <o:extrusion v:ext="view" autorotationcenter="t"/>
            <v:textpath style="font-family:&quot;Century Gothic&quot;;font-size:6pt;v-text-kern:t;mso-text-shadow:auto;font-weight:bold" string="Corvina St"/>
            <w10:wrap type="none"/>
          </v:shape>
        </w:pict>
      </w:r>
      <w:r>
        <w:rPr/>
        <w:pict>
          <v:shape style="position:absolute;margin-left:463.093109pt;margin-top:-7.283406pt;width:29.35pt;height:6.25pt;mso-position-horizontal-relative:page;mso-position-vertical-relative:paragraph;z-index:252328960;rotation:28" type="#_x0000_t136" fillcolor="#4d4d4d" stroked="f">
            <o:extrusion v:ext="view" autorotationcenter="t"/>
            <v:textpath style="font-family:&quot;Century Gothic&quot;;font-size:6pt;v-text-kern:t;mso-text-shadow:auto;font-weight:bold" string="Melissa St"/>
            <w10:wrap type="none"/>
          </v:shape>
        </w:pict>
      </w:r>
      <w:r>
        <w:rPr/>
        <w:pict>
          <v:shape style="position:absolute;margin-left:483.995801pt;margin-top:22.564625pt;width:35.4pt;height:6.25pt;mso-position-horizontal-relative:page;mso-position-vertical-relative:paragraph;z-index:252333056;rotation:59" type="#_x0000_t136" fillcolor="#4d4d4d" stroked="f">
            <o:extrusion v:ext="view" autorotationcenter="t"/>
            <v:textpath style="font-family:&quot;Century Gothic&quot;;font-size:6pt;v-text-kern:t;mso-text-shadow:auto;font-weight:bold" string="Morency Dr"/>
            <w10:wrap type="none"/>
          </v:shape>
        </w:pict>
      </w:r>
      <w:r>
        <w:rPr>
          <w:rFonts w:ascii="Century Gothic"/>
          <w:b/>
          <w:color w:val="4D4D4D"/>
          <w:w w:val="105"/>
          <w:position w:val="1"/>
          <w:sz w:val="12"/>
        </w:rPr>
        <w:t>Ga</w:t>
      </w:r>
      <w:r>
        <w:rPr>
          <w:rFonts w:ascii="Century Gothic"/>
          <w:b/>
          <w:color w:val="4D4D4D"/>
          <w:w w:val="105"/>
          <w:sz w:val="12"/>
        </w:rPr>
        <w:t>la Wy</w:t>
      </w:r>
    </w:p>
    <w:p>
      <w:pPr>
        <w:pStyle w:val="BodyText"/>
        <w:rPr>
          <w:rFonts w:ascii="Century Gothic"/>
          <w:b/>
          <w:sz w:val="16"/>
        </w:rPr>
      </w:pPr>
      <w:r>
        <w:rPr/>
        <w:br w:type="column"/>
      </w:r>
      <w:r>
        <w:rPr>
          <w:rFonts w:ascii="Century Gothic"/>
          <w:b/>
          <w:sz w:val="16"/>
        </w:rPr>
      </w: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rPr>
          <w:rFonts w:ascii="Century Gothic"/>
          <w:b/>
          <w:sz w:val="16"/>
        </w:rPr>
      </w:pPr>
    </w:p>
    <w:p>
      <w:pPr>
        <w:pStyle w:val="BodyText"/>
        <w:spacing w:before="2"/>
        <w:rPr>
          <w:rFonts w:ascii="Century Gothic"/>
          <w:b/>
          <w:sz w:val="20"/>
        </w:rPr>
      </w:pPr>
    </w:p>
    <w:p>
      <w:pPr>
        <w:spacing w:before="0"/>
        <w:ind w:left="292" w:right="0" w:firstLine="0"/>
        <w:jc w:val="left"/>
        <w:rPr>
          <w:rFonts w:ascii="Century Gothic"/>
          <w:b/>
          <w:sz w:val="12"/>
        </w:rPr>
      </w:pPr>
      <w:r>
        <w:rPr/>
        <w:pict>
          <v:shape style="position:absolute;margin-left:494.762811pt;margin-top:25.054751pt;width:35.8pt;height:6.25pt;mso-position-horizontal-relative:page;mso-position-vertical-relative:paragraph;z-index:252358656;rotation:281" type="#_x0000_t136" fillcolor="#4d4d4d" stroked="f">
            <o:extrusion v:ext="view" autorotationcenter="t"/>
            <v:textpath style="font-family:&quot;Century Gothic&quot;;font-size:6pt;v-text-kern:t;mso-text-shadow:auto;font-weight:bold" string="Kapalua Av"/>
            <w10:wrap type="none"/>
          </v:shape>
        </w:pict>
      </w:r>
      <w:r>
        <w:rPr>
          <w:rFonts w:ascii="Century Gothic"/>
          <w:b/>
          <w:color w:val="4D4D4D"/>
          <w:w w:val="105"/>
          <w:position w:val="1"/>
          <w:sz w:val="12"/>
        </w:rPr>
        <w:t>Oa</w:t>
      </w:r>
      <w:r>
        <w:rPr>
          <w:rFonts w:ascii="Century Gothic"/>
          <w:b/>
          <w:color w:val="4D4D4D"/>
          <w:w w:val="105"/>
          <w:sz w:val="12"/>
        </w:rPr>
        <w:t>hu St</w:t>
      </w:r>
    </w:p>
    <w:p>
      <w:pPr>
        <w:pStyle w:val="BodyText"/>
        <w:rPr>
          <w:rFonts w:ascii="Century Gothic"/>
          <w:b/>
          <w:sz w:val="36"/>
        </w:rPr>
      </w:pPr>
      <w:r>
        <w:rPr/>
        <w:br w:type="column"/>
      </w:r>
      <w:r>
        <w:rPr>
          <w:rFonts w:ascii="Century Gothic"/>
          <w:b/>
          <w:sz w:val="36"/>
        </w:rPr>
      </w:r>
    </w:p>
    <w:p>
      <w:pPr>
        <w:pStyle w:val="BodyText"/>
        <w:spacing w:before="7"/>
        <w:rPr>
          <w:rFonts w:ascii="Century Gothic"/>
          <w:b/>
          <w:sz w:val="33"/>
        </w:rPr>
      </w:pPr>
    </w:p>
    <w:p>
      <w:pPr>
        <w:spacing w:before="1"/>
        <w:ind w:left="1560" w:right="0" w:firstLine="0"/>
        <w:jc w:val="left"/>
        <w:rPr>
          <w:rFonts w:ascii="Arial"/>
          <w:b/>
          <w:sz w:val="12"/>
        </w:rPr>
      </w:pPr>
      <w:r>
        <w:rPr>
          <w:rFonts w:ascii="Arial Black"/>
          <w:spacing w:val="-269"/>
          <w:w w:val="108"/>
          <w:position w:val="-3"/>
          <w:sz w:val="32"/>
        </w:rPr>
        <w:t>V</w:t>
      </w:r>
      <w:r>
        <w:rPr>
          <w:rFonts w:ascii="Arial Black"/>
          <w:color w:val="FFFFFF"/>
          <w:spacing w:val="-237"/>
          <w:w w:val="100"/>
          <w:position w:val="-3"/>
          <w:sz w:val="32"/>
        </w:rPr>
        <w:t>U</w:t>
      </w:r>
      <w:r>
        <w:rPr>
          <w:rFonts w:ascii="Arial"/>
          <w:b/>
          <w:spacing w:val="1"/>
          <w:w w:val="103"/>
          <w:sz w:val="12"/>
        </w:rPr>
        <w:t>24</w:t>
      </w:r>
      <w:r>
        <w:rPr>
          <w:rFonts w:ascii="Arial"/>
          <w:b/>
          <w:w w:val="103"/>
          <w:sz w:val="12"/>
        </w:rPr>
        <w:t>0</w:t>
      </w:r>
    </w:p>
    <w:p>
      <w:pPr>
        <w:pStyle w:val="Heading5"/>
        <w:spacing w:before="134"/>
        <w:ind w:left="1081" w:right="4330"/>
        <w:jc w:val="center"/>
      </w:pPr>
      <w:r>
        <w:rPr/>
        <w:pict>
          <v:shape style="position:absolute;margin-left:588.242737pt;margin-top:18.200689pt;width:53.05pt;height:6.25pt;mso-position-horizontal-relative:page;mso-position-vertical-relative:paragraph;z-index:252324864;rotation:16" type="#_x0000_t136" fillcolor="#4d4d4d" stroked="f">
            <o:extrusion v:ext="view" autorotationcenter="t"/>
            <v:textpath style="font-family:&quot;Century Gothic&quot;;font-size:6pt;v-text-kern:t;mso-text-shadow:auto;font-weight:bold" string="Columbia Park Trl"/>
            <w10:wrap type="none"/>
          </v:shape>
        </w:pict>
      </w:r>
      <w:r>
        <w:rPr/>
        <w:pict>
          <v:shape style="position:absolute;margin-left:525.479309pt;margin-top:11.346082pt;width:38.8pt;height:6.25pt;mso-position-horizontal-relative:page;mso-position-vertical-relative:paragraph;z-index:252326912;rotation:24" type="#_x0000_t136" fillcolor="#4d4d4d" stroked="f">
            <o:extrusion v:ext="view" autorotationcenter="t"/>
            <v:textpath style="font-family:&quot;Century Gothic&quot;;font-size:6pt;v-text-kern:t;mso-text-shadow:auto;font-weight:bold" string="Riverwood St"/>
            <w10:wrap type="none"/>
          </v:shape>
        </w:pict>
      </w:r>
      <w:r>
        <w:rPr/>
        <w:pict>
          <v:shape style="position:absolute;margin-left:553.729004pt;margin-top:42.920465pt;width:38.25pt;height:6.25pt;mso-position-horizontal-relative:page;mso-position-vertical-relative:paragraph;z-index:252332032;rotation:59" type="#_x0000_t136" fillcolor="#4d4d4d" stroked="f">
            <o:extrusion v:ext="view" autorotationcenter="t"/>
            <v:textpath style="font-family:&quot;Century Gothic&quot;;font-size:6pt;v-text-kern:t;mso-text-shadow:auto;font-weight:bold" string="Canyon Ave"/>
            <w10:wrap type="none"/>
          </v:shape>
        </w:pict>
      </w:r>
      <w:r>
        <w:rPr/>
        <w:pict>
          <v:shape style="position:absolute;margin-left:505.514832pt;margin-top:25.83931pt;width:42.2pt;height:6.25pt;mso-position-horizontal-relative:page;mso-position-vertical-relative:paragraph;z-index:252368896;rotation:358" type="#_x0000_t136" fillcolor="#4d4d4d" stroked="f">
            <o:extrusion v:ext="view" autorotationcenter="t"/>
            <v:textpath style="font-family:&quot;Century Gothic&quot;;font-size:6pt;v-text-kern:t;mso-text-shadow:auto;font-weight:bold" string="Englewood Dr"/>
            <w10:wrap type="none"/>
          </v:shape>
        </w:pict>
      </w:r>
      <w:r>
        <w:rPr>
          <w:color w:val="72DFFF"/>
          <w:spacing w:val="-251"/>
          <w:w w:val="235"/>
        </w:rPr>
        <w:t>!</w:t>
      </w:r>
      <w:r>
        <w:rPr>
          <w:spacing w:val="-251"/>
          <w:w w:val="235"/>
        </w:rPr>
        <w:t>(</w:t>
      </w:r>
    </w:p>
    <w:p>
      <w:pPr>
        <w:spacing w:line="326" w:lineRule="exact" w:before="161"/>
        <w:ind w:left="1081" w:right="2033" w:firstLine="0"/>
        <w:jc w:val="center"/>
        <w:rPr>
          <w:rFonts w:ascii="Arial"/>
          <w:sz w:val="35"/>
        </w:rPr>
      </w:pPr>
      <w:r>
        <w:rPr/>
        <w:pict>
          <v:shape style="position:absolute;margin-left:666.9646pt;margin-top:15.824082pt;width:26.6pt;height:6.25pt;mso-position-horizontal-relative:page;mso-position-vertical-relative:paragraph;z-index:252322816;rotation:3" type="#_x0000_t136" fillcolor="#4d4d4d" stroked="f">
            <o:extrusion v:ext="view" autorotationcenter="t"/>
            <v:textpath style="font-family:&quot;Century Gothic&quot;;font-size:6pt;v-text-kern:t;mso-text-shadow:auto;font-weight:bold" string="Fowler St"/>
            <w10:wrap type="none"/>
          </v:shape>
        </w:pict>
      </w:r>
      <w:r>
        <w:rPr/>
        <w:pict>
          <v:shape style="position:absolute;margin-left:621.439636pt;margin-top:18.771914pt;width:10.25pt;height:32.2pt;mso-position-horizontal-relative:page;mso-position-vertical-relative:paragraph;z-index:-267684864" type="#_x0000_t202" filled="false" stroked="false">
            <v:textbox inset="0,0,0,0" style="layout-flow:vertical;mso-layout-flow-alt:bottom-to-top">
              <w:txbxContent>
                <w:p>
                  <w:pPr>
                    <w:spacing w:before="26"/>
                    <w:ind w:left="20" w:right="0" w:firstLine="0"/>
                    <w:jc w:val="left"/>
                    <w:rPr>
                      <w:rFonts w:ascii="Century Gothic"/>
                      <w:b/>
                      <w:sz w:val="12"/>
                    </w:rPr>
                  </w:pPr>
                  <w:r>
                    <w:rPr>
                      <w:rFonts w:ascii="Century Gothic"/>
                      <w:b/>
                      <w:color w:val="4D4D4D"/>
                      <w:w w:val="105"/>
                      <w:sz w:val="12"/>
                    </w:rPr>
                    <w:t>Step</w:t>
                  </w:r>
                  <w:r>
                    <w:rPr>
                      <w:rFonts w:ascii="Century Gothic"/>
                      <w:b/>
                      <w:color w:val="4D4D4D"/>
                      <w:w w:val="105"/>
                      <w:position w:val="1"/>
                      <w:sz w:val="12"/>
                    </w:rPr>
                    <w:t>toe St</w:t>
                  </w:r>
                </w:p>
              </w:txbxContent>
            </v:textbox>
            <w10:wrap type="none"/>
          </v:shape>
        </w:pict>
      </w:r>
      <w:r>
        <w:rPr/>
        <w:pict>
          <v:shape style="position:absolute;margin-left:517.70343pt;margin-top:23.527063pt;width:41.25pt;height:6.25pt;mso-position-horizontal-relative:page;mso-position-vertical-relative:paragraph;z-index:252361728;rotation:300" type="#_x0000_t136" fillcolor="#4d4d4d" stroked="f">
            <o:extrusion v:ext="view" autorotationcenter="t"/>
            <v:textpath style="font-family:&quot;Century Gothic&quot;;font-size:6pt;v-text-kern:t;mso-text-shadow:auto;font-weight:bold" string="Elementary St"/>
            <w10:wrap type="none"/>
          </v:shape>
        </w:pict>
      </w:r>
      <w:r>
        <w:rPr/>
        <w:pict>
          <v:shape style="position:absolute;margin-left:586.596313pt;margin-top:21.51774pt;width:31.2pt;height:6.25pt;mso-position-horizontal-relative:page;mso-position-vertical-relative:paragraph;z-index:252367872;rotation:356" type="#_x0000_t136" fillcolor="#4d4d4d" stroked="f">
            <o:extrusion v:ext="view" autorotationcenter="t"/>
            <v:textpath style="font-family:&quot;Century Gothic&quot;;font-size:6pt;v-text-kern:t;mso-text-shadow:auto;font-weight:bold" string="Canyon St"/>
            <w10:wrap type="none"/>
          </v:shape>
        </w:pict>
      </w:r>
      <w:r>
        <w:rPr>
          <w:rFonts w:ascii="Arial"/>
          <w:spacing w:val="-251"/>
          <w:w w:val="214"/>
          <w:sz w:val="35"/>
        </w:rPr>
        <w:t>(</w:t>
      </w:r>
      <w:r>
        <w:rPr>
          <w:rFonts w:ascii="Arial"/>
          <w:color w:val="72DFFF"/>
          <w:w w:val="257"/>
          <w:sz w:val="35"/>
        </w:rPr>
        <w:t>!</w:t>
      </w:r>
    </w:p>
    <w:p>
      <w:pPr>
        <w:spacing w:line="326" w:lineRule="exact" w:before="0"/>
        <w:ind w:left="1081" w:right="455" w:firstLine="0"/>
        <w:jc w:val="center"/>
        <w:rPr>
          <w:rFonts w:ascii="Arial"/>
          <w:sz w:val="35"/>
        </w:rPr>
      </w:pPr>
      <w:r>
        <w:rPr/>
        <w:pict>
          <v:shape style="position:absolute;margin-left:636.800598pt;margin-top:5.475096pt;width:30.8pt;height:6.25pt;mso-position-horizontal-relative:page;mso-position-vertical-relative:paragraph;z-index:-267709440;rotation:25" type="#_x0000_t136" fillcolor="#4d4d4d" stroked="f">
            <o:extrusion v:ext="view" autorotationcenter="t"/>
            <v:textpath style="font-family:&quot;Century Gothic&quot;;font-size:6pt;v-text-kern:t;mso-text-shadow:auto;font-weight:bold" string="Tapteal Dr"/>
            <w10:wrap type="none"/>
          </v:shape>
        </w:pict>
      </w:r>
      <w:r>
        <w:rPr>
          <w:rFonts w:ascii="Arial"/>
          <w:color w:val="72DFFF"/>
          <w:spacing w:val="-251"/>
          <w:w w:val="257"/>
          <w:sz w:val="35"/>
        </w:rPr>
        <w:t>!</w:t>
      </w:r>
      <w:r>
        <w:rPr>
          <w:rFonts w:ascii="Arial"/>
          <w:w w:val="214"/>
          <w:sz w:val="35"/>
        </w:rPr>
        <w:t>(</w:t>
      </w:r>
    </w:p>
    <w:p>
      <w:pPr>
        <w:spacing w:before="258"/>
        <w:ind w:left="688" w:right="0" w:firstLine="0"/>
        <w:jc w:val="left"/>
        <w:rPr>
          <w:rFonts w:ascii="Arial"/>
          <w:sz w:val="35"/>
        </w:rPr>
      </w:pPr>
      <w:r>
        <w:rPr/>
        <w:pict>
          <v:shape style="position:absolute;margin-left:602.317188pt;margin-top:46.022221pt;width:34.1pt;height:6.25pt;mso-position-horizontal-relative:page;mso-position-vertical-relative:paragraph;z-index:252337152;rotation:75" type="#_x0000_t136" fillcolor="#4d4d4d" stroked="f">
            <o:extrusion v:ext="view" autorotationcenter="t"/>
            <v:textpath style="font-family:&quot;Century Gothic&quot;;font-size:6pt;v-text-kern:t;mso-text-shadow:auto;font-weight:bold" string="Bellerive Dr"/>
            <w10:wrap type="none"/>
          </v:shape>
        </w:pict>
      </w:r>
      <w:r>
        <w:rPr/>
        <w:pict>
          <v:shape style="position:absolute;margin-left:548.998474pt;margin-top:28.963661pt;width:10pt;height:28.15pt;mso-position-horizontal-relative:page;mso-position-vertical-relative:paragraph;z-index:-267685888" type="#_x0000_t202" filled="false" stroked="false">
            <v:textbox inset="0,0,0,0" style="layout-flow:vertical;mso-layout-flow-alt:bottom-to-top">
              <w:txbxContent>
                <w:p>
                  <w:pPr>
                    <w:spacing w:before="20"/>
                    <w:ind w:left="20" w:right="0" w:firstLine="0"/>
                    <w:jc w:val="left"/>
                    <w:rPr>
                      <w:rFonts w:ascii="Century Gothic"/>
                      <w:b/>
                      <w:sz w:val="12"/>
                    </w:rPr>
                  </w:pPr>
                  <w:r>
                    <w:rPr>
                      <w:rFonts w:ascii="Century Gothic"/>
                      <w:b/>
                      <w:color w:val="4D4D4D"/>
                      <w:w w:val="105"/>
                      <w:position w:val="1"/>
                      <w:sz w:val="12"/>
                    </w:rPr>
                    <w:t>Le</w:t>
                  </w:r>
                  <w:r>
                    <w:rPr>
                      <w:rFonts w:ascii="Century Gothic"/>
                      <w:b/>
                      <w:color w:val="4D4D4D"/>
                      <w:w w:val="105"/>
                      <w:sz w:val="12"/>
                    </w:rPr>
                    <w:t>slie Rd</w:t>
                  </w:r>
                </w:p>
              </w:txbxContent>
            </v:textbox>
            <w10:wrap type="none"/>
          </v:shape>
        </w:pict>
      </w:r>
      <w:r>
        <w:rPr/>
        <w:pict>
          <v:shape style="position:absolute;margin-left:564.674438pt;margin-top:14.445292pt;width:32.0500pt;height:6.25pt;mso-position-horizontal-relative:page;mso-position-vertical-relative:paragraph;z-index:252371968;rotation:359" type="#_x0000_t136" fillcolor="#4d4d4d" stroked="f">
            <o:extrusion v:ext="view" autorotationcenter="t"/>
            <v:textpath style="font-family:&quot;Century Gothic&quot;;font-size:6pt;v-text-kern:t;mso-text-shadow:auto;font-weight:bold" string="Gage Blvd"/>
            <w10:wrap type="none"/>
          </v:shape>
        </w:pict>
      </w:r>
      <w:r>
        <w:rPr>
          <w:rFonts w:ascii="Arial"/>
          <w:spacing w:val="-251"/>
          <w:w w:val="235"/>
          <w:sz w:val="35"/>
        </w:rPr>
        <w:t>(</w:t>
      </w:r>
      <w:r>
        <w:rPr>
          <w:rFonts w:ascii="Arial"/>
          <w:color w:val="72DFFF"/>
          <w:spacing w:val="-251"/>
          <w:w w:val="235"/>
          <w:sz w:val="35"/>
        </w:rPr>
        <w:t>!</w:t>
      </w:r>
    </w:p>
    <w:p>
      <w:pPr>
        <w:spacing w:after="0"/>
        <w:jc w:val="left"/>
        <w:rPr>
          <w:rFonts w:ascii="Arial"/>
          <w:sz w:val="35"/>
        </w:rPr>
        <w:sectPr>
          <w:type w:val="continuous"/>
          <w:pgSz w:w="15840" w:h="24480"/>
          <w:pgMar w:top="1480" w:bottom="1320" w:left="0" w:right="0"/>
          <w:cols w:num="4" w:equalWidth="0">
            <w:col w:w="6325" w:space="40"/>
            <w:col w:w="3152" w:space="39"/>
            <w:col w:w="771" w:space="39"/>
            <w:col w:w="5474"/>
          </w:cols>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9"/>
        <w:rPr>
          <w:rFonts w:ascii="Arial"/>
          <w:sz w:val="31"/>
        </w:rPr>
      </w:pPr>
    </w:p>
    <w:p>
      <w:pPr>
        <w:spacing w:line="213" w:lineRule="exact" w:before="0"/>
        <w:ind w:left="1093" w:right="0" w:firstLine="0"/>
        <w:jc w:val="left"/>
        <w:rPr>
          <w:rFonts w:ascii="Arial"/>
          <w:sz w:val="19"/>
        </w:rPr>
      </w:pPr>
      <w:r>
        <w:rPr>
          <w:rFonts w:ascii="Arial"/>
          <w:w w:val="102"/>
          <w:sz w:val="19"/>
          <w:u w:val="thick"/>
        </w:rPr>
        <w:t> </w:t>
      </w:r>
      <w:r>
        <w:rPr>
          <w:rFonts w:ascii="Arial"/>
          <w:spacing w:val="12"/>
          <w:sz w:val="19"/>
          <w:u w:val="thick"/>
        </w:rPr>
        <w:t> </w:t>
      </w:r>
    </w:p>
    <w:p>
      <w:pPr>
        <w:pStyle w:val="Heading5"/>
        <w:spacing w:line="104" w:lineRule="exact"/>
        <w:ind w:left="1088"/>
      </w:pPr>
      <w:r>
        <w:rPr>
          <w:spacing w:val="-251"/>
          <w:w w:val="214"/>
        </w:rPr>
        <w:t>(</w:t>
      </w:r>
      <w:r>
        <w:rPr>
          <w:color w:val="72DFFF"/>
          <w:w w:val="257"/>
        </w:rPr>
        <w:t>!</w:t>
      </w:r>
    </w:p>
    <w:p>
      <w:pPr>
        <w:pStyle w:val="BodyText"/>
        <w:rPr>
          <w:rFonts w:ascii="Arial"/>
        </w:rPr>
      </w:pPr>
      <w:r>
        <w:rPr/>
        <w:br w:type="column"/>
      </w:r>
      <w:r>
        <w:rPr>
          <w:rFonts w:ascii="Arial"/>
        </w:rPr>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9"/>
        <w:rPr>
          <w:rFonts w:ascii="Arial"/>
          <w:sz w:val="28"/>
        </w:rPr>
      </w:pPr>
    </w:p>
    <w:p>
      <w:pPr>
        <w:spacing w:line="314" w:lineRule="auto" w:before="0"/>
        <w:ind w:left="99" w:right="619" w:firstLine="0"/>
        <w:jc w:val="left"/>
        <w:rPr>
          <w:rFonts w:ascii="Arial"/>
          <w:sz w:val="19"/>
        </w:rPr>
      </w:pPr>
      <w:r>
        <w:rPr>
          <w:rFonts w:ascii="Arial"/>
          <w:w w:val="105"/>
          <w:sz w:val="19"/>
        </w:rPr>
        <w:t>Richland City Limits Urban Growth Area</w:t>
      </w:r>
    </w:p>
    <w:p>
      <w:pPr>
        <w:spacing w:line="8" w:lineRule="exact" w:before="31"/>
        <w:ind w:left="99" w:right="0" w:firstLine="0"/>
        <w:jc w:val="left"/>
        <w:rPr>
          <w:rFonts w:ascii="Arial"/>
          <w:sz w:val="19"/>
        </w:rPr>
      </w:pPr>
      <w:r>
        <w:rPr>
          <w:rFonts w:ascii="Arial"/>
          <w:w w:val="105"/>
          <w:sz w:val="19"/>
        </w:rPr>
        <w:t>Intersection Improvements</w:t>
      </w:r>
    </w:p>
    <w:p>
      <w:pPr>
        <w:spacing w:before="6"/>
        <w:ind w:left="1388" w:right="0" w:firstLine="0"/>
        <w:jc w:val="left"/>
        <w:rPr>
          <w:rFonts w:ascii="Century Gothic"/>
          <w:b/>
          <w:sz w:val="12"/>
        </w:rPr>
      </w:pPr>
      <w:r>
        <w:rPr/>
        <w:br w:type="column"/>
      </w:r>
      <w:r>
        <w:rPr>
          <w:rFonts w:ascii="Century Gothic"/>
          <w:b/>
          <w:color w:val="4D4D4D"/>
          <w:w w:val="105"/>
          <w:sz w:val="12"/>
        </w:rPr>
        <w:t>Ava </w:t>
      </w:r>
      <w:r>
        <w:rPr>
          <w:rFonts w:ascii="Century Gothic"/>
          <w:b/>
          <w:color w:val="4D4D4D"/>
          <w:spacing w:val="-6"/>
          <w:w w:val="105"/>
          <w:sz w:val="12"/>
        </w:rPr>
        <w:t>Way</w:t>
      </w:r>
    </w:p>
    <w:p>
      <w:pPr>
        <w:pStyle w:val="Heading5"/>
        <w:spacing w:line="361" w:lineRule="exact" w:before="4"/>
        <w:ind w:left="1293"/>
      </w:pPr>
      <w:r>
        <w:rPr>
          <w:spacing w:val="-251"/>
          <w:w w:val="214"/>
        </w:rPr>
        <w:t>(</w:t>
      </w:r>
      <w:r>
        <w:rPr>
          <w:color w:val="72DFFF"/>
          <w:w w:val="257"/>
        </w:rPr>
        <w:t>!</w:t>
      </w:r>
    </w:p>
    <w:p>
      <w:pPr>
        <w:spacing w:line="208" w:lineRule="auto" w:before="0"/>
        <w:ind w:left="1088" w:right="0" w:firstLine="0"/>
        <w:jc w:val="left"/>
        <w:rPr>
          <w:rFonts w:ascii="Arial"/>
          <w:sz w:val="35"/>
        </w:rPr>
      </w:pPr>
      <w:r>
        <w:rPr>
          <w:rFonts w:ascii="Arial"/>
          <w:color w:val="72DFFF"/>
          <w:spacing w:val="-251"/>
          <w:w w:val="257"/>
          <w:position w:val="-16"/>
          <w:sz w:val="35"/>
        </w:rPr>
        <w:t>!</w:t>
      </w:r>
      <w:r>
        <w:rPr>
          <w:rFonts w:ascii="Arial"/>
          <w:spacing w:val="-104"/>
          <w:w w:val="214"/>
          <w:position w:val="-16"/>
          <w:sz w:val="35"/>
        </w:rPr>
        <w:t>(</w:t>
      </w:r>
      <w:r>
        <w:rPr>
          <w:rFonts w:ascii="Arial"/>
          <w:spacing w:val="-251"/>
          <w:w w:val="214"/>
          <w:sz w:val="35"/>
        </w:rPr>
        <w:t>(</w:t>
      </w:r>
      <w:r>
        <w:rPr>
          <w:rFonts w:ascii="Arial"/>
          <w:color w:val="72DFFF"/>
          <w:w w:val="257"/>
          <w:sz w:val="35"/>
        </w:rPr>
        <w:t>!</w:t>
      </w:r>
    </w:p>
    <w:p>
      <w:pPr>
        <w:pStyle w:val="BodyText"/>
        <w:spacing w:before="5"/>
        <w:rPr>
          <w:rFonts w:ascii="Arial"/>
          <w:sz w:val="49"/>
        </w:rPr>
      </w:pPr>
      <w:r>
        <w:rPr/>
        <w:br w:type="column"/>
      </w:r>
      <w:r>
        <w:rPr>
          <w:rFonts w:ascii="Arial"/>
          <w:sz w:val="49"/>
        </w:rPr>
      </w:r>
    </w:p>
    <w:p>
      <w:pPr>
        <w:tabs>
          <w:tab w:pos="1752" w:val="left" w:leader="none"/>
        </w:tabs>
        <w:spacing w:before="1"/>
        <w:ind w:left="702" w:right="0" w:firstLine="0"/>
        <w:jc w:val="left"/>
        <w:rPr>
          <w:rFonts w:ascii="Arial"/>
          <w:sz w:val="35"/>
        </w:rPr>
      </w:pPr>
      <w:r>
        <w:rPr>
          <w:rFonts w:ascii="Arial"/>
          <w:spacing w:val="-251"/>
          <w:w w:val="214"/>
          <w:position w:val="-15"/>
          <w:sz w:val="35"/>
        </w:rPr>
        <w:t>(</w:t>
      </w:r>
      <w:r>
        <w:rPr>
          <w:rFonts w:ascii="Arial"/>
          <w:color w:val="72DFFF"/>
          <w:spacing w:val="-159"/>
          <w:w w:val="257"/>
          <w:position w:val="-15"/>
          <w:sz w:val="35"/>
        </w:rPr>
        <w:t>!</w:t>
      </w:r>
      <w:r>
        <w:rPr>
          <w:rFonts w:ascii="Arial"/>
          <w:color w:val="72DFFF"/>
          <w:spacing w:val="-251"/>
          <w:w w:val="257"/>
          <w:sz w:val="35"/>
        </w:rPr>
        <w:t>!</w:t>
      </w:r>
      <w:r>
        <w:rPr>
          <w:rFonts w:ascii="Arial"/>
          <w:w w:val="214"/>
          <w:sz w:val="35"/>
        </w:rPr>
        <w:t>(</w:t>
      </w:r>
      <w:r>
        <w:rPr>
          <w:rFonts w:ascii="Arial"/>
          <w:sz w:val="35"/>
        </w:rPr>
        <w:tab/>
      </w:r>
      <w:r>
        <w:rPr>
          <w:rFonts w:ascii="Arial"/>
          <w:color w:val="72DFFF"/>
          <w:spacing w:val="-261"/>
          <w:w w:val="257"/>
          <w:position w:val="-13"/>
          <w:sz w:val="35"/>
        </w:rPr>
        <w:t>!</w:t>
      </w:r>
      <w:r>
        <w:rPr>
          <w:rFonts w:ascii="Arial"/>
          <w:spacing w:val="-10"/>
          <w:w w:val="214"/>
          <w:position w:val="-13"/>
          <w:sz w:val="35"/>
        </w:rPr>
        <w:t>(</w:t>
      </w:r>
    </w:p>
    <w:p>
      <w:pPr>
        <w:pStyle w:val="BodyText"/>
        <w:rPr>
          <w:rFonts w:ascii="Arial"/>
          <w:sz w:val="52"/>
        </w:rPr>
      </w:pPr>
    </w:p>
    <w:p>
      <w:pPr>
        <w:spacing w:line="158" w:lineRule="exact" w:before="312"/>
        <w:ind w:left="0" w:right="3" w:firstLine="0"/>
        <w:jc w:val="right"/>
        <w:rPr>
          <w:rFonts w:ascii="Arial"/>
          <w:sz w:val="35"/>
        </w:rPr>
      </w:pPr>
      <w:r>
        <w:rPr/>
        <w:pict>
          <v:shape style="position:absolute;margin-left:521.03772pt;margin-top:22.286041pt;width:27.45pt;height:6.25pt;mso-position-horizontal-relative:page;mso-position-vertical-relative:paragraph;z-index:252321792;rotation:1" type="#_x0000_t136" fillcolor="#4d4d4d" stroked="f">
            <o:extrusion v:ext="view" autorotationcenter="t"/>
            <v:textpath style="font-family:&quot;Century Gothic&quot;;font-size:6pt;v-text-kern:t;mso-text-shadow:auto;font-weight:bold" string="Reata Rd"/>
            <w10:wrap type="none"/>
          </v:shape>
        </w:pict>
      </w:r>
      <w:r>
        <w:rPr>
          <w:rFonts w:ascii="Arial"/>
          <w:color w:val="72DFFF"/>
          <w:spacing w:val="-251"/>
          <w:w w:val="257"/>
          <w:sz w:val="35"/>
        </w:rPr>
        <w:t>!</w:t>
      </w:r>
      <w:r>
        <w:rPr>
          <w:rFonts w:ascii="Arial"/>
          <w:w w:val="214"/>
          <w:sz w:val="35"/>
        </w:rPr>
        <w:t>(</w:t>
      </w:r>
    </w:p>
    <w:p>
      <w:pPr>
        <w:pStyle w:val="BodyText"/>
        <w:rPr>
          <w:rFonts w:ascii="Arial"/>
          <w:sz w:val="36"/>
        </w:rPr>
      </w:pPr>
      <w:r>
        <w:rPr/>
        <w:br w:type="column"/>
      </w:r>
      <w:r>
        <w:rPr>
          <w:rFonts w:ascii="Arial"/>
          <w:sz w:val="36"/>
        </w:rPr>
      </w:r>
    </w:p>
    <w:p>
      <w:pPr>
        <w:pStyle w:val="BodyText"/>
        <w:rPr>
          <w:rFonts w:ascii="Arial"/>
          <w:sz w:val="36"/>
        </w:rPr>
      </w:pPr>
    </w:p>
    <w:p>
      <w:pPr>
        <w:pStyle w:val="BodyText"/>
        <w:rPr>
          <w:rFonts w:ascii="Arial"/>
          <w:sz w:val="36"/>
        </w:rPr>
      </w:pPr>
    </w:p>
    <w:p>
      <w:pPr>
        <w:pStyle w:val="BodyText"/>
        <w:rPr>
          <w:rFonts w:ascii="Arial"/>
          <w:sz w:val="36"/>
        </w:rPr>
      </w:pPr>
    </w:p>
    <w:p>
      <w:pPr>
        <w:pStyle w:val="BodyText"/>
        <w:spacing w:before="6"/>
        <w:rPr>
          <w:rFonts w:ascii="Arial"/>
          <w:sz w:val="33"/>
        </w:rPr>
      </w:pPr>
    </w:p>
    <w:p>
      <w:pPr>
        <w:spacing w:line="158" w:lineRule="exact" w:before="0"/>
        <w:ind w:left="299" w:right="0" w:firstLine="0"/>
        <w:jc w:val="left"/>
        <w:rPr>
          <w:rFonts w:ascii="Arial"/>
          <w:sz w:val="35"/>
        </w:rPr>
      </w:pPr>
      <w:r>
        <w:rPr/>
        <w:pict>
          <v:shape style="position:absolute;margin-left:576.109924pt;margin-top:-14.969461pt;width:47.6pt;height:6.25pt;mso-position-horizontal-relative:page;mso-position-vertical-relative:paragraph;z-index:252365824;rotation:332" type="#_x0000_t136" fillcolor="#4d4d4d" stroked="f">
            <o:extrusion v:ext="view" autorotationcenter="t"/>
            <v:textpath style="font-family:&quot;Century Gothic&quot;;font-size:6pt;v-text-kern:t;mso-text-shadow:auto;font-weight:bold" string="Clearwater Ave"/>
            <w10:wrap type="none"/>
          </v:shape>
        </w:pict>
      </w:r>
      <w:r>
        <w:rPr>
          <w:rFonts w:ascii="Arial"/>
          <w:spacing w:val="-251"/>
          <w:w w:val="214"/>
          <w:sz w:val="35"/>
        </w:rPr>
        <w:t>(</w:t>
      </w:r>
      <w:r>
        <w:rPr>
          <w:rFonts w:ascii="Arial"/>
          <w:color w:val="72DFFF"/>
          <w:w w:val="257"/>
          <w:sz w:val="35"/>
        </w:rPr>
        <w:t>!</w:t>
      </w:r>
    </w:p>
    <w:p>
      <w:pPr>
        <w:pStyle w:val="BodyText"/>
        <w:rPr>
          <w:rFonts w:ascii="Arial"/>
          <w:sz w:val="14"/>
        </w:rPr>
      </w:pPr>
      <w:r>
        <w:rPr/>
        <w:br w:type="column"/>
      </w:r>
      <w:r>
        <w:rPr>
          <w:rFonts w:ascii="Arial"/>
          <w:sz w:val="14"/>
        </w:rPr>
      </w:r>
    </w:p>
    <w:p>
      <w:pPr>
        <w:pStyle w:val="BodyText"/>
        <w:rPr>
          <w:rFonts w:ascii="Arial"/>
          <w:sz w:val="14"/>
        </w:rPr>
      </w:pPr>
    </w:p>
    <w:p>
      <w:pPr>
        <w:pStyle w:val="BodyText"/>
        <w:spacing w:before="1"/>
        <w:rPr>
          <w:rFonts w:ascii="Arial"/>
          <w:sz w:val="14"/>
        </w:rPr>
      </w:pPr>
    </w:p>
    <w:p>
      <w:pPr>
        <w:spacing w:before="0"/>
        <w:ind w:left="1088" w:right="0" w:firstLine="0"/>
        <w:jc w:val="left"/>
        <w:rPr>
          <w:rFonts w:ascii="Century Gothic"/>
          <w:b/>
          <w:sz w:val="12"/>
        </w:rPr>
      </w:pPr>
      <w:r>
        <w:rPr>
          <w:rFonts w:ascii="Century Gothic"/>
          <w:b/>
          <w:color w:val="4D4D4D"/>
          <w:w w:val="105"/>
          <w:sz w:val="12"/>
        </w:rPr>
        <w:t>Broadmoor </w:t>
      </w:r>
      <w:r>
        <w:rPr>
          <w:rFonts w:ascii="Century Gothic"/>
          <w:b/>
          <w:color w:val="4D4D4D"/>
          <w:spacing w:val="-9"/>
          <w:w w:val="105"/>
          <w:sz w:val="12"/>
        </w:rPr>
        <w:t>St</w:t>
      </w:r>
    </w:p>
    <w:p>
      <w:pPr>
        <w:pStyle w:val="BodyText"/>
        <w:rPr>
          <w:rFonts w:ascii="Century Gothic"/>
          <w:b/>
          <w:sz w:val="26"/>
        </w:rPr>
      </w:pPr>
      <w:r>
        <w:rPr/>
        <w:br w:type="column"/>
      </w:r>
      <w:r>
        <w:rPr>
          <w:rFonts w:ascii="Century Gothic"/>
          <w:b/>
          <w:sz w:val="26"/>
        </w:rPr>
      </w:r>
    </w:p>
    <w:p>
      <w:pPr>
        <w:pStyle w:val="BodyText"/>
        <w:rPr>
          <w:rFonts w:ascii="Century Gothic"/>
          <w:b/>
          <w:sz w:val="26"/>
        </w:rPr>
      </w:pPr>
    </w:p>
    <w:p>
      <w:pPr>
        <w:pStyle w:val="BodyText"/>
        <w:spacing w:before="12"/>
        <w:rPr>
          <w:rFonts w:ascii="Century Gothic"/>
          <w:b/>
          <w:sz w:val="31"/>
        </w:rPr>
      </w:pPr>
    </w:p>
    <w:p>
      <w:pPr>
        <w:spacing w:before="0"/>
        <w:ind w:left="878" w:right="0" w:firstLine="0"/>
        <w:jc w:val="left"/>
        <w:rPr>
          <w:rFonts w:ascii="Arial"/>
          <w:sz w:val="24"/>
        </w:rPr>
      </w:pPr>
      <w:r>
        <w:rPr/>
        <w:pict>
          <v:shape style="position:absolute;margin-left:518.413757pt;margin-top:25.887882pt;width:30.7pt;height:6.25pt;mso-position-horizontal-relative:page;mso-position-vertical-relative:paragraph;z-index:252372992;rotation:359" type="#_x0000_t136" fillcolor="#4d4d4d" stroked="f">
            <o:extrusion v:ext="view" autorotationcenter="t"/>
            <v:textpath style="font-family:&quot;Century Gothic&quot;;font-size:6pt;v-text-kern:t;mso-text-shadow:auto;font-weight:bold" string="Rachel Rd"/>
            <w10:wrap type="none"/>
          </v:shape>
        </w:pict>
      </w:r>
      <w:r>
        <w:rPr>
          <w:rFonts w:ascii="Arial"/>
          <w:emboss/>
          <w:color w:val="757576"/>
          <w:sz w:val="24"/>
        </w:rPr>
        <w:t>K</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n</w:t>
      </w:r>
      <w:r>
        <w:rPr>
          <w:rFonts w:ascii="Arial"/>
          <w:shadow w:val="0"/>
          <w:color w:val="757576"/>
          <w:sz w:val="24"/>
        </w:rPr>
        <w:t> </w:t>
      </w:r>
      <w:r>
        <w:rPr>
          <w:rFonts w:ascii="Arial"/>
          <w:emboss/>
          <w:color w:val="757576"/>
          <w:sz w:val="24"/>
        </w:rPr>
        <w:t>e</w:t>
      </w:r>
      <w:r>
        <w:rPr>
          <w:rFonts w:ascii="Arial"/>
          <w:shadow w:val="0"/>
          <w:color w:val="757576"/>
          <w:sz w:val="24"/>
        </w:rPr>
        <w:t> </w:t>
      </w:r>
      <w:r>
        <w:rPr>
          <w:rFonts w:ascii="Arial"/>
          <w:emboss/>
          <w:color w:val="757576"/>
          <w:sz w:val="24"/>
        </w:rPr>
        <w:t>w</w:t>
      </w:r>
      <w:r>
        <w:rPr>
          <w:rFonts w:ascii="Arial"/>
          <w:shadow w:val="0"/>
          <w:color w:val="757576"/>
          <w:sz w:val="24"/>
        </w:rPr>
        <w:t> </w:t>
      </w:r>
      <w:r>
        <w:rPr>
          <w:rFonts w:ascii="Arial"/>
          <w:emboss/>
          <w:color w:val="757576"/>
          <w:sz w:val="24"/>
        </w:rPr>
        <w:t>i</w:t>
      </w:r>
      <w:r>
        <w:rPr>
          <w:rFonts w:ascii="Arial"/>
          <w:shadow w:val="0"/>
          <w:color w:val="757576"/>
          <w:sz w:val="24"/>
        </w:rPr>
        <w:t> </w:t>
      </w:r>
      <w:r>
        <w:rPr>
          <w:rFonts w:ascii="Arial"/>
          <w:emboss/>
          <w:color w:val="757576"/>
          <w:sz w:val="24"/>
        </w:rPr>
        <w:t>c</w:t>
      </w:r>
      <w:r>
        <w:rPr>
          <w:rFonts w:ascii="Arial"/>
          <w:shadow w:val="0"/>
          <w:color w:val="757576"/>
          <w:sz w:val="24"/>
        </w:rPr>
        <w:t> </w:t>
      </w:r>
      <w:r>
        <w:rPr>
          <w:rFonts w:ascii="Arial"/>
          <w:emboss/>
          <w:color w:val="757576"/>
          <w:sz w:val="24"/>
        </w:rPr>
        <w:t>k</w:t>
      </w:r>
    </w:p>
    <w:p>
      <w:pPr>
        <w:spacing w:after="0"/>
        <w:jc w:val="left"/>
        <w:rPr>
          <w:rFonts w:ascii="Arial"/>
          <w:sz w:val="24"/>
        </w:rPr>
        <w:sectPr>
          <w:type w:val="continuous"/>
          <w:pgSz w:w="15840" w:h="24480"/>
          <w:pgMar w:top="1480" w:bottom="1320" w:left="0" w:right="0"/>
          <w:cols w:num="7" w:equalWidth="0">
            <w:col w:w="1339" w:space="40"/>
            <w:col w:w="2490" w:space="316"/>
            <w:col w:w="1938" w:space="39"/>
            <w:col w:w="2003" w:space="40"/>
            <w:col w:w="591" w:space="1315"/>
            <w:col w:w="1906" w:space="39"/>
            <w:col w:w="3784"/>
          </w:cols>
        </w:sectPr>
      </w:pPr>
    </w:p>
    <w:p>
      <w:pPr>
        <w:pStyle w:val="BodyText"/>
        <w:spacing w:before="2"/>
        <w:rPr>
          <w:rFonts w:ascii="Arial"/>
          <w:sz w:val="27"/>
        </w:rPr>
      </w:pPr>
      <w:r>
        <w:rPr/>
        <w:pict>
          <v:group style="position:absolute;margin-left:35.461315pt;margin-top:35.460236pt;width:721.3pt;height:1153.3pt;mso-position-horizontal-relative:page;mso-position-vertical-relative:page;z-index:-267716608" coordorigin="709,709" coordsize="14426,23066">
            <v:rect style="position:absolute;left:720;top:2880;width:14402;height:20881" filled="true" fillcolor="#e5e2cf" stroked="false">
              <v:fill type="solid"/>
            </v:rect>
            <v:shape style="position:absolute;left:717;top:3148;width:14412;height:20622" type="#_x0000_t75" stroked="false">
              <v:imagedata r:id="rId47" o:title=""/>
            </v:shape>
            <v:shape style="position:absolute;left:11943;top:19235;width:786;height:2994" coordorigin="11943,19235" coordsize="786,2994" path="m12636,19241l12620,19235,12625,19349,12625,19441,12604,19441,12268,19446,12263,19879,12263,19906,12263,20074,12263,20085,12620,20080,12614,21531,12723,21531,12728,21942,12365,22077,12003,22207,11943,22229e" filled="false" stroked="true" strokeweight="2.97767pt" strokecolor="#cccccc">
              <v:path arrowok="t"/>
              <v:stroke dashstyle="solid"/>
            </v:shape>
            <v:shape style="position:absolute;left:1621;top:5963;width:10352;height:17422" type="#_x0000_t75" stroked="false">
              <v:imagedata r:id="rId48" o:title=""/>
            </v:shape>
            <v:shape style="position:absolute;left:2235;top:6312;width:4830;height:1495" coordorigin="2236,6312" coordsize="4830,1495" path="m2236,6312l2588,6415,3335,6648,4033,6865,5057,7179,5446,7298,6172,7525,6448,7606,6827,7731,7065,7807e" filled="false" stroked="true" strokeweight="2.97767pt" strokecolor="#cccccc">
              <v:path arrowok="t"/>
              <v:stroke dashstyle="solid"/>
            </v:shape>
            <v:shape style="position:absolute;left:7035;top:6575;width:7845;height:13302" type="#_x0000_t75" stroked="false">
              <v:imagedata r:id="rId267" o:title=""/>
            </v:shape>
            <v:shape style="position:absolute;left:9531;top:20239;width:201;height:103" type="#_x0000_t75" stroked="false">
              <v:imagedata r:id="rId268" o:title=""/>
            </v:shape>
            <v:shape style="position:absolute;left:9463;top:20269;width:363;height:228" coordorigin="9464,20269" coordsize="363,228" path="m9561,20269l9464,20302,9464,20334,9469,20453,9550,20453,9713,20459,9713,20491,9767,20497,9799,20480,9826,20464e" filled="false" stroked="true" strokeweight="2.97767pt" strokecolor="#cccccc">
              <v:path arrowok="t"/>
              <v:stroke dashstyle="solid"/>
            </v:shape>
            <v:shape style="position:absolute;left:9672;top:20234;width:185;height:260" type="#_x0000_t75" stroked="false">
              <v:imagedata r:id="rId269" o:title=""/>
            </v:shape>
            <v:shape style="position:absolute;left:14842;top:21486;width:293;height:139" type="#_x0000_t75" stroked="false">
              <v:imagedata r:id="rId270" o:title=""/>
            </v:shape>
            <v:shape style="position:absolute;left:12814;top:21617;width:2036;height:233" coordorigin="12815,21617" coordsize="2036,233" path="m12815,21850l12842,21845,12869,21834,12885,21828,12907,21818,12939,21812,12950,21807,12956,21801,12966,21801,12983,21796,12993,21790,13010,21790,13021,21785,13031,21780,13042,21780,13058,21774,13080,21769,13096,21769,13102,21763,13113,21763,13140,21758,13167,21753,13178,21753,13199,21747,13237,21742,13264,21742,13280,21742,13335,21736,13356,21736,13372,21731,13475,21725,13524,21720,13562,21720,13751,21704,13946,21693,14103,21682,14320,21666,14499,21650,14612,21644,14721,21639,14737,21633,14758,21633,14775,21633,14791,21628,14807,21628,14818,21623,14850,21617e" filled="false" stroked="true" strokeweight=".81209pt" strokecolor="#897044">
              <v:path arrowok="t"/>
              <v:stroke dashstyle="solid"/>
            </v:shape>
            <v:line style="position:absolute" from="12945,21763" to="12966,21839" stroked="true" strokeweight=".2707pt" strokecolor="#897044">
              <v:stroke dashstyle="solid"/>
            </v:line>
            <v:line style="position:absolute" from="13251,21701" to="13251,21782" stroked="true" strokeweight=".541390pt" strokecolor="#897044">
              <v:stroke dashstyle="solid"/>
            </v:line>
            <v:line style="position:absolute" from="13548,21679" to="13548,21761" stroked="true" strokeweight=".541390pt" strokecolor="#897044">
              <v:stroke dashstyle="solid"/>
            </v:line>
            <v:shape style="position:absolute;left:13851;top:21614;width:596;height:125" coordorigin="13852,21615" coordsize="596,125" path="m13852,21658l13852,21739m14149,21636l14149,21717m14447,21615l14447,21696e" filled="false" stroked="true" strokeweight=".5414pt" strokecolor="#897044">
              <v:path arrowok="t"/>
              <v:stroke dashstyle="solid"/>
            </v:shape>
            <v:line style="position:absolute" from="14742,21596" to="14753,21671" stroked="true" strokeweight=".2707pt" strokecolor="#897044">
              <v:stroke dashstyle="solid"/>
            </v:line>
            <v:shape style="position:absolute;left:13345;top:21498;width:1782;height:239" coordorigin="13345,21498" coordsize="1782,239" path="m15127,21498l15089,21525,15067,21536,15051,21547,15029,21558,15007,21568,14980,21579,14959,21590,14937,21596,14915,21606,14894,21612,14872,21617,14856,21623,14818,21628,14796,21633,14780,21633,14764,21639,14742,21639,14726,21639,14704,21644,14683,21644,14661,21644,14628,21650,14553,21650,14444,21661,14390,21666,14309,21671,14217,21677,14011,21693,13935,21698,13827,21704,13432,21731,13400,21736,13389,21736,13383,21736,13372,21736,13345,21736e" filled="false" stroked="true" strokeweight=".81209pt" strokecolor="#897044">
              <v:path arrowok="t"/>
              <v:stroke dashstyle="solid"/>
            </v:shape>
            <v:shape style="position:absolute;left:14861;top:21454;width:266;height:201" coordorigin="14861,21455" coordsize="266,201" path="m15127,21469l15116,21455m14883,21655l14861,21579e" filled="false" stroked="true" strokeweight=".2707pt" strokecolor="#897044">
              <v:path arrowok="t"/>
              <v:stroke dashstyle="solid"/>
            </v:shape>
            <v:line style="position:absolute" from="14572,21609" to="14572,21696" stroked="true" strokeweight=".5414pt" strokecolor="#897044">
              <v:stroke dashstyle="solid"/>
            </v:line>
            <v:line style="position:absolute" from="14274,21631" to="14274,21717" stroked="true" strokeweight=".5414pt" strokecolor="#897044">
              <v:stroke dashstyle="solid"/>
            </v:line>
            <v:line style="position:absolute" from="13976,21652" to="13976,21734" stroked="true" strokeweight=".5414pt" strokecolor="#897044">
              <v:stroke dashstyle="solid"/>
            </v:line>
            <v:line style="position:absolute" from="13678,21674" to="13678,21755" stroked="true" strokeweight=".541390pt" strokecolor="#897044">
              <v:stroke dashstyle="solid"/>
            </v:line>
            <v:line style="position:absolute" from="13378,21774" to="13378,21693" stroked="true" strokeweight=".2707pt" strokecolor="#897044">
              <v:stroke dashstyle="solid"/>
            </v:line>
            <v:shape style="position:absolute;left:10756;top:23457;width:170;height:309" coordorigin="10756,23458" coordsize="170,309" path="m10756,23766l10817,23658,10925,23458e" filled="false" stroked="true" strokeweight=".81209pt" strokecolor="#897044">
              <v:path arrowok="t"/>
              <v:stroke dashstyle="solid"/>
            </v:shape>
            <v:line style="position:absolute" from="10833,23545" to="10904,23582" stroked="true" strokeweight=".2707pt" strokecolor="#897044">
              <v:stroke dashstyle="solid"/>
            </v:line>
            <v:shape style="position:absolute;left:9555;top:4146;width:87;height:3682" coordorigin="9556,4147" coordsize="87,3682" path="m9642,7828l9637,7823,9631,7753,9610,7460,9604,7346,9594,7227,9594,7103,9588,7016,9588,6924,9588,6740,9583,6377,9577,6015,9572,5652,9566,5306,9556,4147e" filled="false" stroked="true" strokeweight=".81209pt" strokecolor="#897044">
              <v:path arrowok="t"/>
              <v:stroke dashstyle="solid"/>
            </v:shape>
            <v:shape style="position:absolute;left:9517;top:4379;width:87;height:899" coordorigin="9518,4380" coordsize="87,899" path="m9523,5278l9604,5278m9523,4981l9604,4981m9518,4683l9599,4683m9518,4380l9599,4380e" filled="false" stroked="true" strokeweight=".2707pt" strokecolor="#897044">
              <v:path arrowok="t"/>
              <v:stroke dashstyle="solid"/>
            </v:shape>
            <v:shape style="position:absolute;left:717;top:2877;width:14418;height:20895" type="#_x0000_t75" stroked="false">
              <v:imagedata r:id="rId277" o:title=""/>
            </v:shape>
            <v:line style="position:absolute" from="9737,7799" to="9737,11096" stroked="true" strokeweight="4.872550pt" strokecolor="#00a539">
              <v:stroke dashstyle="solid"/>
            </v:line>
            <v:shape style="position:absolute;left:6448;top:20382;width:6199;height:2496" coordorigin="6448,20383" coordsize="6199,2496" path="m6448,20383l6767,20518,6881,20551,7044,20583,7293,20637,7358,20648,7487,20675,7558,20691,7715,20708,7812,20719,7856,20735,7980,20827,8040,20881,8110,20978,8251,21168m7293,20637l7249,20995,7233,21060,7217,21087,7168,21119,7114,21162,7081,21222,7016,21319,7000,21352,6995,21520,7006,22705m7000,22386l7081,22381,7179,22370,7255,22337,7406,22321,7482,22364,7552,22397,7699,22397,7823,22397,7899,22429,7969,22489,8013,22554,8029,22613,8034,22695m9967,22689l10059,22689,10151,22695,10222,22711,10292,22738,10324,22749,10389,22770,10487,22787,10633,22792,10714,22787,10877,22787,10925,22792,10969,22797,11039,22814,11072,22830,11093,22841,11158,22879m11272,22581l11331,22570,11386,22521,11440,22440,11478,22381,11499,22353,11548,22305,11564,22261,11564,22234,11553,22202,11548,22175,11548,22153,11559,22126,11570,22099,11580,22083,11597,22061,11808,21910,11873,21872,11927,21866,12014,21872,12106,21834,12160,21790,12192,21769,12246,21731,12328,21698,12365,21704,12441,21704,12495,21682,12533,21639,12577,21585,12647,21552e" filled="false" stroked="true" strokeweight="2.97767pt" strokecolor="#004ca7">
              <v:path arrowok="t"/>
              <v:stroke dashstyle="solid"/>
            </v:shape>
            <v:shape style="position:absolute;left:5503;top:21089;width:163;height:444" type="#_x0000_t75" stroked="false">
              <v:imagedata r:id="rId278" o:title=""/>
            </v:shape>
            <v:shape style="position:absolute;left:5343;top:21200;width:90;height:57" coordorigin="5344,21200" coordsize="90,57" path="m5373,21257l5433,21257m5371,21227l5365,21222,5344,21200e" filled="false" stroked="true" strokeweight="2.97767pt" strokecolor="#004ca7">
              <v:path arrowok="t"/>
              <v:stroke dashstyle="solid"/>
            </v:shape>
            <v:line style="position:absolute" from="5298,21144" to="5357,21144" stroked="true" strokeweight="1.89482pt" strokecolor="#004ca7">
              <v:stroke dashstyle="solid"/>
            </v:line>
            <v:shape style="position:absolute;left:11017;top:20242;width:130;height:536" type="#_x0000_t75" stroked="false">
              <v:imagedata r:id="rId279" o:title=""/>
            </v:shape>
            <v:shape style="position:absolute;left:2531;top:6623;width:11356;height:14458" type="#_x0000_t75" stroked="false">
              <v:imagedata r:id="rId280" o:title=""/>
            </v:shape>
            <v:shape style="position:absolute;left:11791;top:18542;width:1018;height:385" coordorigin="11792,18542" coordsize="1018,385" path="m11884,18575l11873,18558,11851,18548,11840,18542,11829,18548,11819,18548,11808,18558,11797,18564,11792,18575,11792,18596,11797,18613,11808,18629,11824,18634,11835,18640,11846,18640,11857,18634,11867,18629,11862,18618,11846,18623,11829,18623,11819,18613,11808,18596,11808,18580,11813,18569,11824,18564,11835,18558,11846,18564,11862,18569,11873,18580,11884,18575m11927,18591l11916,18591,11900,18596,11889,18602,11884,18618,11884,18629,11884,18645,11894,18656,11905,18661,11916,18661,11921,18661,11938,18650,11949,18640,11954,18629,11949,18618,11943,18602,11927,18591m11921,18607l11927,18613,11932,18618,11932,18623,11932,18634,11932,18640,11927,18645,11916,18645,11911,18645,11905,18645,11900,18640,11900,18629,11900,18623,11911,18613,11916,18607,11921,18607m11976,18586l11954,18672,11965,18678,11992,18591,11976,18586m11997,18618l11992,18645,11986,18656,11986,18667,11986,18672,11992,18683,11997,18688,12008,18694,12014,18694,12024,18694,12030,18688,12035,18683,12041,18678,12046,18661,12057,18634,12041,18629,12030,18661,12024,18667,12024,18672,12019,18678,12014,18678,12008,18672,12003,18667,12003,18661,12008,18650,12014,18623,11997,18618m12073,18640l12051,18705,12068,18710,12079,18683,12079,18672,12084,18667,12089,18661,12095,18661,12100,18667,12106,18672,12100,18688,12089,18715,12106,18721,12116,18694,12122,18688,12122,18683,12127,18678,12138,18678,12143,18683,12143,18688,12143,18699,12133,18732,12149,18737,12160,18699,12165,18688,12165,18683,12160,18672,12149,18661,12133,18661,12122,18667,12116,18656,12106,18650,12095,18650,12084,18656,12089,18645,12073,18640m12208,18656l12192,18650,12165,18737,12181,18743,12187,18737,12192,18748,12203,18753,12214,18753,12225,18748,12236,18737,12241,18726,12246,18715,12241,18699,12236,18688,12225,18683,12208,18683,12198,18688,12208,18656m12214,18699l12225,18705,12225,18715,12225,18721,12225,18732,12219,18732,12208,18737,12203,18737,12192,18726,12192,18721,12192,18710,12198,18705,12203,18699,12208,18699,12214,18699m12279,18672l12268,18678,12263,18683,12263,18688,12268,18694,12279,18694,12284,18688,12284,18678,12279,18672m12263,18699l12241,18764,12257,18770,12279,18705,12263,18699m12338,18721l12338,18732,12333,18721,12322,18715,12311,18715,12295,18721,12290,18726,12279,18737,12279,18753,12284,18764,12290,18775,12300,18780,12311,18786,12322,18780,12322,18786,12338,18791,12355,18726,12338,18721m12322,18732l12333,18743,12333,18748,12333,18753,12328,18764,12322,18770,12317,18770,12306,18770,12300,18764,12300,18759,12295,18753,12295,18743,12306,18732,12311,18732,12322,18732m12420,18721l12393,18807,12409,18813,12420,18775,12430,18780,12436,18780,12447,18780,12452,18775,12457,18770,12463,18764,12463,18753,12463,18748,12452,18737,12447,18732,12436,18726,12420,18721m12425,18764l12430,18743,12436,18748,12441,18748,12447,18753,12447,18759,12441,18764,12436,18764,12430,18764,12425,18764m12522,18780l12522,18786,12512,18775,12506,18770,12490,18770,12479,18775,12468,18780,12463,18797,12463,18807,12463,18824,12474,18835,12485,18840,12495,18840,12506,18835,12506,18840,12517,18845,12539,18786,12522,18780m12501,18786l12512,18797,12517,18802,12512,18813,12512,18818,12506,18824,12501,18824,12490,18824,12485,18818,12479,18813,12479,18807,12479,18802,12490,18786,12495,18786,12501,18786m12550,18786l12528,18851,12544,18856,12555,18829,12560,18818,12560,18807,12571,18807,12577,18807,12582,18797,12577,18791,12566,18791,12560,18797,12560,18791,12550,18786m12604,18775l12577,18862,12593,18867,12604,18840,12620,18878,12642,18883,12620,18840,12658,18818,12636,18813,12604,18829,12620,18780,12604,18775m12701,18807l12696,18824,12712,18829,12690,18900,12707,18905,12728,18835,12744,18840,12744,18824,12701,18807m12739,18845l12723,18910,12739,18916,12744,18889,12744,18883,12750,18872,12755,18867,12761,18867,12766,18867,12777,18856,12771,18851,12761,18851,12750,18856,12755,18851,12739,18845m12793,18835l12766,18921,12782,18927,12809,18840,12793,18835e" filled="false" stroked="true" strokeweight="1.62418pt" strokecolor="#ffffff">
              <v:path arrowok="t"/>
              <v:stroke dashstyle="solid"/>
            </v:shape>
            <v:shape style="position:absolute;left:10010;top:13182;width:320;height:683" type="#_x0000_t75" stroked="false">
              <v:imagedata r:id="rId281" o:title=""/>
            </v:shape>
            <v:shape style="position:absolute;left:11282;top:19933;width:661;height:163" type="#_x0000_t75" stroked="false">
              <v:imagedata r:id="rId282" o:title=""/>
            </v:shape>
            <v:shape style="position:absolute;left:10584;top:11596;width:455;height:130" type="#_x0000_t75" stroked="false">
              <v:imagedata r:id="rId283" o:title=""/>
            </v:shape>
            <v:shape style="position:absolute;left:12246;top:20285;width:260;height:688" type="#_x0000_t75" stroked="false">
              <v:imagedata r:id="rId284" o:title=""/>
            </v:shape>
            <v:shape style="position:absolute;left:10362;top:21990;width:629;height:141" type="#_x0000_t75" stroked="false">
              <v:imagedata r:id="rId285" o:title=""/>
            </v:shape>
            <v:shape style="position:absolute;left:10416;top:22624;width:564;height:136" type="#_x0000_t75" stroked="false">
              <v:imagedata r:id="rId286" o:title=""/>
            </v:shape>
            <v:shape style="position:absolute;left:5560;top:20469;width:580;height:147" type="#_x0000_t75" stroked="false">
              <v:imagedata r:id="rId287" o:title=""/>
            </v:shape>
            <v:shape style="position:absolute;left:11206;top:20962;width:807;height:98" coordorigin="11207,20962" coordsize="807,98" path="m11207,21054l11234,21054,11245,21054,11250,21054,11261,21043,11266,21027,11261,21016,11250,21005,11256,21000,11256,20989,11256,20984,11250,20978,11239,20968,11234,20968,11223,20968,11207,20968,11207,21054m11223,20978l11229,20978,11239,20984,11239,20989,11239,21000,11229,21000,11223,21000,11223,20978m11223,21016l11229,21016,11239,21016,11245,21022,11245,21027,11245,21038,11239,21038,11229,21038,11223,21038,11223,21016m11277,20989l11277,21054,11293,21054,11293,21027,11293,21016,11293,21005,11304,21000,11304,21005,11310,20989,11304,20989,11299,20989,11288,21000,11288,20989,11277,20989m11348,20989l11331,20989,11326,20995,11315,21005,11310,21022,11315,21033,11321,21043,11331,21054,11348,21054,11358,21054,11364,21049,11375,21038,11380,21033,11380,21022,11380,21011,11375,21005,11364,20995,11348,20989m11348,21000l11353,21005,11358,21005,11364,21011,11364,21022,11364,21027,11358,21033,11353,21038,11348,21038,11342,21038,11331,21033,11331,21027,11331,21022,11331,21016,11331,21005,11342,21005,11348,21000m11445,20989l11445,20995,11434,20989,11423,20989,11413,20989,11402,20995,11396,21005,11391,21022,11396,21033,11402,21043,11413,21054,11423,21054,11434,21054,11445,21049,11445,21054,11461,21054,11461,20989,11445,20989m11429,21000l11434,21005,11440,21005,11445,21011,11445,21022,11445,21027,11440,21033,11434,21038,11429,21038,11418,21038,11413,21033,11413,21027,11413,21022,11413,21016,11413,21005,11418,21005,11429,21000m11532,20962l11532,20995,11521,20989,11510,20989,11499,20989,11488,20995,11483,21005,11478,21022,11483,21033,11488,21043,11499,21054,11510,21054,11521,21054,11532,21049,11532,21054,11548,21054,11548,20962,11532,20962m11515,21000l11521,21005,11526,21005,11532,21011,11532,21022,11532,21027,11526,21033,11521,21038,11515,21038,11505,21038,11499,21033,11499,21027,11499,21022,11499,21016,11499,21005,11505,21005,11515,21000m11564,20989l11564,21054,11580,21054,11580,21027,11586,21016,11586,21011,11591,21005,11597,21000,11602,21005,11607,21011,11607,21016,11607,21022,11607,21054,11624,21054,11624,21027,11629,21016,11629,21011,11635,21005,11640,21000,11651,21005,11651,21011,11651,21022,11651,21054,11667,21054,11667,21016,11667,21005,11667,21000,11662,20989,11645,20989,11635,20989,11624,21000,11613,20989,11602,20989,11591,20989,11580,20995,11580,20989,11564,20989m11716,20989l11705,20989,11694,20995,11683,21005,11683,21022,11683,21033,11689,21043,11705,21054,11716,21054,11727,21054,11732,21049,11748,21038,11748,21033,11748,21022,11748,21011,11748,21005,11732,20995,11716,20989m11716,21000l11721,21005,11727,21005,11732,21011,11732,21022,11732,21027,11727,21033,11721,21038,11716,21038,11710,21038,11705,21033,11700,21027,11700,21022,11700,21016,11705,21005,11710,21005,11716,21000m11797,20989l11786,20989,11775,20995,11764,21005,11764,21022,11764,21033,11775,21043,11786,21054,11797,21054,11808,21054,11813,21049,11829,21038,11829,21033,11835,21022,11829,21011,11829,21005,11813,20995,11797,20989m11797,21000l11802,21005,11808,21005,11813,21011,11813,21022,11813,21027,11808,21033,11802,21038,11797,21038,11792,21038,11786,21033,11781,21027,11781,21022,11781,21016,11786,21005,11792,21005,11797,21000m11846,20989l11846,21054,11862,21054,11862,21027,11862,21016,11862,21005,11873,21000,11873,21005,11878,20989,11873,20989,11867,20989,11857,21000,11857,20989,11846,20989m11970,20978l11965,20973,11954,20968,11943,20962,11938,20968,11927,20973,11921,20978,11921,20989,11927,21000,11932,21005,11943,21016,11949,21022,11954,21027,11954,21033,11954,21038,11943,21043,11938,21038,11932,21033,11916,21038,11921,21049,11927,21054,11943,21060,11954,21054,11965,21049,11970,21043,11970,21033,11970,21022,11965,21011,11959,21005,11949,21000,11943,20995,11938,20989,11938,20984,11938,20978,11943,20978,11949,20978,11959,20989,11970,20978m11986,20962l11986,20989,11981,20989,11981,21000,11986,21000,11986,21054,12003,21054,12003,21000,12014,21000,12014,20989,12003,20989,12003,20962,11986,20962e" filled="false" stroked="true" strokeweight="1.62418pt" strokecolor="#ffffff">
              <v:path arrowok="t"/>
              <v:stroke dashstyle="solid"/>
            </v:shape>
            <v:shape style="position:absolute;left:5928;top:20101;width:607;height:347" type="#_x0000_t75" stroked="false">
              <v:imagedata r:id="rId288" o:title=""/>
            </v:shape>
            <v:shape style="position:absolute;left:11580;top:22028;width:845;height:477" coordorigin="11580,22029" coordsize="845,477" path="m11651,22413l11629,22408,11607,22413,11597,22424,11586,22429,11580,22440,11580,22456,11580,22467,11586,22478,11597,22494,11613,22500,11635,22505,11651,22500,11667,22483,11672,22478,11678,22462,11662,22456,11656,22467,11656,22473,11645,22483,11635,22483,11629,22489,11613,22483,11602,22473,11597,22456,11597,22446,11602,22435,11613,22429,11629,22424,11645,22429,11651,22413m11651,22391l11694,22473,11710,22462,11667,22381,11651,22391m11764,22402l11754,22386,11743,22381,11727,22381,11716,22386,11705,22391,11700,22402,11700,22418,11700,22429,11710,22440,11721,22451,11737,22451,11748,22446,11764,22435,11770,22418,11754,22418,11748,22429,11743,22435,11737,22435,11727,22435,11721,22435,11716,22429,11764,22402m11743,22397l11710,22413,11716,22408,11721,22397,11732,22391,11743,22397m11802,22337l11802,22343,11792,22343,11781,22348,11775,22353,11770,22364,11764,22381,11770,22391,11781,22402,11792,22408,11802,22413,11813,22408,11824,22402,11829,22391,11835,22397,11846,22391,11819,22332,11802,22337m11792,22359l11797,22359,11808,22359,11813,22359,11819,22370,11819,22375,11819,22381,11819,22391,11813,22391,11802,22397,11797,22397,11792,22391,11786,22386,11781,22375,11786,22370,11786,22364,11792,22359m11824,22326l11857,22386,11873,22375,11862,22353,11857,22348,11851,22337,11851,22332,11857,22326,11862,22321,11857,22310,11851,22310,11846,22316,11846,22326,11840,22321,11824,22326m11862,22305l11916,22353,11921,22348,11916,22305,11949,22332,11959,22326,11949,22261,11932,22267,11938,22305,11911,22278,11900,22283,11905,22326,11878,22299,11862,22305m12003,22229l12008,22234,11992,22234,11981,22240,11976,22245,11970,22256,11970,22272,11970,22283,11981,22294,11992,22305,12003,22305,12019,22299,12024,22294,12030,22283,12035,22289,12051,22283,12019,22224,12003,22229m11992,22251l12003,22251,12008,22251,12014,22251,12019,22261,12024,22267,12019,22272,12019,22283,12014,22283,12008,22289,11997,22289,11992,22283,11986,22278,11986,22267,11986,22261,11986,22256,11992,22251m12024,22191l12035,22213,12024,22218,12030,22229,12041,22229,12062,22272,12079,22267,12057,22218,12062,22213,12057,22202,12046,22207,12035,22186,12024,22191m12143,22202l12138,22196,12133,22186,12116,22180,12106,22180,12089,22180,12079,22191,12073,22202,12073,22218,12079,22229,12089,22240,12100,22245,12111,22251,12127,22245,12138,22234,12143,22218,12127,22218,12127,22224,12116,22229,12111,22234,12106,22234,12100,22229,12095,22224,12143,22202m12122,22196l12089,22213,12089,22202,12100,22196,12111,22191,12122,22196m12133,22164l12165,22218,12181,22213,12165,22191,12165,22186,12160,22175,12160,22169,12160,22159,12165,22159,12165,22142,12160,22148,12154,22153,12149,22164,12143,22153,12133,22164m12219,22088l12230,22186,12246,22175,12246,22159,12279,22142,12290,22153,12306,22142,12236,22083,12219,22088m12236,22104l12263,22126,12241,22137,12236,22104m12279,22083l12333,22132,12344,22126,12338,22050,12322,22061,12328,22104,12290,22077,12279,22083m12420,22050l12420,22045,12414,22034,12398,22029,12387,22029,12371,22029,12360,22039,12355,22050,12355,22067,12360,22077,12365,22088,12376,22094,12393,22099,12403,22094,12420,22083,12425,22067,12409,22067,12403,22072,12398,22077,12393,22083,12387,22083,12382,22077,12376,22072,12420,22050m12403,22045l12371,22061,12371,22050,12382,22045,12393,22039,12403,22045e" filled="false" stroked="true" strokeweight="1.62418pt" strokecolor="#ffffff">
              <v:path arrowok="t"/>
              <v:stroke dashstyle="solid"/>
            </v:shape>
            <v:shape style="position:absolute;left:720;top:2880;width:14402;height:20881" coordorigin="720,2880" coordsize="14402,20881" path="m720,13318l720,2880,15121,2880,15121,23761,720,23761,720,13318e" filled="false" stroked="true" strokeweight="1.082790pt" strokecolor="#000000">
              <v:path arrowok="t"/>
              <v:stroke dashstyle="solid"/>
            </v:shape>
            <v:shape style="position:absolute;left:817;top:21833;width:3720;height:1803" coordorigin="818,21834" coordsize="3720,1803" path="m4429,23631l920,23631,926,23637,4423,23637,4429,23631xm4450,23626l904,23626,910,23631,4445,23631,4450,23626xm4461,23620l888,23620,893,23626,4456,23626,4461,23620xm4467,21850l882,21850,839,21893,839,21899,828,21910,828,21920,823,21926,823,21937,818,21942,818,23528,823,23534,823,23545,828,23550,828,23561,839,23572,839,23577,855,23593,855,23599,861,23604,866,23604,882,23620,4467,23620,4472,23615,4477,23615,4515,23577,4515,23572,4521,23566,4521,23561,4526,23555,4526,23550,4531,23545,4531,23528,4537,23523,4537,21947,4531,21942,4531,21926,4526,21920,4526,21915,4521,21910,4521,21904,4515,21899,4515,21893,4477,21855,4472,21855,4467,21850xm4456,21845l893,21845,888,21850,4461,21850,4456,21845xm4445,21839l910,21839,904,21845,4450,21845,4445,21839xm4423,21834l926,21834,920,21839,4429,21839,4423,21834xe" filled="true" fillcolor="#ffffff" stroked="false">
              <v:path arrowok="t"/>
              <v:fill type="solid"/>
            </v:shape>
            <v:rect style="position:absolute;left:1012;top:22055;width:396;height:185" filled="false" stroked="true" strokeweight="1.89488pt" strokecolor="#000000">
              <v:stroke dashstyle="solid"/>
            </v:rect>
            <v:rect style="position:absolute;left:1012;top:22342;width:396;height:190" filled="true" fillcolor="#cccccc" stroked="false">
              <v:fill type="solid"/>
            </v:rect>
            <v:shape style="position:absolute;left:1012;top:22342;width:396;height:190" coordorigin="1012,22343" coordsize="396,190" path="m1012,22532l1012,22408m1067,22343l1191,22343m1310,22343l1408,22343,1408,22364m1408,22483l1408,22532,1332,22532e" filled="false" stroked="true" strokeweight="1.89488pt" strokecolor="#000000">
              <v:path arrowok="t"/>
              <v:stroke dashstyle="solid"/>
            </v:shape>
            <v:line style="position:absolute" from="1012,23068" to="1408,23068" stroked="true" strokeweight="2.97767pt" strokecolor="#004ca7">
              <v:stroke dashstyle="solid"/>
            </v:line>
            <v:line style="position:absolute" from="4402,23637" to="947,23637" stroked="true" strokeweight="1.082790pt" strokecolor="#000000">
              <v:stroke dashstyle="solid"/>
            </v:line>
            <v:shape style="position:absolute;left:806;top:23490;width:152;height:157" type="#_x0000_t75" stroked="false">
              <v:imagedata r:id="rId289" o:title=""/>
            </v:shape>
            <v:line style="position:absolute" from="818,23501" to="818,21969" stroked="true" strokeweight="1.082790pt" strokecolor="#000000">
              <v:stroke dashstyle="solid"/>
            </v:line>
            <v:shape style="position:absolute;left:806;top:21822;width:152;height:157" type="#_x0000_t75" stroked="false">
              <v:imagedata r:id="rId290" o:title=""/>
            </v:shape>
            <v:line style="position:absolute" from="947,21834" to="4402,21834" stroked="true" strokeweight="1.082790pt" strokecolor="#000000">
              <v:stroke dashstyle="solid"/>
            </v:line>
            <v:shape style="position:absolute;left:4390;top:21822;width:157;height:157" type="#_x0000_t75" stroked="false">
              <v:imagedata r:id="rId291" o:title=""/>
            </v:shape>
            <v:line style="position:absolute" from="4537,21969" to="4537,23501" stroked="true" strokeweight="1.082790pt" strokecolor="#000000">
              <v:stroke dashstyle="solid"/>
            </v:line>
            <v:shape style="position:absolute;left:4390;top:23490;width:157;height:157" type="#_x0000_t75" stroked="false">
              <v:imagedata r:id="rId292" o:title=""/>
            </v:shape>
            <v:rect style="position:absolute;left:720;top:720;width:14402;height:2161" filled="false" stroked="true" strokeweight="1.082790pt" strokecolor="#000000">
              <v:stroke dashstyle="solid"/>
            </v:rect>
            <v:shape style="position:absolute;left:14541;top:947;width:342;height:1706" coordorigin="14542,947" coordsize="342,1706" path="m14714,2000l14709,2000,14709,2595,14712,2595,14712,2598,14780,2653,14780,2135,14714,2074,14714,2000xm14883,1658l14598,1658,14576,1662,14558,1674,14546,1692,14542,1714,14542,2000,14827,2000,14848,1995,14866,1983,14878,1965,14882,1949,14709,1949,14689,1947,14670,1942,14651,1933,14634,1921,14622,1909,14634,1898,14612,1898,14596,1860,14592,1819,14592,1818,14602,1780,14627,1745,14645,1730,14666,1719,14687,1713,14709,1710,14883,1710,14883,1658xm14883,1740l14793,1740,14803,1752,14825,1791,14832,1834,14822,1877,14796,1914,14778,1929,14758,1940,14736,1947,14714,1949,14882,1949,14883,1944,14883,1740xm14712,1911l14711,1911,14711,1913,14709,1913,14703,1916,14694,1919,14688,1923,14683,1924,14676,1924,14671,1926,14683,1931,14696,1934,14727,1934,14732,1932,14714,1914,14712,1911xm14753,1881l14744,1890,14735,1896,14725,1903,14750,1928,14760,1923,14771,1918,14780,1909,14753,1881xm14678,1877l14647,1908,14655,1913,14668,1913,14688,1906,14701,1900,14678,1877xm14714,1729l14709,1729,14671,1738,14640,1760,14618,1792,14611,1829,14611,1834,14612,1845,14614,1859,14619,1872,14625,1885,14612,1898,14634,1898,14663,1868,14642,1868,14635,1857,14632,1844,14632,1829,14634,1815,14638,1800,14646,1786,14657,1773,14668,1763,14681,1756,14695,1752,14709,1750,14783,1750,14789,1743,14766,1743,14755,1738,14742,1733,14728,1730,14714,1729xm14786,1842l14780,1852,14771,1862,14763,1870,14791,1898,14799,1888,14806,1877,14809,1867,14786,1842xm14712,1842l14688,1867,14709,1886,14714,1891,14724,1886,14732,1878,14742,1870,14714,1844,14712,1842xm14722,1770l14709,1770,14698,1771,14688,1774,14679,1780,14670,1788,14661,1797,14656,1808,14653,1819,14652,1829,14652,1839,14653,1847,14655,1854,14642,1868,14663,1868,14714,1817,14759,1773,14735,1773,14722,1770xm14748,1806l14724,1830,14753,1860,14762,1850,14775,1830,14748,1806xm14807,1789l14807,1794,14806,1799,14804,1806,14801,1812,14794,1829,14814,1849,14815,1834,14815,1829,14815,1818,14812,1803,14807,1789xm14791,1765l14760,1794,14783,1817,14785,1811,14788,1806,14794,1786,14794,1773,14791,1765xm14783,1750l14727,1750,14739,1753,14750,1758,14735,1773,14759,1773,14783,1750xm14883,1710l14714,1710,14731,1712,14748,1716,14764,1723,14778,1732,14766,1743,14789,1743,14793,1740,14883,1740,14883,1710xm14714,947l14644,1523,14709,1585,14709,1658,14714,1658,14714,947xe" filled="true" fillcolor="#335f93" stroked="false">
              <v:path arrowok="t"/>
              <v:fill type="solid"/>
            </v:shape>
            <v:shape style="position:absolute;left:14592;top:1710;width:186;height:188" type="#_x0000_t75" stroked="false">
              <v:imagedata r:id="rId58" o:title=""/>
            </v:shape>
            <w10:wrap type="none"/>
          </v:group>
        </w:pict>
      </w:r>
    </w:p>
    <w:p>
      <w:pPr>
        <w:tabs>
          <w:tab w:pos="1407" w:val="left" w:leader="none"/>
        </w:tabs>
        <w:spacing w:line="307" w:lineRule="auto" w:before="0"/>
        <w:ind w:left="1478" w:right="38" w:hanging="466"/>
        <w:jc w:val="left"/>
        <w:rPr>
          <w:rFonts w:ascii="Arial"/>
          <w:sz w:val="18"/>
        </w:rPr>
      </w:pPr>
      <w:r>
        <w:rPr>
          <w:rFonts w:ascii="Arial"/>
          <w:w w:val="99"/>
          <w:sz w:val="18"/>
          <w:u w:val="thick" w:color="00A539"/>
        </w:rPr>
        <w:t> </w:t>
      </w:r>
      <w:r>
        <w:rPr>
          <w:rFonts w:ascii="Arial"/>
          <w:sz w:val="18"/>
          <w:u w:val="thick" w:color="00A539"/>
        </w:rPr>
        <w:tab/>
      </w:r>
      <w:r>
        <w:rPr>
          <w:rFonts w:ascii="Arial"/>
          <w:spacing w:val="20"/>
          <w:sz w:val="18"/>
        </w:rPr>
        <w:t> </w:t>
      </w:r>
      <w:r>
        <w:rPr>
          <w:rFonts w:ascii="Arial"/>
          <w:sz w:val="18"/>
        </w:rPr>
        <w:t>Other Transportation Improvements Multi-Use</w:t>
      </w:r>
      <w:r>
        <w:rPr>
          <w:rFonts w:ascii="Arial"/>
          <w:spacing w:val="1"/>
          <w:sz w:val="18"/>
        </w:rPr>
        <w:t> </w:t>
      </w:r>
      <w:r>
        <w:rPr>
          <w:rFonts w:ascii="Arial"/>
          <w:sz w:val="18"/>
        </w:rPr>
        <w:t>Trails</w:t>
      </w:r>
    </w:p>
    <w:p>
      <w:pPr>
        <w:spacing w:line="290" w:lineRule="exact" w:before="18"/>
        <w:ind w:left="0" w:right="38" w:firstLine="0"/>
        <w:jc w:val="right"/>
        <w:rPr>
          <w:rFonts w:ascii="Arial"/>
          <w:sz w:val="35"/>
        </w:rPr>
      </w:pPr>
      <w:r>
        <w:rPr/>
        <w:br w:type="column"/>
      </w:r>
      <w:r>
        <w:rPr>
          <w:rFonts w:ascii="Arial"/>
          <w:w w:val="210"/>
          <w:sz w:val="35"/>
        </w:rPr>
        <w:t>(</w:t>
      </w:r>
    </w:p>
    <w:p>
      <w:pPr>
        <w:tabs>
          <w:tab w:pos="3075" w:val="left" w:leader="none"/>
        </w:tabs>
        <w:spacing w:line="168" w:lineRule="auto" w:before="0"/>
        <w:ind w:left="1012" w:right="0" w:firstLine="0"/>
        <w:jc w:val="left"/>
        <w:rPr>
          <w:rFonts w:ascii="Arial" w:hAnsi="Arial"/>
          <w:sz w:val="35"/>
        </w:rPr>
      </w:pPr>
      <w:r>
        <w:rPr>
          <w:rFonts w:ascii="Arial" w:hAnsi="Arial"/>
          <w:color w:val="FF0000"/>
          <w:spacing w:val="-262"/>
          <w:w w:val="127"/>
          <w:position w:val="1"/>
          <w:sz w:val="37"/>
        </w:rPr>
        <w:t>§</w:t>
      </w:r>
      <w:r>
        <w:rPr>
          <w:rFonts w:ascii="Arial" w:hAnsi="Arial"/>
          <w:spacing w:val="-262"/>
          <w:w w:val="272"/>
          <w:sz w:val="37"/>
        </w:rPr>
        <w:t>¦</w:t>
      </w:r>
      <w:r>
        <w:rPr>
          <w:rFonts w:ascii="Arial" w:hAnsi="Arial"/>
          <w:color w:val="0000FF"/>
          <w:spacing w:val="-192"/>
          <w:w w:val="212"/>
          <w:sz w:val="37"/>
        </w:rPr>
        <w:t>¨</w:t>
      </w:r>
      <w:r>
        <w:rPr>
          <w:rFonts w:ascii="Arial" w:hAnsi="Arial"/>
          <w:b/>
          <w:color w:val="FFFFFF"/>
          <w:spacing w:val="-1"/>
          <w:w w:val="98"/>
          <w:position w:val="9"/>
          <w:sz w:val="11"/>
        </w:rPr>
        <w:t>8</w:t>
      </w:r>
      <w:r>
        <w:rPr>
          <w:rFonts w:ascii="Arial" w:hAnsi="Arial"/>
          <w:b/>
          <w:color w:val="FFFFFF"/>
          <w:w w:val="98"/>
          <w:position w:val="9"/>
          <w:sz w:val="11"/>
        </w:rPr>
        <w:t>2</w:t>
      </w:r>
      <w:r>
        <w:rPr>
          <w:rFonts w:ascii="Arial" w:hAnsi="Arial"/>
          <w:b/>
          <w:color w:val="FFFFFF"/>
          <w:position w:val="9"/>
          <w:sz w:val="11"/>
        </w:rPr>
        <w:tab/>
      </w:r>
      <w:r>
        <w:rPr>
          <w:rFonts w:ascii="Arial" w:hAnsi="Arial"/>
          <w:spacing w:val="-251"/>
          <w:w w:val="214"/>
          <w:position w:val="-8"/>
          <w:sz w:val="35"/>
        </w:rPr>
        <w:t>(</w:t>
      </w:r>
      <w:r>
        <w:rPr>
          <w:rFonts w:ascii="Arial" w:hAnsi="Arial"/>
          <w:color w:val="72DFFF"/>
          <w:w w:val="257"/>
          <w:position w:val="-8"/>
          <w:sz w:val="35"/>
        </w:rPr>
        <w:t>!</w:t>
      </w:r>
    </w:p>
    <w:p>
      <w:pPr>
        <w:pStyle w:val="BodyText"/>
        <w:rPr>
          <w:rFonts w:ascii="Arial"/>
          <w:sz w:val="28"/>
        </w:rPr>
      </w:pPr>
      <w:r>
        <w:rPr/>
        <w:br w:type="column"/>
      </w:r>
      <w:r>
        <w:rPr>
          <w:rFonts w:ascii="Arial"/>
          <w:sz w:val="28"/>
        </w:rPr>
      </w:r>
    </w:p>
    <w:p>
      <w:pPr>
        <w:pStyle w:val="BodyText"/>
        <w:spacing w:before="8"/>
        <w:rPr>
          <w:rFonts w:ascii="Arial"/>
          <w:sz w:val="33"/>
        </w:rPr>
      </w:pPr>
    </w:p>
    <w:p>
      <w:pPr>
        <w:spacing w:before="0"/>
        <w:ind w:left="1012" w:right="0" w:firstLine="0"/>
        <w:jc w:val="left"/>
        <w:rPr>
          <w:rFonts w:ascii="Century Gothic"/>
          <w:sz w:val="24"/>
        </w:rPr>
      </w:pPr>
      <w:r>
        <w:rPr>
          <w:rFonts w:ascii="Century Gothic"/>
          <w:sz w:val="24"/>
        </w:rPr>
        <w:t>March 28, 2023</w:t>
      </w:r>
    </w:p>
    <w:p>
      <w:pPr>
        <w:spacing w:after="0"/>
        <w:jc w:val="left"/>
        <w:rPr>
          <w:rFonts w:ascii="Century Gothic"/>
          <w:sz w:val="24"/>
        </w:rPr>
        <w:sectPr>
          <w:type w:val="continuous"/>
          <w:pgSz w:w="15840" w:h="24480"/>
          <w:pgMar w:top="1480" w:bottom="1320" w:left="0" w:right="0"/>
          <w:cols w:num="3" w:equalWidth="0">
            <w:col w:w="4374" w:space="3557"/>
            <w:col w:w="3393" w:space="890"/>
            <w:col w:w="3626"/>
          </w:cols>
        </w:sectPr>
      </w:pPr>
    </w:p>
    <w:p>
      <w:pPr>
        <w:pStyle w:val="Heading2"/>
        <w:ind w:left="120"/>
      </w:pPr>
      <w:r>
        <w:rPr/>
        <w:t>UTILITIES</w:t>
      </w:r>
    </w:p>
    <w:p>
      <w:pPr>
        <w:pStyle w:val="Heading7"/>
        <w:spacing w:before="199"/>
      </w:pPr>
      <w:r>
        <w:rPr>
          <w:color w:val="4F82BD"/>
        </w:rPr>
        <w:t>SECTION ONE</w:t>
      </w:r>
    </w:p>
    <w:p>
      <w:pPr>
        <w:pStyle w:val="BodyText"/>
        <w:spacing w:before="119"/>
        <w:ind w:left="120" w:right="236"/>
        <w:jc w:val="both"/>
      </w:pPr>
      <w:r>
        <w:rPr/>
        <w:t>This section was developed in accordance with RCW 36.70A070 to address utility service within the City of Richland over the next 20 years. It consists of the general location, proposed location, and capacity of all existing utilities in the UGA. General utility corridors are identified in utility and transportation elements as many utilities are placed in conjunction with the transportation corridors. Utilities include wastewater, water, storm water, solid waste, and energy services provided by the City. This section also discusses utilities served by other providers in Richland. These are natural gas supply, tele‐communications, and irrigation.</w:t>
      </w:r>
    </w:p>
    <w:p>
      <w:pPr>
        <w:spacing w:before="120"/>
        <w:ind w:left="120" w:right="0" w:firstLine="0"/>
        <w:jc w:val="both"/>
        <w:rPr>
          <w:rFonts w:ascii="Arial"/>
          <w:b/>
          <w:sz w:val="20"/>
        </w:rPr>
      </w:pPr>
      <w:r>
        <w:rPr>
          <w:rFonts w:ascii="Arial"/>
          <w:b/>
          <w:sz w:val="20"/>
          <w:shd w:fill="FFFF00" w:color="auto" w:val="clear"/>
        </w:rPr>
        <w:t>Figure U-1:</w:t>
      </w:r>
      <w:r>
        <w:rPr>
          <w:rFonts w:ascii="Arial"/>
          <w:b/>
          <w:sz w:val="20"/>
        </w:rPr>
        <w:t> Utility Service Areas</w:t>
      </w:r>
    </w:p>
    <w:p>
      <w:pPr>
        <w:pStyle w:val="BodyText"/>
        <w:spacing w:before="7"/>
        <w:rPr>
          <w:rFonts w:ascii="Arial"/>
          <w:b/>
        </w:rPr>
      </w:pPr>
      <w:r>
        <w:rPr/>
        <w:pict>
          <v:group style="position:absolute;margin-left:72.540001pt;margin-top:14.956308pt;width:372.5pt;height:428pt;mso-position-horizontal-relative:page;mso-position-vertical-relative:paragraph;z-index:-250942464;mso-wrap-distance-left:0;mso-wrap-distance-right:0" coordorigin="1451,299" coordsize="7450,8560">
            <v:shape style="position:absolute;left:1450;top:299;width:7450;height:8560" coordorigin="1451,299" coordsize="7450,8560" path="m8898,299l1453,299,1451,300,1451,8856,1453,8859,8898,8859,8900,8856,8900,8854,1460,8854,1456,8849,1460,8849,1460,309,1456,309,1460,304,8900,304,8900,300,8898,299xm1460,8849l1456,8849,1460,8854,1460,8849xm8891,8849l1460,8849,1460,8854,8891,8854,8891,8849xm8891,304l8891,8854,8896,8849,8900,8849,8900,309,8896,309,8891,304xm8900,8849l8896,8849,8891,8854,8900,8854,8900,8849xm1460,304l1456,309,1460,309,1460,304xm8891,304l1460,304,1460,309,8891,309,8891,304xm8900,304l8891,304,8896,309,8900,309,8900,304xe" filled="true" fillcolor="#000000" stroked="false">
              <v:path arrowok="t"/>
              <v:fill type="solid"/>
            </v:shape>
            <v:shape style="position:absolute;left:1604;top:500;width:7142;height:8276" type="#_x0000_t75" stroked="false">
              <v:imagedata r:id="rId294" o:title=""/>
            </v:shape>
            <w10:wrap type="topAndBottom"/>
          </v:group>
        </w:pict>
      </w:r>
    </w:p>
    <w:p>
      <w:pPr>
        <w:spacing w:after="0"/>
        <w:rPr>
          <w:rFonts w:ascii="Arial"/>
        </w:rPr>
        <w:sectPr>
          <w:footerReference w:type="default" r:id="rId293"/>
          <w:pgSz w:w="12240" w:h="15840"/>
          <w:pgMar w:footer="1133" w:header="0" w:top="1360" w:bottom="1320" w:left="1320" w:right="1200"/>
        </w:sectPr>
      </w:pPr>
    </w:p>
    <w:p>
      <w:pPr>
        <w:spacing w:before="80"/>
        <w:ind w:left="120" w:right="0" w:firstLine="0"/>
        <w:jc w:val="left"/>
        <w:rPr>
          <w:b/>
          <w:sz w:val="52"/>
        </w:rPr>
      </w:pPr>
      <w:bookmarkStart w:name="Utilities" w:id="162"/>
      <w:bookmarkEnd w:id="162"/>
      <w:r>
        <w:rPr/>
      </w:r>
      <w:bookmarkStart w:name="Section One" w:id="163"/>
      <w:bookmarkEnd w:id="163"/>
      <w:r>
        <w:rPr/>
      </w:r>
      <w:bookmarkStart w:name="_bookmark61" w:id="164"/>
      <w:bookmarkEnd w:id="164"/>
      <w:r>
        <w:rPr/>
      </w:r>
      <w:bookmarkStart w:name="_bookmark62" w:id="165"/>
      <w:bookmarkEnd w:id="165"/>
      <w:r>
        <w:rPr/>
      </w:r>
      <w:r>
        <w:rPr>
          <w:b/>
          <w:sz w:val="52"/>
        </w:rPr>
        <w:t>UTILITIES</w:t>
      </w:r>
    </w:p>
    <w:p>
      <w:pPr>
        <w:pStyle w:val="Heading7"/>
        <w:spacing w:before="199"/>
      </w:pPr>
      <w:r>
        <w:rPr>
          <w:color w:val="4F81BC"/>
        </w:rPr>
        <w:t>SECTION ONE</w:t>
      </w:r>
    </w:p>
    <w:p>
      <w:pPr>
        <w:pStyle w:val="Heading6"/>
        <w:spacing w:before="201"/>
        <w:ind w:left="119"/>
      </w:pPr>
      <w:bookmarkStart w:name="Introduction" w:id="166"/>
      <w:bookmarkEnd w:id="166"/>
      <w:r>
        <w:rPr>
          <w:b w:val="0"/>
        </w:rPr>
      </w:r>
      <w:bookmarkStart w:name="_bookmark63" w:id="167"/>
      <w:bookmarkEnd w:id="167"/>
      <w:r>
        <w:rPr>
          <w:b w:val="0"/>
        </w:rPr>
      </w:r>
      <w:r>
        <w:rPr/>
        <w:t>INTRODUCTION</w:t>
      </w:r>
    </w:p>
    <w:p>
      <w:pPr>
        <w:pStyle w:val="BodyText"/>
        <w:spacing w:before="120"/>
        <w:ind w:left="119" w:right="234"/>
        <w:jc w:val="both"/>
      </w:pPr>
      <w:r>
        <w:rPr/>
        <w:t>This section was developed in accordance with RCW 36.70A070 to address utility service within the City of Richland over the next 20 years. It consists of the general location, proposed location, and capacity of all existing utilities in the UGA. General utility corridors are identified in utility and transportation elements as many utilities are placed in conjunction with the transportation corridors. Utilities include wastewater, water, storm water, solid waste, and energy services provided</w:t>
      </w:r>
      <w:r>
        <w:rPr>
          <w:spacing w:val="-12"/>
        </w:rPr>
        <w:t> </w:t>
      </w:r>
      <w:r>
        <w:rPr/>
        <w:t>by</w:t>
      </w:r>
      <w:r>
        <w:rPr>
          <w:spacing w:val="-12"/>
        </w:rPr>
        <w:t> </w:t>
      </w:r>
      <w:r>
        <w:rPr/>
        <w:t>the</w:t>
      </w:r>
      <w:r>
        <w:rPr>
          <w:spacing w:val="-11"/>
        </w:rPr>
        <w:t> </w:t>
      </w:r>
      <w:r>
        <w:rPr/>
        <w:t>City.</w:t>
      </w:r>
      <w:r>
        <w:rPr>
          <w:spacing w:val="-11"/>
        </w:rPr>
        <w:t> </w:t>
      </w:r>
      <w:r>
        <w:rPr/>
        <w:t>This</w:t>
      </w:r>
      <w:r>
        <w:rPr>
          <w:spacing w:val="-13"/>
        </w:rPr>
        <w:t> </w:t>
      </w:r>
      <w:r>
        <w:rPr/>
        <w:t>section</w:t>
      </w:r>
      <w:r>
        <w:rPr>
          <w:spacing w:val="-11"/>
        </w:rPr>
        <w:t> </w:t>
      </w:r>
      <w:r>
        <w:rPr/>
        <w:t>also</w:t>
      </w:r>
      <w:r>
        <w:rPr>
          <w:spacing w:val="-11"/>
        </w:rPr>
        <w:t> </w:t>
      </w:r>
      <w:r>
        <w:rPr/>
        <w:t>discusses</w:t>
      </w:r>
      <w:r>
        <w:rPr>
          <w:spacing w:val="-10"/>
        </w:rPr>
        <w:t> </w:t>
      </w:r>
      <w:r>
        <w:rPr/>
        <w:t>utilities</w:t>
      </w:r>
      <w:r>
        <w:rPr>
          <w:spacing w:val="-13"/>
        </w:rPr>
        <w:t> </w:t>
      </w:r>
      <w:r>
        <w:rPr/>
        <w:t>served</w:t>
      </w:r>
      <w:r>
        <w:rPr>
          <w:spacing w:val="-12"/>
        </w:rPr>
        <w:t> </w:t>
      </w:r>
      <w:r>
        <w:rPr/>
        <w:t>by</w:t>
      </w:r>
      <w:r>
        <w:rPr>
          <w:spacing w:val="-11"/>
        </w:rPr>
        <w:t> </w:t>
      </w:r>
      <w:r>
        <w:rPr/>
        <w:t>other</w:t>
      </w:r>
      <w:r>
        <w:rPr>
          <w:spacing w:val="-12"/>
        </w:rPr>
        <w:t> </w:t>
      </w:r>
      <w:r>
        <w:rPr/>
        <w:t>providers</w:t>
      </w:r>
      <w:r>
        <w:rPr>
          <w:spacing w:val="-10"/>
        </w:rPr>
        <w:t> </w:t>
      </w:r>
      <w:r>
        <w:rPr/>
        <w:t>in</w:t>
      </w:r>
      <w:r>
        <w:rPr>
          <w:spacing w:val="-12"/>
        </w:rPr>
        <w:t> </w:t>
      </w:r>
      <w:r>
        <w:rPr/>
        <w:t>Richland.</w:t>
      </w:r>
      <w:r>
        <w:rPr>
          <w:spacing w:val="-14"/>
        </w:rPr>
        <w:t> </w:t>
      </w:r>
      <w:r>
        <w:rPr/>
        <w:t>These</w:t>
      </w:r>
      <w:bookmarkStart w:name="_bookmark64" w:id="168"/>
      <w:bookmarkEnd w:id="168"/>
      <w:r>
        <w:rPr/>
      </w:r>
      <w:r>
        <w:rPr/>
        <w:t> are natural gas supply, tele-communications, and</w:t>
      </w:r>
      <w:r>
        <w:rPr>
          <w:spacing w:val="-11"/>
        </w:rPr>
        <w:t> </w:t>
      </w:r>
      <w:r>
        <w:rPr/>
        <w:t>irrigation.</w:t>
      </w:r>
    </w:p>
    <w:p>
      <w:pPr>
        <w:spacing w:before="119"/>
        <w:ind w:left="120" w:right="0" w:firstLine="0"/>
        <w:jc w:val="both"/>
        <w:rPr>
          <w:rFonts w:ascii="Arial"/>
          <w:b/>
          <w:sz w:val="20"/>
        </w:rPr>
      </w:pPr>
      <w:r>
        <w:rPr/>
        <w:pict>
          <v:group style="position:absolute;margin-left:77.400002pt;margin-top:23.488859pt;width:284.05pt;height:407.55pt;mso-position-horizontal-relative:page;mso-position-vertical-relative:paragraph;z-index:-250941440;mso-wrap-distance-left:0;mso-wrap-distance-right:0" coordorigin="1548,470" coordsize="5681,8151">
            <v:line style="position:absolute" from="1558,475" to="7219,475" stroked="true" strokeweight=".481pt" strokecolor="#000000">
              <v:stroke dashstyle="solid"/>
            </v:line>
            <v:line style="position:absolute" from="1553,470" to="1553,8620" stroked="true" strokeweight=".48pt" strokecolor="#000000">
              <v:stroke dashstyle="solid"/>
            </v:line>
            <v:line style="position:absolute" from="1558,8615" to="7219,8615" stroked="true" strokeweight=".48pt" strokecolor="#000000">
              <v:stroke dashstyle="solid"/>
            </v:line>
            <v:line style="position:absolute" from="7224,470" to="7224,8620" stroked="true" strokeweight=".48pt" strokecolor="#000000">
              <v:stroke dashstyle="solid"/>
            </v:line>
            <v:shape style="position:absolute;left:1661;top:599;width:5441;height:7889" type="#_x0000_t75" stroked="false">
              <v:imagedata r:id="rId296" o:title=""/>
            </v:shape>
            <w10:wrap type="topAndBottom"/>
          </v:group>
        </w:pict>
      </w:r>
      <w:r>
        <w:rPr>
          <w:rFonts w:ascii="Arial"/>
          <w:b/>
          <w:sz w:val="20"/>
        </w:rPr>
        <w:t>Figure U-1: Utility Service Areas</w:t>
      </w:r>
    </w:p>
    <w:p>
      <w:pPr>
        <w:spacing w:after="0"/>
        <w:jc w:val="both"/>
        <w:rPr>
          <w:rFonts w:ascii="Arial"/>
          <w:sz w:val="20"/>
        </w:rPr>
        <w:sectPr>
          <w:footerReference w:type="default" r:id="rId295"/>
          <w:pgSz w:w="12240" w:h="15840"/>
          <w:pgMar w:footer="1052" w:header="0" w:top="1360" w:bottom="1240" w:left="1320" w:right="1200"/>
          <w:pgNumType w:start="65"/>
        </w:sectPr>
      </w:pPr>
    </w:p>
    <w:p>
      <w:pPr>
        <w:pStyle w:val="Heading7"/>
        <w:jc w:val="both"/>
      </w:pPr>
      <w:bookmarkStart w:name="Section Two" w:id="169"/>
      <w:bookmarkEnd w:id="169"/>
      <w:r>
        <w:rPr/>
      </w:r>
      <w:bookmarkStart w:name="_bookmark65" w:id="170"/>
      <w:bookmarkEnd w:id="170"/>
      <w:r>
        <w:rPr/>
      </w:r>
      <w:r>
        <w:rPr>
          <w:color w:val="4F81BC"/>
        </w:rPr>
        <w:t>SECTION TWO</w:t>
      </w:r>
    </w:p>
    <w:p>
      <w:pPr>
        <w:pStyle w:val="Heading6"/>
        <w:ind w:left="120"/>
        <w:jc w:val="both"/>
      </w:pPr>
      <w:bookmarkStart w:name="Wastewater Facilities" w:id="171"/>
      <w:bookmarkEnd w:id="171"/>
      <w:r>
        <w:rPr>
          <w:b w:val="0"/>
        </w:rPr>
      </w:r>
      <w:bookmarkStart w:name="EXISTING CONDITIONS" w:id="172"/>
      <w:bookmarkEnd w:id="172"/>
      <w:r>
        <w:rPr>
          <w:b w:val="0"/>
        </w:rPr>
      </w:r>
      <w:bookmarkStart w:name="_bookmark66" w:id="173"/>
      <w:bookmarkEnd w:id="173"/>
      <w:r>
        <w:rPr>
          <w:b w:val="0"/>
        </w:rPr>
      </w:r>
      <w:r>
        <w:rPr/>
        <w:t>WASTEWATER FACILITIES</w:t>
      </w:r>
    </w:p>
    <w:p>
      <w:pPr>
        <w:spacing w:before="202"/>
        <w:ind w:left="120" w:right="0" w:firstLine="0"/>
        <w:jc w:val="both"/>
        <w:rPr>
          <w:b/>
          <w:sz w:val="24"/>
        </w:rPr>
      </w:pPr>
      <w:r>
        <w:rPr>
          <w:b/>
          <w:sz w:val="24"/>
        </w:rPr>
        <w:t>EXISTING CONDITIONS</w:t>
      </w:r>
    </w:p>
    <w:p>
      <w:pPr>
        <w:pStyle w:val="BodyText"/>
        <w:spacing w:before="120"/>
        <w:ind w:left="119" w:right="235"/>
        <w:jc w:val="both"/>
      </w:pPr>
      <w:r>
        <w:rPr/>
        <w:t>The Richland sanitary sewer system was originally developed to serve the area around the CBD and the surrounding residential areas, but has been extended to other areas as they have developed, including north Richland, the Badger Mountain area, and the Horn Rapids community. The City’s wastewater collection system serves the majority of Richland residents, but some outlying areas are still served by onsite septic systems; there are currently approximately 475 people served with onsite septic systems within the Richland City limits.</w:t>
      </w:r>
    </w:p>
    <w:p>
      <w:pPr>
        <w:pStyle w:val="BodyText"/>
        <w:spacing w:before="120"/>
        <w:ind w:left="119" w:right="233"/>
        <w:jc w:val="both"/>
      </w:pPr>
      <w:r>
        <w:rPr/>
        <w:t>The sanitary sewer system includes a conveyance system, a wastewater treatment facility, and effluent</w:t>
      </w:r>
      <w:r>
        <w:rPr>
          <w:spacing w:val="-8"/>
        </w:rPr>
        <w:t> </w:t>
      </w:r>
      <w:r>
        <w:rPr/>
        <w:t>disposal.</w:t>
      </w:r>
      <w:r>
        <w:rPr>
          <w:spacing w:val="-7"/>
        </w:rPr>
        <w:t> </w:t>
      </w:r>
      <w:r>
        <w:rPr/>
        <w:t>Limited</w:t>
      </w:r>
      <w:r>
        <w:rPr>
          <w:spacing w:val="-9"/>
        </w:rPr>
        <w:t> </w:t>
      </w:r>
      <w:r>
        <w:rPr/>
        <w:t>monitoring</w:t>
      </w:r>
      <w:r>
        <w:rPr>
          <w:spacing w:val="-5"/>
        </w:rPr>
        <w:t> </w:t>
      </w:r>
      <w:r>
        <w:rPr/>
        <w:t>and</w:t>
      </w:r>
      <w:r>
        <w:rPr>
          <w:spacing w:val="-8"/>
        </w:rPr>
        <w:t> </w:t>
      </w:r>
      <w:r>
        <w:rPr/>
        <w:t>analysis</w:t>
      </w:r>
      <w:r>
        <w:rPr>
          <w:spacing w:val="-6"/>
        </w:rPr>
        <w:t> </w:t>
      </w:r>
      <w:r>
        <w:rPr/>
        <w:t>of</w:t>
      </w:r>
      <w:r>
        <w:rPr>
          <w:spacing w:val="-6"/>
        </w:rPr>
        <w:t> </w:t>
      </w:r>
      <w:r>
        <w:rPr/>
        <w:t>the</w:t>
      </w:r>
      <w:r>
        <w:rPr>
          <w:spacing w:val="-6"/>
        </w:rPr>
        <w:t> </w:t>
      </w:r>
      <w:r>
        <w:rPr/>
        <w:t>major</w:t>
      </w:r>
      <w:r>
        <w:rPr>
          <w:spacing w:val="-7"/>
        </w:rPr>
        <w:t> </w:t>
      </w:r>
      <w:r>
        <w:rPr/>
        <w:t>trunks</w:t>
      </w:r>
      <w:r>
        <w:rPr>
          <w:spacing w:val="-7"/>
        </w:rPr>
        <w:t> </w:t>
      </w:r>
      <w:r>
        <w:rPr/>
        <w:t>and</w:t>
      </w:r>
      <w:r>
        <w:rPr>
          <w:spacing w:val="-9"/>
        </w:rPr>
        <w:t> </w:t>
      </w:r>
      <w:r>
        <w:rPr/>
        <w:t>interceptors</w:t>
      </w:r>
      <w:r>
        <w:rPr>
          <w:spacing w:val="-5"/>
        </w:rPr>
        <w:t> </w:t>
      </w:r>
      <w:r>
        <w:rPr/>
        <w:t>were</w:t>
      </w:r>
      <w:r>
        <w:rPr>
          <w:spacing w:val="-6"/>
        </w:rPr>
        <w:t> </w:t>
      </w:r>
      <w:r>
        <w:rPr/>
        <w:t>done</w:t>
      </w:r>
      <w:r>
        <w:rPr>
          <w:spacing w:val="-10"/>
        </w:rPr>
        <w:t> </w:t>
      </w:r>
      <w:r>
        <w:rPr/>
        <w:t>in 1990s that showed that the system was in relatively good condition, with low levels of infiltration and inflow. However, the assessment data has become dated, and the City is planning on a more</w:t>
      </w:r>
      <w:bookmarkStart w:name="Sanitary Sewer Collection System" w:id="174"/>
      <w:bookmarkEnd w:id="174"/>
      <w:r>
        <w:rPr/>
      </w:r>
      <w:r>
        <w:rPr/>
        <w:t> comprehensive assessment of the condition of the collection system in the next few</w:t>
      </w:r>
      <w:r>
        <w:rPr>
          <w:spacing w:val="-23"/>
        </w:rPr>
        <w:t> </w:t>
      </w:r>
      <w:r>
        <w:rPr/>
        <w:t>years.</w:t>
      </w:r>
    </w:p>
    <w:p>
      <w:pPr>
        <w:spacing w:before="201"/>
        <w:ind w:left="120" w:right="0" w:firstLine="0"/>
        <w:jc w:val="both"/>
        <w:rPr>
          <w:b/>
          <w:sz w:val="22"/>
        </w:rPr>
      </w:pPr>
      <w:r>
        <w:rPr>
          <w:b/>
          <w:color w:val="C0504D"/>
          <w:sz w:val="22"/>
        </w:rPr>
        <w:t>Sanitary Sewer Collection System</w:t>
      </w:r>
    </w:p>
    <w:p>
      <w:pPr>
        <w:pStyle w:val="BodyText"/>
        <w:spacing w:before="119"/>
        <w:ind w:left="120" w:right="236"/>
        <w:jc w:val="both"/>
      </w:pPr>
      <w:r>
        <w:rPr/>
        <w:t>The</w:t>
      </w:r>
      <w:r>
        <w:rPr>
          <w:spacing w:val="-11"/>
        </w:rPr>
        <w:t> </w:t>
      </w:r>
      <w:r>
        <w:rPr/>
        <w:t>existing</w:t>
      </w:r>
      <w:r>
        <w:rPr>
          <w:spacing w:val="-11"/>
        </w:rPr>
        <w:t> </w:t>
      </w:r>
      <w:r>
        <w:rPr/>
        <w:t>Richland</w:t>
      </w:r>
      <w:r>
        <w:rPr>
          <w:spacing w:val="-12"/>
        </w:rPr>
        <w:t> </w:t>
      </w:r>
      <w:r>
        <w:rPr/>
        <w:t>sanitary</w:t>
      </w:r>
      <w:r>
        <w:rPr>
          <w:spacing w:val="-11"/>
        </w:rPr>
        <w:t> </w:t>
      </w:r>
      <w:r>
        <w:rPr/>
        <w:t>sewer</w:t>
      </w:r>
      <w:r>
        <w:rPr>
          <w:spacing w:val="-12"/>
        </w:rPr>
        <w:t> </w:t>
      </w:r>
      <w:r>
        <w:rPr/>
        <w:t>collection</w:t>
      </w:r>
      <w:r>
        <w:rPr>
          <w:spacing w:val="-12"/>
        </w:rPr>
        <w:t> </w:t>
      </w:r>
      <w:r>
        <w:rPr/>
        <w:t>system</w:t>
      </w:r>
      <w:r>
        <w:rPr>
          <w:spacing w:val="-10"/>
        </w:rPr>
        <w:t> </w:t>
      </w:r>
      <w:r>
        <w:rPr/>
        <w:t>serves</w:t>
      </w:r>
      <w:r>
        <w:rPr>
          <w:spacing w:val="-10"/>
        </w:rPr>
        <w:t> </w:t>
      </w:r>
      <w:r>
        <w:rPr/>
        <w:t>approximately</w:t>
      </w:r>
      <w:r>
        <w:rPr>
          <w:spacing w:val="-16"/>
        </w:rPr>
        <w:t> </w:t>
      </w:r>
      <w:r>
        <w:rPr/>
        <w:t>40</w:t>
      </w:r>
      <w:r>
        <w:rPr>
          <w:spacing w:val="-11"/>
        </w:rPr>
        <w:t> </w:t>
      </w:r>
      <w:r>
        <w:rPr/>
        <w:t>square</w:t>
      </w:r>
      <w:r>
        <w:rPr>
          <w:spacing w:val="-11"/>
        </w:rPr>
        <w:t> </w:t>
      </w:r>
      <w:r>
        <w:rPr/>
        <w:t>miles</w:t>
      </w:r>
      <w:r>
        <w:rPr>
          <w:spacing w:val="-11"/>
        </w:rPr>
        <w:t> </w:t>
      </w:r>
      <w:r>
        <w:rPr/>
        <w:t>of</w:t>
      </w:r>
      <w:r>
        <w:rPr>
          <w:spacing w:val="-11"/>
        </w:rPr>
        <w:t> </w:t>
      </w:r>
      <w:r>
        <w:rPr/>
        <w:t>area, divided into seventeen drainage basins. The sewer service area boundary is shown in Figure</w:t>
      </w:r>
      <w:r>
        <w:rPr>
          <w:spacing w:val="-31"/>
        </w:rPr>
        <w:t> </w:t>
      </w:r>
      <w:r>
        <w:rPr/>
        <w:t>U-2.</w:t>
      </w:r>
    </w:p>
    <w:p>
      <w:pPr>
        <w:pStyle w:val="BodyText"/>
        <w:spacing w:before="120"/>
        <w:ind w:left="120" w:right="231"/>
        <w:jc w:val="both"/>
      </w:pPr>
      <w:r>
        <w:rPr/>
        <w:t>The collection system consists of over 262 miles of gravity collection pipes which range in size from six inches in diameter to 54 inches in diameter. Much of the Richland sewer service area is flat, making it difficult to construct sewers with the minimum slopes necessary for sewage flow. Pump stations receive sewage by gravity and augment the flow by pumping it to the treatment facility.</w:t>
      </w:r>
    </w:p>
    <w:p>
      <w:pPr>
        <w:pStyle w:val="BodyText"/>
        <w:spacing w:before="120"/>
        <w:ind w:left="120" w:right="232" w:hanging="1"/>
        <w:jc w:val="both"/>
      </w:pPr>
      <w:r>
        <w:rPr/>
        <w:t>The</w:t>
      </w:r>
      <w:r>
        <w:rPr>
          <w:spacing w:val="-6"/>
        </w:rPr>
        <w:t> </w:t>
      </w:r>
      <w:r>
        <w:rPr/>
        <w:t>City</w:t>
      </w:r>
      <w:r>
        <w:rPr>
          <w:spacing w:val="-4"/>
        </w:rPr>
        <w:t> </w:t>
      </w:r>
      <w:r>
        <w:rPr/>
        <w:t>owns</w:t>
      </w:r>
      <w:r>
        <w:rPr>
          <w:spacing w:val="-3"/>
        </w:rPr>
        <w:t> </w:t>
      </w:r>
      <w:r>
        <w:rPr/>
        <w:t>and</w:t>
      </w:r>
      <w:r>
        <w:rPr>
          <w:spacing w:val="-4"/>
        </w:rPr>
        <w:t> </w:t>
      </w:r>
      <w:r>
        <w:rPr/>
        <w:t>operates</w:t>
      </w:r>
      <w:r>
        <w:rPr>
          <w:spacing w:val="-3"/>
        </w:rPr>
        <w:t> </w:t>
      </w:r>
      <w:r>
        <w:rPr/>
        <w:t>14</w:t>
      </w:r>
      <w:r>
        <w:rPr>
          <w:spacing w:val="-3"/>
        </w:rPr>
        <w:t> </w:t>
      </w:r>
      <w:r>
        <w:rPr/>
        <w:t>pump</w:t>
      </w:r>
      <w:r>
        <w:rPr>
          <w:spacing w:val="-7"/>
        </w:rPr>
        <w:t> </w:t>
      </w:r>
      <w:r>
        <w:rPr/>
        <w:t>stations,</w:t>
      </w:r>
      <w:r>
        <w:rPr>
          <w:spacing w:val="-3"/>
        </w:rPr>
        <w:t> </w:t>
      </w:r>
      <w:r>
        <w:rPr/>
        <w:t>ranging</w:t>
      </w:r>
      <w:r>
        <w:rPr>
          <w:spacing w:val="-3"/>
        </w:rPr>
        <w:t> </w:t>
      </w:r>
      <w:r>
        <w:rPr/>
        <w:t>in</w:t>
      </w:r>
      <w:r>
        <w:rPr>
          <w:spacing w:val="-7"/>
        </w:rPr>
        <w:t> </w:t>
      </w:r>
      <w:r>
        <w:rPr/>
        <w:t>size</w:t>
      </w:r>
      <w:r>
        <w:rPr>
          <w:spacing w:val="-4"/>
        </w:rPr>
        <w:t> </w:t>
      </w:r>
      <w:r>
        <w:rPr/>
        <w:t>from</w:t>
      </w:r>
      <w:r>
        <w:rPr>
          <w:spacing w:val="-2"/>
        </w:rPr>
        <w:t> </w:t>
      </w:r>
      <w:r>
        <w:rPr/>
        <w:t>1.5</w:t>
      </w:r>
      <w:r>
        <w:rPr>
          <w:spacing w:val="-4"/>
        </w:rPr>
        <w:t> </w:t>
      </w:r>
      <w:r>
        <w:rPr/>
        <w:t>to</w:t>
      </w:r>
      <w:r>
        <w:rPr>
          <w:spacing w:val="-3"/>
        </w:rPr>
        <w:t> </w:t>
      </w:r>
      <w:r>
        <w:rPr/>
        <w:t>35</w:t>
      </w:r>
      <w:r>
        <w:rPr>
          <w:spacing w:val="-7"/>
        </w:rPr>
        <w:t> </w:t>
      </w:r>
      <w:r>
        <w:rPr/>
        <w:t>horsepower.</w:t>
      </w:r>
      <w:r>
        <w:rPr>
          <w:spacing w:val="-3"/>
        </w:rPr>
        <w:t> </w:t>
      </w:r>
      <w:r>
        <w:rPr/>
        <w:t>Because</w:t>
      </w:r>
      <w:r>
        <w:rPr>
          <w:spacing w:val="-4"/>
        </w:rPr>
        <w:t> </w:t>
      </w:r>
      <w:r>
        <w:rPr/>
        <w:t>of the</w:t>
      </w:r>
      <w:r>
        <w:rPr>
          <w:spacing w:val="-11"/>
        </w:rPr>
        <w:t> </w:t>
      </w:r>
      <w:r>
        <w:rPr/>
        <w:t>cost</w:t>
      </w:r>
      <w:r>
        <w:rPr>
          <w:spacing w:val="-12"/>
        </w:rPr>
        <w:t> </w:t>
      </w:r>
      <w:r>
        <w:rPr/>
        <w:t>of</w:t>
      </w:r>
      <w:r>
        <w:rPr>
          <w:spacing w:val="-11"/>
        </w:rPr>
        <w:t> </w:t>
      </w:r>
      <w:r>
        <w:rPr/>
        <w:t>operation</w:t>
      </w:r>
      <w:r>
        <w:rPr>
          <w:spacing w:val="-12"/>
        </w:rPr>
        <w:t> </w:t>
      </w:r>
      <w:r>
        <w:rPr/>
        <w:t>and</w:t>
      </w:r>
      <w:r>
        <w:rPr>
          <w:spacing w:val="-14"/>
        </w:rPr>
        <w:t> </w:t>
      </w:r>
      <w:r>
        <w:rPr/>
        <w:t>maintenance,</w:t>
      </w:r>
      <w:r>
        <w:rPr>
          <w:spacing w:val="-10"/>
        </w:rPr>
        <w:t> </w:t>
      </w:r>
      <w:r>
        <w:rPr/>
        <w:t>it</w:t>
      </w:r>
      <w:r>
        <w:rPr>
          <w:spacing w:val="-12"/>
        </w:rPr>
        <w:t> </w:t>
      </w:r>
      <w:r>
        <w:rPr/>
        <w:t>is</w:t>
      </w:r>
      <w:r>
        <w:rPr>
          <w:spacing w:val="-10"/>
        </w:rPr>
        <w:t> </w:t>
      </w:r>
      <w:r>
        <w:rPr/>
        <w:t>desirable</w:t>
      </w:r>
      <w:r>
        <w:rPr>
          <w:spacing w:val="-11"/>
        </w:rPr>
        <w:t> </w:t>
      </w:r>
      <w:r>
        <w:rPr/>
        <w:t>to</w:t>
      </w:r>
      <w:r>
        <w:rPr>
          <w:spacing w:val="-11"/>
        </w:rPr>
        <w:t> </w:t>
      </w:r>
      <w:r>
        <w:rPr/>
        <w:t>minimize</w:t>
      </w:r>
      <w:r>
        <w:rPr>
          <w:spacing w:val="-11"/>
        </w:rPr>
        <w:t> </w:t>
      </w:r>
      <w:r>
        <w:rPr/>
        <w:t>the</w:t>
      </w:r>
      <w:r>
        <w:rPr>
          <w:spacing w:val="-11"/>
        </w:rPr>
        <w:t> </w:t>
      </w:r>
      <w:r>
        <w:rPr/>
        <w:t>number</w:t>
      </w:r>
      <w:r>
        <w:rPr>
          <w:spacing w:val="-13"/>
        </w:rPr>
        <w:t> </w:t>
      </w:r>
      <w:r>
        <w:rPr/>
        <w:t>of</w:t>
      </w:r>
      <w:r>
        <w:rPr>
          <w:spacing w:val="-11"/>
        </w:rPr>
        <w:t> </w:t>
      </w:r>
      <w:r>
        <w:rPr/>
        <w:t>pump</w:t>
      </w:r>
      <w:r>
        <w:rPr>
          <w:spacing w:val="-12"/>
        </w:rPr>
        <w:t> </w:t>
      </w:r>
      <w:r>
        <w:rPr/>
        <w:t>stations;</w:t>
      </w:r>
      <w:r>
        <w:rPr>
          <w:spacing w:val="-12"/>
        </w:rPr>
        <w:t> </w:t>
      </w:r>
      <w:r>
        <w:rPr/>
        <w:t>many have already been eliminated by the interceptor</w:t>
      </w:r>
      <w:r>
        <w:rPr>
          <w:spacing w:val="-13"/>
        </w:rPr>
        <w:t> </w:t>
      </w:r>
      <w:r>
        <w:rPr/>
        <w:t>improvements.</w:t>
      </w:r>
    </w:p>
    <w:p>
      <w:pPr>
        <w:pStyle w:val="BodyText"/>
        <w:spacing w:before="119"/>
        <w:ind w:left="120" w:right="233"/>
        <w:jc w:val="both"/>
      </w:pPr>
      <w:r>
        <w:rPr/>
        <w:t>The 2015 General Sewer Plan Update included hydraulic modeling of all of the sanitary sewer pipes ten inches in diameter and larger. Overall, the collection system had adequate hydraulic capacity to convey</w:t>
      </w:r>
      <w:r>
        <w:rPr>
          <w:spacing w:val="-8"/>
        </w:rPr>
        <w:t> </w:t>
      </w:r>
      <w:r>
        <w:rPr/>
        <w:t>current</w:t>
      </w:r>
      <w:r>
        <w:rPr>
          <w:spacing w:val="-7"/>
        </w:rPr>
        <w:t> </w:t>
      </w:r>
      <w:r>
        <w:rPr/>
        <w:t>flows</w:t>
      </w:r>
      <w:r>
        <w:rPr>
          <w:spacing w:val="-6"/>
        </w:rPr>
        <w:t> </w:t>
      </w:r>
      <w:r>
        <w:rPr/>
        <w:t>as</w:t>
      </w:r>
      <w:r>
        <w:rPr>
          <w:spacing w:val="-5"/>
        </w:rPr>
        <w:t> </w:t>
      </w:r>
      <w:r>
        <w:rPr/>
        <w:t>well</w:t>
      </w:r>
      <w:r>
        <w:rPr>
          <w:spacing w:val="-6"/>
        </w:rPr>
        <w:t> </w:t>
      </w:r>
      <w:r>
        <w:rPr/>
        <w:t>as</w:t>
      </w:r>
      <w:r>
        <w:rPr>
          <w:spacing w:val="-6"/>
        </w:rPr>
        <w:t> </w:t>
      </w:r>
      <w:r>
        <w:rPr/>
        <w:t>future</w:t>
      </w:r>
      <w:r>
        <w:rPr>
          <w:spacing w:val="-6"/>
        </w:rPr>
        <w:t> </w:t>
      </w:r>
      <w:r>
        <w:rPr/>
        <w:t>flows.</w:t>
      </w:r>
      <w:r>
        <w:rPr>
          <w:spacing w:val="-7"/>
        </w:rPr>
        <w:t> </w:t>
      </w:r>
      <w:r>
        <w:rPr/>
        <w:t>Although</w:t>
      </w:r>
      <w:r>
        <w:rPr>
          <w:spacing w:val="-5"/>
        </w:rPr>
        <w:t> </w:t>
      </w:r>
      <w:r>
        <w:rPr/>
        <w:t>the</w:t>
      </w:r>
      <w:r>
        <w:rPr>
          <w:spacing w:val="-6"/>
        </w:rPr>
        <w:t> </w:t>
      </w:r>
      <w:r>
        <w:rPr/>
        <w:t>hydraulic</w:t>
      </w:r>
      <w:r>
        <w:rPr>
          <w:spacing w:val="-6"/>
        </w:rPr>
        <w:t> </w:t>
      </w:r>
      <w:r>
        <w:rPr/>
        <w:t>analysis</w:t>
      </w:r>
      <w:r>
        <w:rPr>
          <w:spacing w:val="-6"/>
        </w:rPr>
        <w:t> </w:t>
      </w:r>
      <w:r>
        <w:rPr/>
        <w:t>indicated</w:t>
      </w:r>
      <w:r>
        <w:rPr>
          <w:spacing w:val="-6"/>
        </w:rPr>
        <w:t> </w:t>
      </w:r>
      <w:r>
        <w:rPr/>
        <w:t>relatively</w:t>
      </w:r>
      <w:r>
        <w:rPr>
          <w:spacing w:val="-8"/>
        </w:rPr>
        <w:t> </w:t>
      </w:r>
      <w:r>
        <w:rPr/>
        <w:t>few capacity issues, the collection system is showing its age and a proactive renewal and replacement program has been developed to address this. A pipe replacement program was developed to prioritize</w:t>
      </w:r>
      <w:r>
        <w:rPr>
          <w:spacing w:val="-11"/>
        </w:rPr>
        <w:t> </w:t>
      </w:r>
      <w:r>
        <w:rPr/>
        <w:t>sanitary</w:t>
      </w:r>
      <w:r>
        <w:rPr>
          <w:spacing w:val="-12"/>
        </w:rPr>
        <w:t> </w:t>
      </w:r>
      <w:r>
        <w:rPr/>
        <w:t>sewer</w:t>
      </w:r>
      <w:r>
        <w:rPr>
          <w:spacing w:val="-13"/>
        </w:rPr>
        <w:t> </w:t>
      </w:r>
      <w:r>
        <w:rPr/>
        <w:t>pipes</w:t>
      </w:r>
      <w:r>
        <w:rPr>
          <w:spacing w:val="-10"/>
        </w:rPr>
        <w:t> </w:t>
      </w:r>
      <w:r>
        <w:rPr/>
        <w:t>with</w:t>
      </w:r>
      <w:r>
        <w:rPr>
          <w:spacing w:val="-10"/>
        </w:rPr>
        <w:t> </w:t>
      </w:r>
      <w:r>
        <w:rPr/>
        <w:t>the</w:t>
      </w:r>
      <w:r>
        <w:rPr>
          <w:spacing w:val="-11"/>
        </w:rPr>
        <w:t> </w:t>
      </w:r>
      <w:r>
        <w:rPr/>
        <w:t>greatest</w:t>
      </w:r>
      <w:r>
        <w:rPr>
          <w:spacing w:val="-12"/>
        </w:rPr>
        <w:t> </w:t>
      </w:r>
      <w:r>
        <w:rPr/>
        <w:t>need</w:t>
      </w:r>
      <w:r>
        <w:rPr>
          <w:spacing w:val="-11"/>
        </w:rPr>
        <w:t> </w:t>
      </w:r>
      <w:r>
        <w:rPr/>
        <w:t>for</w:t>
      </w:r>
      <w:r>
        <w:rPr>
          <w:spacing w:val="-12"/>
        </w:rPr>
        <w:t> </w:t>
      </w:r>
      <w:r>
        <w:rPr/>
        <w:t>replacement</w:t>
      </w:r>
      <w:r>
        <w:rPr>
          <w:spacing w:val="-11"/>
        </w:rPr>
        <w:t> </w:t>
      </w:r>
      <w:r>
        <w:rPr/>
        <w:t>each</w:t>
      </w:r>
      <w:r>
        <w:rPr>
          <w:spacing w:val="-11"/>
        </w:rPr>
        <w:t> </w:t>
      </w:r>
      <w:r>
        <w:rPr/>
        <w:t>budget</w:t>
      </w:r>
      <w:r>
        <w:rPr>
          <w:spacing w:val="-12"/>
        </w:rPr>
        <w:t> </w:t>
      </w:r>
      <w:r>
        <w:rPr/>
        <w:t>year.</w:t>
      </w:r>
      <w:r>
        <w:rPr>
          <w:spacing w:val="-10"/>
        </w:rPr>
        <w:t> </w:t>
      </w:r>
      <w:r>
        <w:rPr/>
        <w:t>A</w:t>
      </w:r>
      <w:r>
        <w:rPr>
          <w:spacing w:val="-12"/>
        </w:rPr>
        <w:t> </w:t>
      </w:r>
      <w:r>
        <w:rPr/>
        <w:t>significant element of this program includes an intensive survey of the existing pipes in order to determine condition ratings – this is scheduled to occur over the next three</w:t>
      </w:r>
      <w:r>
        <w:rPr>
          <w:spacing w:val="-16"/>
        </w:rPr>
        <w:t> </w:t>
      </w:r>
      <w:r>
        <w:rPr/>
        <w:t>years.</w:t>
      </w:r>
    </w:p>
    <w:p>
      <w:pPr>
        <w:pStyle w:val="BodyText"/>
        <w:spacing w:before="121"/>
        <w:ind w:left="120" w:right="232"/>
        <w:jc w:val="both"/>
      </w:pPr>
      <w:r>
        <w:rPr/>
        <w:t>The components of Richland’s wastewater flow are sanitary flow, infiltration, and inflow. Sanitary flow includes wastewater discharged to the sewer from residential, commercial, and industrial sources. Infiltration refers to groundwater that enters the collection system through cracks in pipes and loose connections. The rate of infiltration is likely to be higher in older sections of the City because of older pipes and construction methods. New sewers are usually constructed with precast manholes and rubber-gasketed pipe, which effectively limit infiltration. Inflow is surface water that enters the system through downspouts, area drains, ponding over manhole covers, or cross connections with storm drains. Due to Richland’s desert climate, storm-related inflow does not have a significant impact on the system.</w:t>
      </w:r>
    </w:p>
    <w:p>
      <w:pPr>
        <w:pStyle w:val="BodyText"/>
        <w:spacing w:before="119"/>
        <w:ind w:left="120" w:right="234"/>
        <w:jc w:val="both"/>
      </w:pPr>
      <w:r>
        <w:rPr/>
        <w:t>Seasonal</w:t>
      </w:r>
      <w:r>
        <w:rPr>
          <w:spacing w:val="-12"/>
        </w:rPr>
        <w:t> </w:t>
      </w:r>
      <w:r>
        <w:rPr/>
        <w:t>variations</w:t>
      </w:r>
      <w:r>
        <w:rPr>
          <w:spacing w:val="-10"/>
        </w:rPr>
        <w:t> </w:t>
      </w:r>
      <w:r>
        <w:rPr/>
        <w:t>in</w:t>
      </w:r>
      <w:r>
        <w:rPr>
          <w:spacing w:val="-12"/>
        </w:rPr>
        <w:t> </w:t>
      </w:r>
      <w:r>
        <w:rPr/>
        <w:t>wastewater</w:t>
      </w:r>
      <w:r>
        <w:rPr>
          <w:spacing w:val="-12"/>
        </w:rPr>
        <w:t> </w:t>
      </w:r>
      <w:r>
        <w:rPr/>
        <w:t>flows</w:t>
      </w:r>
      <w:r>
        <w:rPr>
          <w:spacing w:val="-10"/>
        </w:rPr>
        <w:t> </w:t>
      </w:r>
      <w:r>
        <w:rPr/>
        <w:t>are</w:t>
      </w:r>
      <w:r>
        <w:rPr>
          <w:spacing w:val="-15"/>
        </w:rPr>
        <w:t> </w:t>
      </w:r>
      <w:r>
        <w:rPr/>
        <w:t>slight,</w:t>
      </w:r>
      <w:r>
        <w:rPr>
          <w:spacing w:val="-11"/>
        </w:rPr>
        <w:t> </w:t>
      </w:r>
      <w:r>
        <w:rPr/>
        <w:t>with</w:t>
      </w:r>
      <w:r>
        <w:rPr>
          <w:spacing w:val="-11"/>
        </w:rPr>
        <w:t> </w:t>
      </w:r>
      <w:r>
        <w:rPr/>
        <w:t>the</w:t>
      </w:r>
      <w:r>
        <w:rPr>
          <w:spacing w:val="-11"/>
        </w:rPr>
        <w:t> </w:t>
      </w:r>
      <w:r>
        <w:rPr/>
        <w:t>total</w:t>
      </w:r>
      <w:r>
        <w:rPr>
          <w:spacing w:val="-11"/>
        </w:rPr>
        <w:t> </w:t>
      </w:r>
      <w:r>
        <w:rPr/>
        <w:t>daily</w:t>
      </w:r>
      <w:r>
        <w:rPr>
          <w:spacing w:val="-14"/>
        </w:rPr>
        <w:t> </w:t>
      </w:r>
      <w:r>
        <w:rPr/>
        <w:t>flow</w:t>
      </w:r>
      <w:r>
        <w:rPr>
          <w:spacing w:val="-12"/>
        </w:rPr>
        <w:t> </w:t>
      </w:r>
      <w:r>
        <w:rPr/>
        <w:t>ranging</w:t>
      </w:r>
      <w:r>
        <w:rPr>
          <w:spacing w:val="-10"/>
        </w:rPr>
        <w:t> </w:t>
      </w:r>
      <w:r>
        <w:rPr/>
        <w:t>from</w:t>
      </w:r>
      <w:r>
        <w:rPr>
          <w:spacing w:val="-10"/>
        </w:rPr>
        <w:t> </w:t>
      </w:r>
      <w:r>
        <w:rPr/>
        <w:t>five</w:t>
      </w:r>
      <w:r>
        <w:rPr>
          <w:spacing w:val="-11"/>
        </w:rPr>
        <w:t> </w:t>
      </w:r>
      <w:r>
        <w:rPr/>
        <w:t>to</w:t>
      </w:r>
      <w:r>
        <w:rPr>
          <w:spacing w:val="-12"/>
        </w:rPr>
        <w:t> </w:t>
      </w:r>
      <w:r>
        <w:rPr/>
        <w:t>seven million gallons per day (MGD). The lowest flows occur during the winter months, the highest</w:t>
      </w:r>
      <w:r>
        <w:rPr>
          <w:spacing w:val="-18"/>
        </w:rPr>
        <w:t> </w:t>
      </w:r>
      <w:r>
        <w:rPr/>
        <w:t>during</w:t>
      </w:r>
    </w:p>
    <w:p>
      <w:pPr>
        <w:spacing w:after="0"/>
        <w:jc w:val="both"/>
        <w:sectPr>
          <w:pgSz w:w="12240" w:h="15840"/>
          <w:pgMar w:header="0" w:footer="1052" w:top="1420" w:bottom="1320" w:left="1320" w:right="1200"/>
        </w:sectPr>
      </w:pPr>
    </w:p>
    <w:p>
      <w:pPr>
        <w:pStyle w:val="BodyText"/>
        <w:spacing w:before="80"/>
        <w:ind w:left="120" w:right="234"/>
        <w:jc w:val="both"/>
      </w:pPr>
      <w:r>
        <w:rPr/>
        <w:t>the summer. Because Richland has a fairly permanent population and does not experience high tourist</w:t>
      </w:r>
      <w:r>
        <w:rPr>
          <w:spacing w:val="-13"/>
        </w:rPr>
        <w:t> </w:t>
      </w:r>
      <w:r>
        <w:rPr/>
        <w:t>or</w:t>
      </w:r>
      <w:r>
        <w:rPr>
          <w:spacing w:val="-14"/>
        </w:rPr>
        <w:t> </w:t>
      </w:r>
      <w:r>
        <w:rPr/>
        <w:t>vacation</w:t>
      </w:r>
      <w:r>
        <w:rPr>
          <w:spacing w:val="-12"/>
        </w:rPr>
        <w:t> </w:t>
      </w:r>
      <w:r>
        <w:rPr/>
        <w:t>activity,</w:t>
      </w:r>
      <w:r>
        <w:rPr>
          <w:spacing w:val="-12"/>
        </w:rPr>
        <w:t> </w:t>
      </w:r>
      <w:r>
        <w:rPr/>
        <w:t>the</w:t>
      </w:r>
      <w:r>
        <w:rPr>
          <w:spacing w:val="-14"/>
        </w:rPr>
        <w:t> </w:t>
      </w:r>
      <w:r>
        <w:rPr/>
        <w:t>higher</w:t>
      </w:r>
      <w:r>
        <w:rPr>
          <w:spacing w:val="-12"/>
        </w:rPr>
        <w:t> </w:t>
      </w:r>
      <w:r>
        <w:rPr/>
        <w:t>flows</w:t>
      </w:r>
      <w:r>
        <w:rPr>
          <w:spacing w:val="-11"/>
        </w:rPr>
        <w:t> </w:t>
      </w:r>
      <w:r>
        <w:rPr/>
        <w:t>appear</w:t>
      </w:r>
      <w:r>
        <w:rPr>
          <w:spacing w:val="-12"/>
        </w:rPr>
        <w:t> </w:t>
      </w:r>
      <w:r>
        <w:rPr/>
        <w:t>to</w:t>
      </w:r>
      <w:r>
        <w:rPr>
          <w:spacing w:val="-11"/>
        </w:rPr>
        <w:t> </w:t>
      </w:r>
      <w:r>
        <w:rPr/>
        <w:t>be</w:t>
      </w:r>
      <w:r>
        <w:rPr>
          <w:spacing w:val="-12"/>
        </w:rPr>
        <w:t> </w:t>
      </w:r>
      <w:r>
        <w:rPr/>
        <w:t>caused</w:t>
      </w:r>
      <w:r>
        <w:rPr>
          <w:spacing w:val="-12"/>
        </w:rPr>
        <w:t> </w:t>
      </w:r>
      <w:r>
        <w:rPr/>
        <w:t>by</w:t>
      </w:r>
      <w:r>
        <w:rPr>
          <w:spacing w:val="-12"/>
        </w:rPr>
        <w:t> </w:t>
      </w:r>
      <w:r>
        <w:rPr/>
        <w:t>elevated</w:t>
      </w:r>
      <w:r>
        <w:rPr>
          <w:spacing w:val="-15"/>
        </w:rPr>
        <w:t> </w:t>
      </w:r>
      <w:r>
        <w:rPr/>
        <w:t>groundwater</w:t>
      </w:r>
      <w:r>
        <w:rPr>
          <w:spacing w:val="-14"/>
        </w:rPr>
        <w:t> </w:t>
      </w:r>
      <w:r>
        <w:rPr/>
        <w:t>levels</w:t>
      </w:r>
      <w:r>
        <w:rPr>
          <w:spacing w:val="-10"/>
        </w:rPr>
        <w:t> </w:t>
      </w:r>
      <w:r>
        <w:rPr/>
        <w:t>from irrigation,</w:t>
      </w:r>
      <w:r>
        <w:rPr>
          <w:spacing w:val="-6"/>
        </w:rPr>
        <w:t> </w:t>
      </w:r>
      <w:r>
        <w:rPr/>
        <w:t>which</w:t>
      </w:r>
      <w:r>
        <w:rPr>
          <w:spacing w:val="-6"/>
        </w:rPr>
        <w:t> </w:t>
      </w:r>
      <w:r>
        <w:rPr/>
        <w:t>results</w:t>
      </w:r>
      <w:r>
        <w:rPr>
          <w:spacing w:val="-5"/>
        </w:rPr>
        <w:t> </w:t>
      </w:r>
      <w:r>
        <w:rPr/>
        <w:t>in</w:t>
      </w:r>
      <w:r>
        <w:rPr>
          <w:spacing w:val="-8"/>
        </w:rPr>
        <w:t> </w:t>
      </w:r>
      <w:r>
        <w:rPr/>
        <w:t>higher</w:t>
      </w:r>
      <w:r>
        <w:rPr>
          <w:spacing w:val="-9"/>
        </w:rPr>
        <w:t> </w:t>
      </w:r>
      <w:r>
        <w:rPr/>
        <w:t>infiltration.</w:t>
      </w:r>
      <w:r>
        <w:rPr>
          <w:spacing w:val="-9"/>
        </w:rPr>
        <w:t> </w:t>
      </w:r>
      <w:r>
        <w:rPr/>
        <w:t>The</w:t>
      </w:r>
      <w:r>
        <w:rPr>
          <w:spacing w:val="-6"/>
        </w:rPr>
        <w:t> </w:t>
      </w:r>
      <w:r>
        <w:rPr/>
        <w:t>wastewater</w:t>
      </w:r>
      <w:r>
        <w:rPr>
          <w:spacing w:val="-7"/>
        </w:rPr>
        <w:t> </w:t>
      </w:r>
      <w:r>
        <w:rPr/>
        <w:t>flow</w:t>
      </w:r>
      <w:r>
        <w:rPr>
          <w:spacing w:val="-10"/>
        </w:rPr>
        <w:t> </w:t>
      </w:r>
      <w:r>
        <w:rPr/>
        <w:t>characteristics</w:t>
      </w:r>
      <w:r>
        <w:rPr>
          <w:spacing w:val="-6"/>
        </w:rPr>
        <w:t> </w:t>
      </w:r>
      <w:r>
        <w:rPr/>
        <w:t>are</w:t>
      </w:r>
      <w:r>
        <w:rPr>
          <w:spacing w:val="-9"/>
        </w:rPr>
        <w:t> </w:t>
      </w:r>
      <w:r>
        <w:rPr/>
        <w:t>given</w:t>
      </w:r>
      <w:r>
        <w:rPr>
          <w:spacing w:val="-8"/>
        </w:rPr>
        <w:t> </w:t>
      </w:r>
      <w:r>
        <w:rPr/>
        <w:t>in</w:t>
      </w:r>
      <w:r>
        <w:rPr>
          <w:spacing w:val="-8"/>
        </w:rPr>
        <w:t> </w:t>
      </w:r>
      <w:r>
        <w:rPr/>
        <w:t>Table U-1.</w:t>
      </w:r>
    </w:p>
    <w:p>
      <w:pPr>
        <w:pStyle w:val="BodyText"/>
        <w:spacing w:before="9" w:after="1"/>
        <w:rPr>
          <w:sz w:val="10"/>
        </w:rPr>
      </w:pPr>
    </w:p>
    <w:tbl>
      <w:tblPr>
        <w:tblW w:w="0" w:type="auto"/>
        <w:jc w:val="left"/>
        <w:tblInd w:w="3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11"/>
        <w:gridCol w:w="1997"/>
      </w:tblGrid>
      <w:tr>
        <w:trPr>
          <w:trHeight w:val="343" w:hRule="atLeast"/>
        </w:trPr>
        <w:tc>
          <w:tcPr>
            <w:tcW w:w="7308" w:type="dxa"/>
            <w:gridSpan w:val="2"/>
            <w:tcBorders>
              <w:top w:val="nil"/>
              <w:left w:val="nil"/>
              <w:right w:val="nil"/>
            </w:tcBorders>
          </w:tcPr>
          <w:p>
            <w:pPr>
              <w:pStyle w:val="TableParagraph"/>
              <w:spacing w:line="223" w:lineRule="exact" w:before="0"/>
              <w:ind w:left="110"/>
              <w:rPr>
                <w:rFonts w:ascii="Arial"/>
                <w:b/>
                <w:sz w:val="20"/>
              </w:rPr>
            </w:pPr>
            <w:r>
              <w:rPr>
                <w:rFonts w:ascii="Arial"/>
                <w:b/>
                <w:sz w:val="20"/>
              </w:rPr>
              <w:t>Table U-1: Wastewater Flow Characteristics</w:t>
            </w:r>
          </w:p>
        </w:tc>
      </w:tr>
      <w:tr>
        <w:trPr>
          <w:trHeight w:val="316" w:hRule="atLeast"/>
        </w:trPr>
        <w:tc>
          <w:tcPr>
            <w:tcW w:w="5311" w:type="dxa"/>
          </w:tcPr>
          <w:p>
            <w:pPr>
              <w:pStyle w:val="TableParagraph"/>
              <w:spacing w:line="237" w:lineRule="exact"/>
              <w:ind w:left="4"/>
              <w:rPr>
                <w:sz w:val="22"/>
              </w:rPr>
            </w:pPr>
            <w:r>
              <w:rPr>
                <w:sz w:val="22"/>
              </w:rPr>
              <w:t>Average Daily Flow</w:t>
            </w:r>
          </w:p>
        </w:tc>
        <w:tc>
          <w:tcPr>
            <w:tcW w:w="1997" w:type="dxa"/>
          </w:tcPr>
          <w:p>
            <w:pPr>
              <w:pStyle w:val="TableParagraph"/>
              <w:spacing w:line="237" w:lineRule="exact"/>
              <w:ind w:left="108"/>
              <w:rPr>
                <w:sz w:val="22"/>
              </w:rPr>
            </w:pPr>
            <w:r>
              <w:rPr>
                <w:sz w:val="22"/>
              </w:rPr>
              <w:t>5.7 MGD</w:t>
            </w:r>
          </w:p>
        </w:tc>
      </w:tr>
      <w:tr>
        <w:trPr>
          <w:trHeight w:val="318" w:hRule="atLeast"/>
        </w:trPr>
        <w:tc>
          <w:tcPr>
            <w:tcW w:w="5311" w:type="dxa"/>
          </w:tcPr>
          <w:p>
            <w:pPr>
              <w:pStyle w:val="TableParagraph"/>
              <w:spacing w:line="239" w:lineRule="exact"/>
              <w:ind w:left="4"/>
              <w:rPr>
                <w:sz w:val="22"/>
              </w:rPr>
            </w:pPr>
            <w:r>
              <w:rPr>
                <w:sz w:val="22"/>
              </w:rPr>
              <w:t>Peak Daily Flow</w:t>
            </w:r>
          </w:p>
        </w:tc>
        <w:tc>
          <w:tcPr>
            <w:tcW w:w="1997" w:type="dxa"/>
          </w:tcPr>
          <w:p>
            <w:pPr>
              <w:pStyle w:val="TableParagraph"/>
              <w:spacing w:line="239" w:lineRule="exact"/>
              <w:ind w:left="108"/>
              <w:rPr>
                <w:sz w:val="22"/>
              </w:rPr>
            </w:pPr>
            <w:r>
              <w:rPr>
                <w:sz w:val="22"/>
              </w:rPr>
              <w:t>7.1 MGD</w:t>
            </w:r>
          </w:p>
        </w:tc>
      </w:tr>
      <w:tr>
        <w:trPr>
          <w:trHeight w:val="318" w:hRule="atLeast"/>
        </w:trPr>
        <w:tc>
          <w:tcPr>
            <w:tcW w:w="5311" w:type="dxa"/>
          </w:tcPr>
          <w:p>
            <w:pPr>
              <w:pStyle w:val="TableParagraph"/>
              <w:spacing w:line="239" w:lineRule="exact"/>
              <w:ind w:left="4"/>
              <w:rPr>
                <w:sz w:val="22"/>
              </w:rPr>
            </w:pPr>
            <w:r>
              <w:rPr>
                <w:sz w:val="22"/>
              </w:rPr>
              <w:t>Residential Population</w:t>
            </w:r>
          </w:p>
        </w:tc>
        <w:tc>
          <w:tcPr>
            <w:tcW w:w="1997" w:type="dxa"/>
          </w:tcPr>
          <w:p>
            <w:pPr>
              <w:pStyle w:val="TableParagraph"/>
              <w:spacing w:line="239" w:lineRule="exact"/>
              <w:ind w:left="108"/>
              <w:rPr>
                <w:sz w:val="22"/>
              </w:rPr>
            </w:pPr>
            <w:r>
              <w:rPr>
                <w:sz w:val="22"/>
              </w:rPr>
              <w:t>53,054 (2015)</w:t>
            </w:r>
          </w:p>
        </w:tc>
      </w:tr>
      <w:tr>
        <w:trPr>
          <w:trHeight w:val="291" w:hRule="atLeast"/>
        </w:trPr>
        <w:tc>
          <w:tcPr>
            <w:tcW w:w="7308" w:type="dxa"/>
            <w:gridSpan w:val="2"/>
            <w:tcBorders>
              <w:left w:val="nil"/>
              <w:bottom w:val="nil"/>
              <w:right w:val="nil"/>
            </w:tcBorders>
          </w:tcPr>
          <w:p>
            <w:pPr>
              <w:pStyle w:val="TableParagraph"/>
              <w:spacing w:line="214" w:lineRule="exact" w:before="57"/>
              <w:ind w:left="110"/>
              <w:rPr>
                <w:i/>
                <w:sz w:val="20"/>
              </w:rPr>
            </w:pPr>
            <w:bookmarkStart w:name="Wastewater Treatment Facilities" w:id="175"/>
            <w:bookmarkEnd w:id="175"/>
            <w:r>
              <w:rPr/>
            </w:r>
            <w:r>
              <w:rPr>
                <w:i/>
                <w:sz w:val="20"/>
              </w:rPr>
              <w:t>Source: City of Richland General Sewer Plan, 2015</w:t>
            </w:r>
          </w:p>
        </w:tc>
      </w:tr>
    </w:tbl>
    <w:p>
      <w:pPr>
        <w:spacing w:before="202"/>
        <w:ind w:left="120" w:right="0" w:firstLine="0"/>
        <w:jc w:val="both"/>
        <w:rPr>
          <w:b/>
          <w:sz w:val="22"/>
        </w:rPr>
      </w:pPr>
      <w:r>
        <w:rPr>
          <w:b/>
          <w:color w:val="C0504D"/>
          <w:sz w:val="22"/>
        </w:rPr>
        <w:t>Wastewater Treatment Facilities</w:t>
      </w:r>
    </w:p>
    <w:p>
      <w:pPr>
        <w:pStyle w:val="BodyText"/>
        <w:spacing w:before="119"/>
        <w:ind w:left="119" w:right="234"/>
        <w:jc w:val="both"/>
      </w:pPr>
      <w:r>
        <w:rPr/>
        <w:t>All flows collected by the Richland sanitary sewer collection system are transported to and treated at</w:t>
      </w:r>
      <w:r>
        <w:rPr>
          <w:spacing w:val="-7"/>
        </w:rPr>
        <w:t> </w:t>
      </w:r>
      <w:r>
        <w:rPr/>
        <w:t>the</w:t>
      </w:r>
      <w:r>
        <w:rPr>
          <w:spacing w:val="-5"/>
        </w:rPr>
        <w:t> </w:t>
      </w:r>
      <w:r>
        <w:rPr/>
        <w:t>Richland</w:t>
      </w:r>
      <w:r>
        <w:rPr>
          <w:spacing w:val="-6"/>
        </w:rPr>
        <w:t> </w:t>
      </w:r>
      <w:r>
        <w:rPr/>
        <w:t>Wastewater</w:t>
      </w:r>
      <w:r>
        <w:rPr>
          <w:spacing w:val="-7"/>
        </w:rPr>
        <w:t> </w:t>
      </w:r>
      <w:r>
        <w:rPr/>
        <w:t>Treatment</w:t>
      </w:r>
      <w:r>
        <w:rPr>
          <w:spacing w:val="-6"/>
        </w:rPr>
        <w:t> </w:t>
      </w:r>
      <w:r>
        <w:rPr/>
        <w:t>Plant.</w:t>
      </w:r>
      <w:r>
        <w:rPr>
          <w:spacing w:val="-6"/>
        </w:rPr>
        <w:t> </w:t>
      </w:r>
      <w:r>
        <w:rPr/>
        <w:t>Since</w:t>
      </w:r>
      <w:r>
        <w:rPr>
          <w:spacing w:val="-5"/>
        </w:rPr>
        <w:t> </w:t>
      </w:r>
      <w:r>
        <w:rPr/>
        <w:t>its</w:t>
      </w:r>
      <w:r>
        <w:rPr>
          <w:spacing w:val="-6"/>
        </w:rPr>
        <w:t> </w:t>
      </w:r>
      <w:r>
        <w:rPr/>
        <w:t>completion</w:t>
      </w:r>
      <w:r>
        <w:rPr>
          <w:spacing w:val="-7"/>
        </w:rPr>
        <w:t> </w:t>
      </w:r>
      <w:r>
        <w:rPr/>
        <w:t>in</w:t>
      </w:r>
      <w:r>
        <w:rPr>
          <w:spacing w:val="-7"/>
        </w:rPr>
        <w:t> </w:t>
      </w:r>
      <w:r>
        <w:rPr/>
        <w:t>1985,</w:t>
      </w:r>
      <w:r>
        <w:rPr>
          <w:spacing w:val="-7"/>
        </w:rPr>
        <w:t> </w:t>
      </w:r>
      <w:r>
        <w:rPr/>
        <w:t>the</w:t>
      </w:r>
      <w:r>
        <w:rPr>
          <w:spacing w:val="-5"/>
        </w:rPr>
        <w:t> </w:t>
      </w:r>
      <w:r>
        <w:rPr/>
        <w:t>plant</w:t>
      </w:r>
      <w:r>
        <w:rPr>
          <w:spacing w:val="-6"/>
        </w:rPr>
        <w:t> </w:t>
      </w:r>
      <w:r>
        <w:rPr/>
        <w:t>has</w:t>
      </w:r>
      <w:r>
        <w:rPr>
          <w:spacing w:val="-5"/>
        </w:rPr>
        <w:t> </w:t>
      </w:r>
      <w:r>
        <w:rPr/>
        <w:t>consistently achieved</w:t>
      </w:r>
      <w:r>
        <w:rPr>
          <w:spacing w:val="-15"/>
        </w:rPr>
        <w:t> </w:t>
      </w:r>
      <w:r>
        <w:rPr/>
        <w:t>the</w:t>
      </w:r>
      <w:r>
        <w:rPr>
          <w:spacing w:val="-14"/>
        </w:rPr>
        <w:t> </w:t>
      </w:r>
      <w:r>
        <w:rPr/>
        <w:t>discharge</w:t>
      </w:r>
      <w:r>
        <w:rPr>
          <w:spacing w:val="-14"/>
        </w:rPr>
        <w:t> </w:t>
      </w:r>
      <w:r>
        <w:rPr/>
        <w:t>requirements</w:t>
      </w:r>
      <w:r>
        <w:rPr>
          <w:spacing w:val="-13"/>
        </w:rPr>
        <w:t> </w:t>
      </w:r>
      <w:r>
        <w:rPr/>
        <w:t>specified</w:t>
      </w:r>
      <w:r>
        <w:rPr>
          <w:spacing w:val="-14"/>
        </w:rPr>
        <w:t> </w:t>
      </w:r>
      <w:r>
        <w:rPr/>
        <w:t>in</w:t>
      </w:r>
      <w:r>
        <w:rPr>
          <w:spacing w:val="-16"/>
        </w:rPr>
        <w:t> </w:t>
      </w:r>
      <w:r>
        <w:rPr/>
        <w:t>its</w:t>
      </w:r>
      <w:r>
        <w:rPr>
          <w:spacing w:val="-15"/>
        </w:rPr>
        <w:t> </w:t>
      </w:r>
      <w:r>
        <w:rPr/>
        <w:t>National</w:t>
      </w:r>
      <w:r>
        <w:rPr>
          <w:spacing w:val="-14"/>
        </w:rPr>
        <w:t> </w:t>
      </w:r>
      <w:r>
        <w:rPr/>
        <w:t>Pollution</w:t>
      </w:r>
      <w:r>
        <w:rPr>
          <w:spacing w:val="-15"/>
        </w:rPr>
        <w:t> </w:t>
      </w:r>
      <w:r>
        <w:rPr/>
        <w:t>Discharge</w:t>
      </w:r>
      <w:r>
        <w:rPr>
          <w:spacing w:val="-14"/>
        </w:rPr>
        <w:t> </w:t>
      </w:r>
      <w:r>
        <w:rPr/>
        <w:t>Elimination</w:t>
      </w:r>
      <w:r>
        <w:rPr>
          <w:spacing w:val="-15"/>
        </w:rPr>
        <w:t> </w:t>
      </w:r>
      <w:r>
        <w:rPr/>
        <w:t>System (NPDES) permit. The plant provides primary sedimentation, followed by secondary treatment using an activated sludge process. Plant effluent is disinfected with chlorine prior to discharge to the Columbia</w:t>
      </w:r>
      <w:r>
        <w:rPr>
          <w:spacing w:val="-11"/>
        </w:rPr>
        <w:t> </w:t>
      </w:r>
      <w:r>
        <w:rPr/>
        <w:t>River.</w:t>
      </w:r>
      <w:r>
        <w:rPr>
          <w:spacing w:val="-14"/>
        </w:rPr>
        <w:t> </w:t>
      </w:r>
      <w:r>
        <w:rPr/>
        <w:t>The</w:t>
      </w:r>
      <w:r>
        <w:rPr>
          <w:spacing w:val="-11"/>
        </w:rPr>
        <w:t> </w:t>
      </w:r>
      <w:r>
        <w:rPr/>
        <w:t>design</w:t>
      </w:r>
      <w:r>
        <w:rPr>
          <w:spacing w:val="-12"/>
        </w:rPr>
        <w:t> </w:t>
      </w:r>
      <w:r>
        <w:rPr/>
        <w:t>criteria</w:t>
      </w:r>
      <w:r>
        <w:rPr>
          <w:spacing w:val="-11"/>
        </w:rPr>
        <w:t> </w:t>
      </w:r>
      <w:r>
        <w:rPr/>
        <w:t>and</w:t>
      </w:r>
      <w:r>
        <w:rPr>
          <w:spacing w:val="-12"/>
        </w:rPr>
        <w:t> </w:t>
      </w:r>
      <w:r>
        <w:rPr/>
        <w:t>the</w:t>
      </w:r>
      <w:r>
        <w:rPr>
          <w:spacing w:val="-14"/>
        </w:rPr>
        <w:t> </w:t>
      </w:r>
      <w:r>
        <w:rPr/>
        <w:t>current</w:t>
      </w:r>
      <w:r>
        <w:rPr>
          <w:spacing w:val="-12"/>
        </w:rPr>
        <w:t> </w:t>
      </w:r>
      <w:r>
        <w:rPr/>
        <w:t>loadings</w:t>
      </w:r>
      <w:r>
        <w:rPr>
          <w:spacing w:val="-10"/>
        </w:rPr>
        <w:t> </w:t>
      </w:r>
      <w:r>
        <w:rPr/>
        <w:t>for</w:t>
      </w:r>
      <w:r>
        <w:rPr>
          <w:spacing w:val="-12"/>
        </w:rPr>
        <w:t> </w:t>
      </w:r>
      <w:r>
        <w:rPr/>
        <w:t>flow,</w:t>
      </w:r>
      <w:r>
        <w:rPr>
          <w:spacing w:val="-14"/>
        </w:rPr>
        <w:t> </w:t>
      </w:r>
      <w:r>
        <w:rPr/>
        <w:t>organic</w:t>
      </w:r>
      <w:r>
        <w:rPr>
          <w:spacing w:val="-10"/>
        </w:rPr>
        <w:t> </w:t>
      </w:r>
      <w:r>
        <w:rPr/>
        <w:t>loading,</w:t>
      </w:r>
      <w:r>
        <w:rPr>
          <w:spacing w:val="-10"/>
        </w:rPr>
        <w:t> </w:t>
      </w:r>
      <w:r>
        <w:rPr/>
        <w:t>and</w:t>
      </w:r>
      <w:r>
        <w:rPr>
          <w:spacing w:val="-12"/>
        </w:rPr>
        <w:t> </w:t>
      </w:r>
      <w:r>
        <w:rPr/>
        <w:t>suspended solids are summarized in Table</w:t>
      </w:r>
      <w:r>
        <w:rPr>
          <w:spacing w:val="-10"/>
        </w:rPr>
        <w:t> </w:t>
      </w:r>
      <w:r>
        <w:rPr/>
        <w:t>U-2.</w:t>
      </w:r>
    </w:p>
    <w:p>
      <w:pPr>
        <w:spacing w:before="122"/>
        <w:ind w:left="364" w:right="0" w:firstLine="0"/>
        <w:jc w:val="left"/>
        <w:rPr>
          <w:rFonts w:ascii="Arial"/>
          <w:b/>
          <w:sz w:val="20"/>
        </w:rPr>
      </w:pPr>
      <w:r>
        <w:rPr>
          <w:rFonts w:ascii="Arial"/>
          <w:b/>
          <w:sz w:val="20"/>
        </w:rPr>
        <w:t>Table U-2: Richland Wastewater Treatment Plant Design Criteria</w:t>
      </w:r>
    </w:p>
    <w:p>
      <w:pPr>
        <w:pStyle w:val="BodyText"/>
        <w:spacing w:before="3"/>
        <w:rPr>
          <w:rFonts w:ascii="Arial"/>
          <w:b/>
          <w:sz w:val="10"/>
        </w:rPr>
      </w:pPr>
    </w:p>
    <w:tbl>
      <w:tblPr>
        <w:tblW w:w="0" w:type="auto"/>
        <w:jc w:val="left"/>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19"/>
        <w:gridCol w:w="2630"/>
        <w:gridCol w:w="2536"/>
      </w:tblGrid>
      <w:tr>
        <w:trPr>
          <w:trHeight w:val="405" w:hRule="atLeast"/>
        </w:trPr>
        <w:tc>
          <w:tcPr>
            <w:tcW w:w="3919" w:type="dxa"/>
            <w:shd w:val="clear" w:color="auto" w:fill="B8CCE3"/>
          </w:tcPr>
          <w:p>
            <w:pPr>
              <w:pStyle w:val="TableParagraph"/>
              <w:spacing w:before="0"/>
              <w:ind w:left="0"/>
              <w:rPr>
                <w:rFonts w:ascii="Times New Roman"/>
                <w:sz w:val="20"/>
              </w:rPr>
            </w:pPr>
          </w:p>
        </w:tc>
        <w:tc>
          <w:tcPr>
            <w:tcW w:w="2630" w:type="dxa"/>
            <w:shd w:val="clear" w:color="auto" w:fill="B8CCE3"/>
          </w:tcPr>
          <w:p>
            <w:pPr>
              <w:pStyle w:val="TableParagraph"/>
              <w:spacing w:before="122"/>
              <w:ind w:left="105"/>
              <w:rPr>
                <w:b/>
                <w:sz w:val="22"/>
              </w:rPr>
            </w:pPr>
            <w:r>
              <w:rPr>
                <w:b/>
                <w:sz w:val="22"/>
              </w:rPr>
              <w:t>Design Criteria</w:t>
            </w:r>
          </w:p>
        </w:tc>
        <w:tc>
          <w:tcPr>
            <w:tcW w:w="2536" w:type="dxa"/>
            <w:shd w:val="clear" w:color="auto" w:fill="B8CCE3"/>
          </w:tcPr>
          <w:p>
            <w:pPr>
              <w:pStyle w:val="TableParagraph"/>
              <w:spacing w:before="122"/>
              <w:ind w:left="108"/>
              <w:rPr>
                <w:b/>
                <w:sz w:val="22"/>
              </w:rPr>
            </w:pPr>
            <w:r>
              <w:rPr>
                <w:b/>
                <w:sz w:val="22"/>
              </w:rPr>
              <w:t>2015</w:t>
            </w:r>
          </w:p>
        </w:tc>
      </w:tr>
      <w:tr>
        <w:trPr>
          <w:trHeight w:val="316" w:hRule="atLeast"/>
        </w:trPr>
        <w:tc>
          <w:tcPr>
            <w:tcW w:w="3919" w:type="dxa"/>
          </w:tcPr>
          <w:p>
            <w:pPr>
              <w:pStyle w:val="TableParagraph"/>
              <w:spacing w:line="237" w:lineRule="exact"/>
              <w:ind w:left="4"/>
              <w:rPr>
                <w:sz w:val="22"/>
              </w:rPr>
            </w:pPr>
            <w:r>
              <w:rPr>
                <w:sz w:val="22"/>
              </w:rPr>
              <w:t>Average daily flow for maximum month</w:t>
            </w:r>
          </w:p>
        </w:tc>
        <w:tc>
          <w:tcPr>
            <w:tcW w:w="2630" w:type="dxa"/>
          </w:tcPr>
          <w:p>
            <w:pPr>
              <w:pStyle w:val="TableParagraph"/>
              <w:spacing w:line="237" w:lineRule="exact"/>
              <w:ind w:left="105"/>
              <w:rPr>
                <w:sz w:val="22"/>
              </w:rPr>
            </w:pPr>
            <w:r>
              <w:rPr>
                <w:sz w:val="22"/>
              </w:rPr>
              <w:t>11.4 MGD</w:t>
            </w:r>
          </w:p>
        </w:tc>
        <w:tc>
          <w:tcPr>
            <w:tcW w:w="2536" w:type="dxa"/>
          </w:tcPr>
          <w:p>
            <w:pPr>
              <w:pStyle w:val="TableParagraph"/>
              <w:spacing w:line="237" w:lineRule="exact"/>
              <w:ind w:left="108"/>
              <w:rPr>
                <w:sz w:val="22"/>
              </w:rPr>
            </w:pPr>
            <w:r>
              <w:rPr>
                <w:sz w:val="22"/>
              </w:rPr>
              <w:t>6.25 MGD</w:t>
            </w:r>
          </w:p>
        </w:tc>
      </w:tr>
      <w:tr>
        <w:trPr>
          <w:trHeight w:val="318" w:hRule="atLeast"/>
        </w:trPr>
        <w:tc>
          <w:tcPr>
            <w:tcW w:w="3919" w:type="dxa"/>
          </w:tcPr>
          <w:p>
            <w:pPr>
              <w:pStyle w:val="TableParagraph"/>
              <w:spacing w:line="238" w:lineRule="exact" w:before="61"/>
              <w:ind w:left="4"/>
              <w:rPr>
                <w:sz w:val="22"/>
              </w:rPr>
            </w:pPr>
            <w:r>
              <w:rPr>
                <w:position w:val="2"/>
                <w:sz w:val="22"/>
              </w:rPr>
              <w:t>BOD</w:t>
            </w:r>
            <w:r>
              <w:rPr>
                <w:sz w:val="14"/>
              </w:rPr>
              <w:t>5 </w:t>
            </w:r>
            <w:r>
              <w:rPr>
                <w:position w:val="2"/>
                <w:sz w:val="22"/>
              </w:rPr>
              <w:t>loading for maximum month</w:t>
            </w:r>
          </w:p>
        </w:tc>
        <w:tc>
          <w:tcPr>
            <w:tcW w:w="2630" w:type="dxa"/>
          </w:tcPr>
          <w:p>
            <w:pPr>
              <w:pStyle w:val="TableParagraph"/>
              <w:spacing w:line="237" w:lineRule="exact" w:before="62"/>
              <w:ind w:left="105"/>
              <w:rPr>
                <w:sz w:val="22"/>
              </w:rPr>
            </w:pPr>
            <w:r>
              <w:rPr>
                <w:sz w:val="22"/>
              </w:rPr>
              <w:t>17,250 lbs/day</w:t>
            </w:r>
          </w:p>
        </w:tc>
        <w:tc>
          <w:tcPr>
            <w:tcW w:w="2536" w:type="dxa"/>
          </w:tcPr>
          <w:p>
            <w:pPr>
              <w:pStyle w:val="TableParagraph"/>
              <w:spacing w:line="237" w:lineRule="exact" w:before="62"/>
              <w:ind w:left="108"/>
              <w:rPr>
                <w:sz w:val="22"/>
              </w:rPr>
            </w:pPr>
            <w:r>
              <w:rPr>
                <w:sz w:val="22"/>
              </w:rPr>
              <w:t>14,099 lbs/day</w:t>
            </w:r>
          </w:p>
        </w:tc>
      </w:tr>
      <w:tr>
        <w:trPr>
          <w:trHeight w:val="318" w:hRule="atLeast"/>
        </w:trPr>
        <w:tc>
          <w:tcPr>
            <w:tcW w:w="3919" w:type="dxa"/>
          </w:tcPr>
          <w:p>
            <w:pPr>
              <w:pStyle w:val="TableParagraph"/>
              <w:spacing w:line="239" w:lineRule="exact"/>
              <w:ind w:left="4"/>
              <w:rPr>
                <w:sz w:val="22"/>
              </w:rPr>
            </w:pPr>
            <w:r>
              <w:rPr>
                <w:sz w:val="22"/>
              </w:rPr>
              <w:t>TSS loading for maximum month</w:t>
            </w:r>
          </w:p>
        </w:tc>
        <w:tc>
          <w:tcPr>
            <w:tcW w:w="2630" w:type="dxa"/>
          </w:tcPr>
          <w:p>
            <w:pPr>
              <w:pStyle w:val="TableParagraph"/>
              <w:spacing w:line="239" w:lineRule="exact"/>
              <w:ind w:left="105"/>
              <w:rPr>
                <w:sz w:val="22"/>
              </w:rPr>
            </w:pPr>
            <w:r>
              <w:rPr>
                <w:sz w:val="22"/>
              </w:rPr>
              <w:t>21,200 lbs/day</w:t>
            </w:r>
          </w:p>
        </w:tc>
        <w:tc>
          <w:tcPr>
            <w:tcW w:w="2536" w:type="dxa"/>
          </w:tcPr>
          <w:p>
            <w:pPr>
              <w:pStyle w:val="TableParagraph"/>
              <w:spacing w:line="239" w:lineRule="exact"/>
              <w:ind w:left="108"/>
              <w:rPr>
                <w:sz w:val="22"/>
              </w:rPr>
            </w:pPr>
            <w:r>
              <w:rPr>
                <w:sz w:val="22"/>
              </w:rPr>
              <w:t>18,146 lbs/day</w:t>
            </w:r>
          </w:p>
        </w:tc>
      </w:tr>
      <w:tr>
        <w:trPr>
          <w:trHeight w:val="316" w:hRule="atLeast"/>
        </w:trPr>
        <w:tc>
          <w:tcPr>
            <w:tcW w:w="3919" w:type="dxa"/>
          </w:tcPr>
          <w:p>
            <w:pPr>
              <w:pStyle w:val="TableParagraph"/>
              <w:spacing w:line="238" w:lineRule="exact" w:before="58"/>
              <w:ind w:left="4"/>
              <w:rPr>
                <w:sz w:val="22"/>
              </w:rPr>
            </w:pPr>
            <w:r>
              <w:rPr>
                <w:position w:val="2"/>
                <w:sz w:val="22"/>
              </w:rPr>
              <w:t>NH</w:t>
            </w:r>
            <w:r>
              <w:rPr>
                <w:sz w:val="14"/>
              </w:rPr>
              <w:t>3</w:t>
            </w:r>
            <w:r>
              <w:rPr>
                <w:position w:val="2"/>
                <w:sz w:val="22"/>
              </w:rPr>
              <w:t>-N loading for maximum month</w:t>
            </w:r>
          </w:p>
        </w:tc>
        <w:tc>
          <w:tcPr>
            <w:tcW w:w="2630" w:type="dxa"/>
          </w:tcPr>
          <w:p>
            <w:pPr>
              <w:pStyle w:val="TableParagraph"/>
              <w:spacing w:line="237" w:lineRule="exact"/>
              <w:ind w:left="105"/>
              <w:rPr>
                <w:sz w:val="22"/>
              </w:rPr>
            </w:pPr>
            <w:r>
              <w:rPr>
                <w:sz w:val="22"/>
              </w:rPr>
              <w:t>2,750 lbs/day</w:t>
            </w:r>
          </w:p>
        </w:tc>
        <w:tc>
          <w:tcPr>
            <w:tcW w:w="2536" w:type="dxa"/>
          </w:tcPr>
          <w:p>
            <w:pPr>
              <w:pStyle w:val="TableParagraph"/>
              <w:spacing w:line="237" w:lineRule="exact"/>
              <w:ind w:left="108"/>
              <w:rPr>
                <w:sz w:val="22"/>
              </w:rPr>
            </w:pPr>
            <w:r>
              <w:rPr>
                <w:sz w:val="22"/>
              </w:rPr>
              <w:t>2,063 lbs/day</w:t>
            </w:r>
          </w:p>
        </w:tc>
      </w:tr>
    </w:tbl>
    <w:p>
      <w:pPr>
        <w:pStyle w:val="ListParagraph"/>
        <w:numPr>
          <w:ilvl w:val="0"/>
          <w:numId w:val="7"/>
        </w:numPr>
        <w:tabs>
          <w:tab w:pos="555" w:val="left" w:leader="none"/>
        </w:tabs>
        <w:spacing w:line="240" w:lineRule="auto" w:before="59" w:after="0"/>
        <w:ind w:left="554" w:right="0" w:hanging="191"/>
        <w:jc w:val="left"/>
        <w:rPr>
          <w:i/>
          <w:sz w:val="20"/>
        </w:rPr>
      </w:pPr>
      <w:r>
        <w:rPr>
          <w:i/>
          <w:sz w:val="20"/>
        </w:rPr>
        <w:t>BOD = biochemical oxygen</w:t>
      </w:r>
      <w:r>
        <w:rPr>
          <w:i/>
          <w:spacing w:val="-2"/>
          <w:sz w:val="20"/>
        </w:rPr>
        <w:t> </w:t>
      </w:r>
      <w:r>
        <w:rPr>
          <w:i/>
          <w:sz w:val="20"/>
        </w:rPr>
        <w:t>demand</w:t>
      </w:r>
    </w:p>
    <w:p>
      <w:pPr>
        <w:pStyle w:val="ListParagraph"/>
        <w:numPr>
          <w:ilvl w:val="0"/>
          <w:numId w:val="7"/>
        </w:numPr>
        <w:tabs>
          <w:tab w:pos="553" w:val="left" w:leader="none"/>
        </w:tabs>
        <w:spacing w:line="240" w:lineRule="auto" w:before="61" w:after="0"/>
        <w:ind w:left="552" w:right="0" w:hanging="189"/>
        <w:jc w:val="left"/>
        <w:rPr>
          <w:i/>
          <w:sz w:val="20"/>
        </w:rPr>
      </w:pPr>
      <w:r>
        <w:rPr>
          <w:i/>
          <w:sz w:val="20"/>
        </w:rPr>
        <w:t>TSS = total suspended</w:t>
      </w:r>
      <w:r>
        <w:rPr>
          <w:i/>
          <w:spacing w:val="-5"/>
          <w:sz w:val="20"/>
        </w:rPr>
        <w:t> </w:t>
      </w:r>
      <w:r>
        <w:rPr>
          <w:i/>
          <w:sz w:val="20"/>
        </w:rPr>
        <w:t>solids</w:t>
      </w:r>
    </w:p>
    <w:p>
      <w:pPr>
        <w:spacing w:before="61"/>
        <w:ind w:left="364" w:right="0" w:firstLine="0"/>
        <w:jc w:val="left"/>
        <w:rPr>
          <w:i/>
          <w:sz w:val="20"/>
        </w:rPr>
      </w:pPr>
      <w:r>
        <w:rPr>
          <w:i/>
          <w:sz w:val="20"/>
        </w:rPr>
        <w:t>Source: City of Richland General Sewer Plan, 2015</w:t>
      </w:r>
    </w:p>
    <w:p>
      <w:pPr>
        <w:pStyle w:val="BodyText"/>
        <w:spacing w:before="121"/>
        <w:ind w:left="120" w:right="233"/>
        <w:jc w:val="both"/>
      </w:pPr>
      <w:r>
        <w:rPr/>
        <w:t>The NPDES permit requires the City to submit a plan and a schedule for maintaining capacity whenever</w:t>
      </w:r>
      <w:r>
        <w:rPr>
          <w:spacing w:val="-2"/>
        </w:rPr>
        <w:t> </w:t>
      </w:r>
      <w:r>
        <w:rPr/>
        <w:t>the</w:t>
      </w:r>
      <w:r>
        <w:rPr>
          <w:spacing w:val="-2"/>
        </w:rPr>
        <w:t> </w:t>
      </w:r>
      <w:r>
        <w:rPr/>
        <w:t>actual</w:t>
      </w:r>
      <w:r>
        <w:rPr>
          <w:spacing w:val="-2"/>
        </w:rPr>
        <w:t> </w:t>
      </w:r>
      <w:r>
        <w:rPr/>
        <w:t>flow</w:t>
      </w:r>
      <w:r>
        <w:rPr>
          <w:spacing w:val="-5"/>
        </w:rPr>
        <w:t> </w:t>
      </w:r>
      <w:r>
        <w:rPr/>
        <w:t>or</w:t>
      </w:r>
      <w:r>
        <w:rPr>
          <w:spacing w:val="-2"/>
        </w:rPr>
        <w:t> </w:t>
      </w:r>
      <w:r>
        <w:rPr/>
        <w:t>load</w:t>
      </w:r>
      <w:r>
        <w:rPr>
          <w:spacing w:val="-4"/>
        </w:rPr>
        <w:t> </w:t>
      </w:r>
      <w:r>
        <w:rPr/>
        <w:t>reaches</w:t>
      </w:r>
      <w:r>
        <w:rPr>
          <w:spacing w:val="-3"/>
        </w:rPr>
        <w:t> </w:t>
      </w:r>
      <w:r>
        <w:rPr/>
        <w:t>85%</w:t>
      </w:r>
      <w:r>
        <w:rPr>
          <w:spacing w:val="-4"/>
        </w:rPr>
        <w:t> </w:t>
      </w:r>
      <w:r>
        <w:rPr/>
        <w:t>of</w:t>
      </w:r>
      <w:r>
        <w:rPr>
          <w:spacing w:val="-4"/>
        </w:rPr>
        <w:t> </w:t>
      </w:r>
      <w:r>
        <w:rPr/>
        <w:t>any</w:t>
      </w:r>
      <w:r>
        <w:rPr>
          <w:spacing w:val="-3"/>
        </w:rPr>
        <w:t> </w:t>
      </w:r>
      <w:r>
        <w:rPr/>
        <w:t>one</w:t>
      </w:r>
      <w:r>
        <w:rPr>
          <w:spacing w:val="-2"/>
        </w:rPr>
        <w:t> </w:t>
      </w:r>
      <w:r>
        <w:rPr/>
        <w:t>of</w:t>
      </w:r>
      <w:r>
        <w:rPr>
          <w:spacing w:val="-1"/>
        </w:rPr>
        <w:t> </w:t>
      </w:r>
      <w:r>
        <w:rPr/>
        <w:t>the</w:t>
      </w:r>
      <w:r>
        <w:rPr>
          <w:spacing w:val="-4"/>
        </w:rPr>
        <w:t> </w:t>
      </w:r>
      <w:r>
        <w:rPr/>
        <w:t>design</w:t>
      </w:r>
      <w:r>
        <w:rPr>
          <w:spacing w:val="-3"/>
        </w:rPr>
        <w:t> </w:t>
      </w:r>
      <w:r>
        <w:rPr/>
        <w:t>criteria</w:t>
      </w:r>
      <w:r>
        <w:rPr>
          <w:spacing w:val="-2"/>
        </w:rPr>
        <w:t> </w:t>
      </w:r>
      <w:r>
        <w:rPr/>
        <w:t>for</w:t>
      </w:r>
      <w:r>
        <w:rPr>
          <w:spacing w:val="-2"/>
        </w:rPr>
        <w:t> </w:t>
      </w:r>
      <w:r>
        <w:rPr/>
        <w:t>three</w:t>
      </w:r>
      <w:r>
        <w:rPr>
          <w:spacing w:val="-4"/>
        </w:rPr>
        <w:t> </w:t>
      </w:r>
      <w:r>
        <w:rPr/>
        <w:t>consecutive months. This is projected to occur in</w:t>
      </w:r>
      <w:r>
        <w:rPr>
          <w:spacing w:val="-11"/>
        </w:rPr>
        <w:t> </w:t>
      </w:r>
      <w:r>
        <w:rPr/>
        <w:t>2020.</w:t>
      </w:r>
    </w:p>
    <w:p>
      <w:pPr>
        <w:spacing w:before="198"/>
        <w:ind w:left="120" w:right="0" w:firstLine="0"/>
        <w:jc w:val="both"/>
        <w:rPr>
          <w:b/>
          <w:sz w:val="24"/>
        </w:rPr>
      </w:pPr>
      <w:bookmarkStart w:name="LEVEL OF SERVICE" w:id="176"/>
      <w:bookmarkEnd w:id="176"/>
      <w:r>
        <w:rPr/>
      </w:r>
      <w:r>
        <w:rPr>
          <w:b/>
          <w:sz w:val="24"/>
        </w:rPr>
        <w:t>LEVEL OF SERVICE</w:t>
      </w:r>
    </w:p>
    <w:p>
      <w:pPr>
        <w:pStyle w:val="BodyText"/>
        <w:spacing w:before="119"/>
        <w:ind w:left="120" w:right="236"/>
        <w:jc w:val="both"/>
      </w:pPr>
      <w:r>
        <w:rPr/>
        <w:t>The service area for the City of Richland sewer system matches the UGA, although not all areas have sewer</w:t>
      </w:r>
      <w:r>
        <w:rPr>
          <w:spacing w:val="-8"/>
        </w:rPr>
        <w:t> </w:t>
      </w:r>
      <w:r>
        <w:rPr/>
        <w:t>service.</w:t>
      </w:r>
      <w:r>
        <w:rPr>
          <w:spacing w:val="-6"/>
        </w:rPr>
        <w:t> </w:t>
      </w:r>
      <w:r>
        <w:rPr/>
        <w:t>The</w:t>
      </w:r>
      <w:r>
        <w:rPr>
          <w:spacing w:val="-6"/>
        </w:rPr>
        <w:t> </w:t>
      </w:r>
      <w:r>
        <w:rPr/>
        <w:t>City’s</w:t>
      </w:r>
      <w:r>
        <w:rPr>
          <w:spacing w:val="-7"/>
        </w:rPr>
        <w:t> </w:t>
      </w:r>
      <w:r>
        <w:rPr/>
        <w:t>2015</w:t>
      </w:r>
      <w:r>
        <w:rPr>
          <w:spacing w:val="-6"/>
        </w:rPr>
        <w:t> </w:t>
      </w:r>
      <w:r>
        <w:rPr/>
        <w:t>General</w:t>
      </w:r>
      <w:r>
        <w:rPr>
          <w:spacing w:val="-7"/>
        </w:rPr>
        <w:t> </w:t>
      </w:r>
      <w:r>
        <w:rPr/>
        <w:t>Sewer</w:t>
      </w:r>
      <w:r>
        <w:rPr>
          <w:spacing w:val="-8"/>
        </w:rPr>
        <w:t> </w:t>
      </w:r>
      <w:r>
        <w:rPr/>
        <w:t>Plan</w:t>
      </w:r>
      <w:r>
        <w:rPr>
          <w:spacing w:val="-8"/>
        </w:rPr>
        <w:t> </w:t>
      </w:r>
      <w:r>
        <w:rPr/>
        <w:t>addresses</w:t>
      </w:r>
      <w:r>
        <w:rPr>
          <w:spacing w:val="-6"/>
        </w:rPr>
        <w:t> </w:t>
      </w:r>
      <w:r>
        <w:rPr/>
        <w:t>proposed</w:t>
      </w:r>
      <w:r>
        <w:rPr>
          <w:spacing w:val="-8"/>
        </w:rPr>
        <w:t> </w:t>
      </w:r>
      <w:r>
        <w:rPr/>
        <w:t>future</w:t>
      </w:r>
      <w:r>
        <w:rPr>
          <w:spacing w:val="-9"/>
        </w:rPr>
        <w:t> </w:t>
      </w:r>
      <w:r>
        <w:rPr/>
        <w:t>system</w:t>
      </w:r>
      <w:r>
        <w:rPr>
          <w:spacing w:val="-6"/>
        </w:rPr>
        <w:t> </w:t>
      </w:r>
      <w:r>
        <w:rPr/>
        <w:t>improvements based upon current land uses within the</w:t>
      </w:r>
      <w:r>
        <w:rPr>
          <w:spacing w:val="-11"/>
        </w:rPr>
        <w:t> </w:t>
      </w:r>
      <w:r>
        <w:rPr/>
        <w:t>UGA.</w:t>
      </w:r>
    </w:p>
    <w:p>
      <w:pPr>
        <w:pStyle w:val="BodyText"/>
        <w:spacing w:before="122"/>
        <w:ind w:left="120" w:right="234"/>
        <w:jc w:val="both"/>
      </w:pPr>
      <w:r>
        <w:rPr/>
        <w:t>Current LOS standards for elements of the wastewater facilities system, contained in the 2015 Plan, are listed in Table U-3. Improvements recommended in the City of Richland Comprehensive Plan Utilities Element are aimed at maintaining these guideline LOS standards.</w:t>
      </w:r>
    </w:p>
    <w:p>
      <w:pPr>
        <w:pStyle w:val="BodyText"/>
        <w:rPr>
          <w:sz w:val="26"/>
        </w:rPr>
      </w:pPr>
    </w:p>
    <w:p>
      <w:pPr>
        <w:pStyle w:val="BodyText"/>
        <w:rPr>
          <w:sz w:val="26"/>
        </w:rPr>
      </w:pPr>
    </w:p>
    <w:p>
      <w:pPr>
        <w:pStyle w:val="BodyText"/>
        <w:spacing w:before="7"/>
        <w:rPr>
          <w:sz w:val="23"/>
        </w:rPr>
      </w:pPr>
    </w:p>
    <w:p>
      <w:pPr>
        <w:spacing w:before="0"/>
        <w:ind w:left="335" w:right="0" w:firstLine="0"/>
        <w:jc w:val="left"/>
        <w:rPr>
          <w:rFonts w:ascii="Arial"/>
          <w:b/>
          <w:sz w:val="20"/>
        </w:rPr>
      </w:pPr>
      <w:r>
        <w:rPr/>
        <w:pict>
          <v:shape style="position:absolute;margin-left:76.680pt;margin-top:17.779884pt;width:321.4pt;height:.1pt;mso-position-horizontal-relative:page;mso-position-vertical-relative:paragraph;z-index:-250940416;mso-wrap-distance-left:0;mso-wrap-distance-right:0" coordorigin="1534,356" coordsize="6428,0" path="m1534,356l7961,356e" filled="false" stroked="true" strokeweight=".48pt" strokecolor="#000000">
            <v:path arrowok="t"/>
            <v:stroke dashstyle="solid"/>
            <w10:wrap type="topAndBottom"/>
          </v:shape>
        </w:pict>
      </w:r>
      <w:r>
        <w:rPr>
          <w:rFonts w:ascii="Arial"/>
          <w:b/>
          <w:sz w:val="20"/>
        </w:rPr>
        <w:t>Table U-3: Wastewater Guideline LOS Standards</w:t>
      </w:r>
    </w:p>
    <w:p>
      <w:pPr>
        <w:spacing w:after="0"/>
        <w:jc w:val="left"/>
        <w:rPr>
          <w:rFonts w:ascii="Arial"/>
          <w:sz w:val="20"/>
        </w:rPr>
        <w:sectPr>
          <w:pgSz w:w="12240" w:h="15840"/>
          <w:pgMar w:header="0" w:footer="1052" w:top="1360" w:bottom="1320" w:left="1320" w:right="1200"/>
        </w:sectPr>
      </w:pPr>
    </w:p>
    <w:tbl>
      <w:tblPr>
        <w:tblW w:w="0" w:type="auto"/>
        <w:jc w:val="left"/>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763"/>
        <w:gridCol w:w="2649"/>
      </w:tblGrid>
      <w:tr>
        <w:trPr>
          <w:trHeight w:val="402" w:hRule="atLeast"/>
        </w:trPr>
        <w:tc>
          <w:tcPr>
            <w:tcW w:w="3763" w:type="dxa"/>
            <w:shd w:val="clear" w:color="auto" w:fill="B8CCE3"/>
          </w:tcPr>
          <w:p>
            <w:pPr>
              <w:pStyle w:val="TableParagraph"/>
              <w:spacing w:before="119"/>
              <w:ind w:left="4"/>
              <w:rPr>
                <w:b/>
                <w:sz w:val="22"/>
              </w:rPr>
            </w:pPr>
            <w:r>
              <w:rPr>
                <w:b/>
                <w:sz w:val="22"/>
              </w:rPr>
              <w:t>Element</w:t>
            </w:r>
          </w:p>
        </w:tc>
        <w:tc>
          <w:tcPr>
            <w:tcW w:w="2649" w:type="dxa"/>
            <w:shd w:val="clear" w:color="auto" w:fill="B8CCE3"/>
          </w:tcPr>
          <w:p>
            <w:pPr>
              <w:pStyle w:val="TableParagraph"/>
              <w:spacing w:before="119"/>
              <w:ind w:left="105"/>
              <w:rPr>
                <w:b/>
                <w:sz w:val="22"/>
              </w:rPr>
            </w:pPr>
            <w:r>
              <w:rPr>
                <w:b/>
                <w:sz w:val="22"/>
              </w:rPr>
              <w:t>LOS Standard</w:t>
            </w:r>
          </w:p>
        </w:tc>
      </w:tr>
      <w:tr>
        <w:trPr>
          <w:trHeight w:val="378" w:hRule="atLeast"/>
        </w:trPr>
        <w:tc>
          <w:tcPr>
            <w:tcW w:w="3763" w:type="dxa"/>
          </w:tcPr>
          <w:p>
            <w:pPr>
              <w:pStyle w:val="TableParagraph"/>
              <w:spacing w:line="237" w:lineRule="exact" w:before="122"/>
              <w:ind w:left="4"/>
              <w:rPr>
                <w:sz w:val="14"/>
              </w:rPr>
            </w:pPr>
            <w:r>
              <w:rPr>
                <w:sz w:val="22"/>
              </w:rPr>
              <w:t>Residential Unit Flows</w:t>
            </w:r>
            <w:r>
              <w:rPr>
                <w:position w:val="5"/>
                <w:sz w:val="14"/>
              </w:rPr>
              <w:t>a</w:t>
            </w:r>
          </w:p>
        </w:tc>
        <w:tc>
          <w:tcPr>
            <w:tcW w:w="2649" w:type="dxa"/>
          </w:tcPr>
          <w:p>
            <w:pPr>
              <w:pStyle w:val="TableParagraph"/>
              <w:spacing w:line="237" w:lineRule="exact" w:before="122"/>
              <w:ind w:left="105"/>
              <w:rPr>
                <w:sz w:val="14"/>
              </w:rPr>
            </w:pPr>
            <w:r>
              <w:rPr>
                <w:sz w:val="22"/>
              </w:rPr>
              <w:t>160 GPDU</w:t>
            </w:r>
            <w:r>
              <w:rPr>
                <w:position w:val="5"/>
                <w:sz w:val="14"/>
              </w:rPr>
              <w:t>b</w:t>
            </w:r>
          </w:p>
        </w:tc>
      </w:tr>
      <w:tr>
        <w:trPr>
          <w:trHeight w:val="378" w:hRule="atLeast"/>
        </w:trPr>
        <w:tc>
          <w:tcPr>
            <w:tcW w:w="3763" w:type="dxa"/>
          </w:tcPr>
          <w:p>
            <w:pPr>
              <w:pStyle w:val="TableParagraph"/>
              <w:spacing w:line="239" w:lineRule="exact" w:before="119"/>
              <w:ind w:left="4"/>
              <w:rPr>
                <w:sz w:val="22"/>
              </w:rPr>
            </w:pPr>
            <w:r>
              <w:rPr>
                <w:sz w:val="22"/>
              </w:rPr>
              <w:t>Commercial Unit Flows</w:t>
            </w:r>
          </w:p>
        </w:tc>
        <w:tc>
          <w:tcPr>
            <w:tcW w:w="2649" w:type="dxa"/>
          </w:tcPr>
          <w:p>
            <w:pPr>
              <w:pStyle w:val="TableParagraph"/>
              <w:spacing w:line="239" w:lineRule="exact" w:before="119"/>
              <w:ind w:left="105"/>
              <w:rPr>
                <w:sz w:val="14"/>
              </w:rPr>
            </w:pPr>
            <w:r>
              <w:rPr>
                <w:sz w:val="22"/>
              </w:rPr>
              <w:t>625 GPAD</w:t>
            </w:r>
            <w:r>
              <w:rPr>
                <w:position w:val="5"/>
                <w:sz w:val="14"/>
              </w:rPr>
              <w:t>c</w:t>
            </w:r>
          </w:p>
        </w:tc>
      </w:tr>
      <w:tr>
        <w:trPr>
          <w:trHeight w:val="376" w:hRule="atLeast"/>
        </w:trPr>
        <w:tc>
          <w:tcPr>
            <w:tcW w:w="3763" w:type="dxa"/>
          </w:tcPr>
          <w:p>
            <w:pPr>
              <w:pStyle w:val="TableParagraph"/>
              <w:spacing w:line="237" w:lineRule="exact" w:before="119"/>
              <w:ind w:left="4"/>
              <w:rPr>
                <w:sz w:val="22"/>
              </w:rPr>
            </w:pPr>
            <w:r>
              <w:rPr>
                <w:sz w:val="22"/>
              </w:rPr>
              <w:t>Industrial Unit Flows</w:t>
            </w:r>
          </w:p>
        </w:tc>
        <w:tc>
          <w:tcPr>
            <w:tcW w:w="2649" w:type="dxa"/>
          </w:tcPr>
          <w:p>
            <w:pPr>
              <w:pStyle w:val="TableParagraph"/>
              <w:spacing w:line="237" w:lineRule="exact" w:before="119"/>
              <w:ind w:left="105"/>
              <w:rPr>
                <w:sz w:val="14"/>
              </w:rPr>
            </w:pPr>
            <w:r>
              <w:rPr>
                <w:sz w:val="22"/>
              </w:rPr>
              <w:t>1,250 GPAD</w:t>
            </w:r>
            <w:r>
              <w:rPr>
                <w:position w:val="5"/>
                <w:sz w:val="14"/>
              </w:rPr>
              <w:t>c</w:t>
            </w:r>
          </w:p>
        </w:tc>
      </w:tr>
      <w:tr>
        <w:trPr>
          <w:trHeight w:val="378" w:hRule="atLeast"/>
        </w:trPr>
        <w:tc>
          <w:tcPr>
            <w:tcW w:w="3763" w:type="dxa"/>
          </w:tcPr>
          <w:p>
            <w:pPr>
              <w:pStyle w:val="TableParagraph"/>
              <w:spacing w:line="239" w:lineRule="exact" w:before="119"/>
              <w:ind w:left="4"/>
              <w:rPr>
                <w:sz w:val="22"/>
              </w:rPr>
            </w:pPr>
            <w:r>
              <w:rPr>
                <w:sz w:val="22"/>
              </w:rPr>
              <w:t>Manning pipe roughness coefficient</w:t>
            </w:r>
          </w:p>
        </w:tc>
        <w:tc>
          <w:tcPr>
            <w:tcW w:w="2649" w:type="dxa"/>
          </w:tcPr>
          <w:p>
            <w:pPr>
              <w:pStyle w:val="TableParagraph"/>
              <w:spacing w:line="239" w:lineRule="exact" w:before="119"/>
              <w:ind w:left="105"/>
              <w:rPr>
                <w:sz w:val="22"/>
              </w:rPr>
            </w:pPr>
            <w:r>
              <w:rPr>
                <w:sz w:val="22"/>
              </w:rPr>
              <w:t>0.012</w:t>
            </w:r>
          </w:p>
        </w:tc>
      </w:tr>
      <w:tr>
        <w:trPr>
          <w:trHeight w:val="378" w:hRule="atLeast"/>
        </w:trPr>
        <w:tc>
          <w:tcPr>
            <w:tcW w:w="3763" w:type="dxa"/>
          </w:tcPr>
          <w:p>
            <w:pPr>
              <w:pStyle w:val="TableParagraph"/>
              <w:spacing w:line="239" w:lineRule="exact" w:before="119"/>
              <w:ind w:left="4"/>
              <w:rPr>
                <w:sz w:val="22"/>
              </w:rPr>
            </w:pPr>
            <w:r>
              <w:rPr>
                <w:sz w:val="22"/>
              </w:rPr>
              <w:t>Min velocity</w:t>
            </w:r>
          </w:p>
        </w:tc>
        <w:tc>
          <w:tcPr>
            <w:tcW w:w="2649" w:type="dxa"/>
          </w:tcPr>
          <w:p>
            <w:pPr>
              <w:pStyle w:val="TableParagraph"/>
              <w:spacing w:line="239" w:lineRule="exact" w:before="119"/>
              <w:ind w:left="105"/>
              <w:rPr>
                <w:sz w:val="22"/>
              </w:rPr>
            </w:pPr>
            <w:r>
              <w:rPr>
                <w:sz w:val="22"/>
              </w:rPr>
              <w:t>2 feet/second</w:t>
            </w:r>
          </w:p>
        </w:tc>
      </w:tr>
    </w:tbl>
    <w:p>
      <w:pPr>
        <w:pStyle w:val="ListParagraph"/>
        <w:numPr>
          <w:ilvl w:val="0"/>
          <w:numId w:val="8"/>
        </w:numPr>
        <w:tabs>
          <w:tab w:pos="310" w:val="left" w:leader="none"/>
        </w:tabs>
        <w:spacing w:line="240" w:lineRule="auto" w:before="57" w:after="0"/>
        <w:ind w:left="309" w:right="0" w:hanging="190"/>
        <w:jc w:val="left"/>
        <w:rPr>
          <w:i/>
          <w:sz w:val="20"/>
        </w:rPr>
      </w:pPr>
      <w:r>
        <w:rPr>
          <w:i/>
          <w:sz w:val="20"/>
        </w:rPr>
        <w:t>Based on 2.42 people per dwelling</w:t>
      </w:r>
      <w:r>
        <w:rPr>
          <w:i/>
          <w:spacing w:val="-3"/>
          <w:sz w:val="20"/>
        </w:rPr>
        <w:t> </w:t>
      </w:r>
      <w:r>
        <w:rPr>
          <w:i/>
          <w:sz w:val="20"/>
        </w:rPr>
        <w:t>unit</w:t>
      </w:r>
    </w:p>
    <w:p>
      <w:pPr>
        <w:pStyle w:val="ListParagraph"/>
        <w:numPr>
          <w:ilvl w:val="0"/>
          <w:numId w:val="8"/>
        </w:numPr>
        <w:tabs>
          <w:tab w:pos="308" w:val="left" w:leader="none"/>
        </w:tabs>
        <w:spacing w:line="240" w:lineRule="auto" w:before="61" w:after="0"/>
        <w:ind w:left="307" w:right="0" w:hanging="188"/>
        <w:jc w:val="left"/>
        <w:rPr>
          <w:i/>
          <w:sz w:val="20"/>
        </w:rPr>
      </w:pPr>
      <w:r>
        <w:rPr>
          <w:i/>
          <w:sz w:val="20"/>
        </w:rPr>
        <w:t>GPDU = gallons per dwelling</w:t>
      </w:r>
      <w:r>
        <w:rPr>
          <w:i/>
          <w:spacing w:val="-3"/>
          <w:sz w:val="20"/>
        </w:rPr>
        <w:t> </w:t>
      </w:r>
      <w:r>
        <w:rPr>
          <w:i/>
          <w:sz w:val="20"/>
        </w:rPr>
        <w:t>unit</w:t>
      </w:r>
    </w:p>
    <w:p>
      <w:pPr>
        <w:pStyle w:val="ListParagraph"/>
        <w:numPr>
          <w:ilvl w:val="0"/>
          <w:numId w:val="8"/>
        </w:numPr>
        <w:tabs>
          <w:tab w:pos="291" w:val="left" w:leader="none"/>
        </w:tabs>
        <w:spacing w:line="240" w:lineRule="auto" w:before="60" w:after="0"/>
        <w:ind w:left="290" w:right="0" w:hanging="171"/>
        <w:jc w:val="left"/>
        <w:rPr>
          <w:i/>
          <w:sz w:val="20"/>
        </w:rPr>
      </w:pPr>
      <w:r>
        <w:rPr>
          <w:i/>
          <w:sz w:val="20"/>
        </w:rPr>
        <w:t>GPAD = gallons per acre per</w:t>
      </w:r>
      <w:r>
        <w:rPr>
          <w:i/>
          <w:spacing w:val="-3"/>
          <w:sz w:val="20"/>
        </w:rPr>
        <w:t> </w:t>
      </w:r>
      <w:r>
        <w:rPr>
          <w:i/>
          <w:sz w:val="20"/>
        </w:rPr>
        <w:t>day</w:t>
      </w:r>
    </w:p>
    <w:p>
      <w:pPr>
        <w:spacing w:before="61"/>
        <w:ind w:left="120" w:right="0" w:firstLine="0"/>
        <w:jc w:val="left"/>
        <w:rPr>
          <w:i/>
          <w:sz w:val="20"/>
        </w:rPr>
      </w:pPr>
      <w:bookmarkStart w:name="FUTURE DEFICIENCIES" w:id="177"/>
      <w:bookmarkEnd w:id="177"/>
      <w:r>
        <w:rPr/>
      </w:r>
      <w:r>
        <w:rPr>
          <w:i/>
          <w:sz w:val="20"/>
        </w:rPr>
        <w:t>Source: City of Richland General Sewer Plan, 2015</w:t>
      </w:r>
    </w:p>
    <w:p>
      <w:pPr>
        <w:pStyle w:val="BodyText"/>
        <w:spacing w:before="1"/>
        <w:rPr>
          <w:i/>
          <w:sz w:val="17"/>
        </w:rPr>
      </w:pPr>
    </w:p>
    <w:p>
      <w:pPr>
        <w:spacing w:before="0"/>
        <w:ind w:left="120" w:right="0" w:firstLine="0"/>
        <w:jc w:val="left"/>
        <w:rPr>
          <w:b/>
          <w:sz w:val="24"/>
        </w:rPr>
      </w:pPr>
      <w:r>
        <w:rPr>
          <w:b/>
          <w:sz w:val="24"/>
        </w:rPr>
        <w:t>FUTURE DEFICIENCIES</w:t>
      </w:r>
    </w:p>
    <w:p>
      <w:pPr>
        <w:pStyle w:val="BodyText"/>
        <w:spacing w:before="119"/>
        <w:ind w:left="120" w:right="236"/>
        <w:jc w:val="both"/>
      </w:pPr>
      <w:r>
        <w:rPr/>
        <w:t>The</w:t>
      </w:r>
      <w:r>
        <w:rPr>
          <w:spacing w:val="-9"/>
        </w:rPr>
        <w:t> </w:t>
      </w:r>
      <w:r>
        <w:rPr/>
        <w:t>2015</w:t>
      </w:r>
      <w:r>
        <w:rPr>
          <w:spacing w:val="-9"/>
        </w:rPr>
        <w:t> </w:t>
      </w:r>
      <w:r>
        <w:rPr/>
        <w:t>General</w:t>
      </w:r>
      <w:r>
        <w:rPr>
          <w:spacing w:val="-8"/>
        </w:rPr>
        <w:t> </w:t>
      </w:r>
      <w:r>
        <w:rPr/>
        <w:t>Sewer</w:t>
      </w:r>
      <w:r>
        <w:rPr>
          <w:spacing w:val="-9"/>
        </w:rPr>
        <w:t> </w:t>
      </w:r>
      <w:r>
        <w:rPr/>
        <w:t>Plan</w:t>
      </w:r>
      <w:r>
        <w:rPr>
          <w:spacing w:val="-9"/>
        </w:rPr>
        <w:t> </w:t>
      </w:r>
      <w:r>
        <w:rPr/>
        <w:t>includes</w:t>
      </w:r>
      <w:r>
        <w:rPr>
          <w:spacing w:val="-10"/>
        </w:rPr>
        <w:t> </w:t>
      </w:r>
      <w:r>
        <w:rPr/>
        <w:t>a</w:t>
      </w:r>
      <w:r>
        <w:rPr>
          <w:spacing w:val="-8"/>
        </w:rPr>
        <w:t> </w:t>
      </w:r>
      <w:r>
        <w:rPr/>
        <w:t>CIP</w:t>
      </w:r>
      <w:r>
        <w:rPr>
          <w:spacing w:val="-10"/>
        </w:rPr>
        <w:t> </w:t>
      </w:r>
      <w:r>
        <w:rPr/>
        <w:t>through</w:t>
      </w:r>
      <w:r>
        <w:rPr>
          <w:spacing w:val="-10"/>
        </w:rPr>
        <w:t> </w:t>
      </w:r>
      <w:r>
        <w:rPr/>
        <w:t>the</w:t>
      </w:r>
      <w:r>
        <w:rPr>
          <w:spacing w:val="-9"/>
        </w:rPr>
        <w:t> </w:t>
      </w:r>
      <w:r>
        <w:rPr/>
        <w:t>year</w:t>
      </w:r>
      <w:r>
        <w:rPr>
          <w:spacing w:val="-8"/>
        </w:rPr>
        <w:t> </w:t>
      </w:r>
      <w:r>
        <w:rPr/>
        <w:t>2024.</w:t>
      </w:r>
      <w:r>
        <w:rPr>
          <w:spacing w:val="32"/>
        </w:rPr>
        <w:t> </w:t>
      </w:r>
      <w:r>
        <w:rPr/>
        <w:t>For</w:t>
      </w:r>
      <w:r>
        <w:rPr>
          <w:spacing w:val="-8"/>
        </w:rPr>
        <w:t> </w:t>
      </w:r>
      <w:r>
        <w:rPr/>
        <w:t>the</w:t>
      </w:r>
      <w:r>
        <w:rPr>
          <w:spacing w:val="-9"/>
        </w:rPr>
        <w:t> </w:t>
      </w:r>
      <w:r>
        <w:rPr/>
        <w:t>planning</w:t>
      </w:r>
      <w:r>
        <w:rPr>
          <w:spacing w:val="-7"/>
        </w:rPr>
        <w:t> </w:t>
      </w:r>
      <w:r>
        <w:rPr/>
        <w:t>period</w:t>
      </w:r>
      <w:r>
        <w:rPr>
          <w:spacing w:val="-9"/>
        </w:rPr>
        <w:t> </w:t>
      </w:r>
      <w:r>
        <w:rPr/>
        <w:t>of</w:t>
      </w:r>
      <w:r>
        <w:rPr>
          <w:spacing w:val="-8"/>
        </w:rPr>
        <w:t> </w:t>
      </w:r>
      <w:r>
        <w:rPr/>
        <w:t>2017- 2022, planned costs amount to approximately $18</w:t>
      </w:r>
      <w:r>
        <w:rPr>
          <w:spacing w:val="-12"/>
        </w:rPr>
        <w:t> </w:t>
      </w:r>
      <w:r>
        <w:rPr/>
        <w:t>million.</w:t>
      </w:r>
    </w:p>
    <w:p>
      <w:pPr>
        <w:pStyle w:val="BodyText"/>
        <w:spacing w:before="120"/>
        <w:ind w:left="120" w:right="233"/>
        <w:jc w:val="both"/>
      </w:pPr>
      <w:r>
        <w:rPr/>
        <w:t>The 2015 General Sewer Plan also includes a financial plan that allows the wastewater utility to remain financially viable during the planning period. The analysis considers the historical financial condition</w:t>
      </w:r>
      <w:r>
        <w:rPr>
          <w:spacing w:val="-8"/>
        </w:rPr>
        <w:t> </w:t>
      </w:r>
      <w:r>
        <w:rPr/>
        <w:t>of</w:t>
      </w:r>
      <w:r>
        <w:rPr>
          <w:spacing w:val="-7"/>
        </w:rPr>
        <w:t> </w:t>
      </w:r>
      <w:r>
        <w:rPr/>
        <w:t>the</w:t>
      </w:r>
      <w:r>
        <w:rPr>
          <w:spacing w:val="-9"/>
        </w:rPr>
        <w:t> </w:t>
      </w:r>
      <w:r>
        <w:rPr/>
        <w:t>utility,</w:t>
      </w:r>
      <w:r>
        <w:rPr>
          <w:spacing w:val="-6"/>
        </w:rPr>
        <w:t> </w:t>
      </w:r>
      <w:r>
        <w:rPr/>
        <w:t>the</w:t>
      </w:r>
      <w:r>
        <w:rPr>
          <w:spacing w:val="-6"/>
        </w:rPr>
        <w:t> </w:t>
      </w:r>
      <w:r>
        <w:rPr/>
        <w:t>financial</w:t>
      </w:r>
      <w:r>
        <w:rPr>
          <w:spacing w:val="-9"/>
        </w:rPr>
        <w:t> </w:t>
      </w:r>
      <w:r>
        <w:rPr/>
        <w:t>impact</w:t>
      </w:r>
      <w:r>
        <w:rPr>
          <w:spacing w:val="-9"/>
        </w:rPr>
        <w:t> </w:t>
      </w:r>
      <w:r>
        <w:rPr/>
        <w:t>of</w:t>
      </w:r>
      <w:r>
        <w:rPr>
          <w:spacing w:val="-6"/>
        </w:rPr>
        <w:t> </w:t>
      </w:r>
      <w:r>
        <w:rPr/>
        <w:t>executing</w:t>
      </w:r>
      <w:r>
        <w:rPr>
          <w:spacing w:val="-5"/>
        </w:rPr>
        <w:t> </w:t>
      </w:r>
      <w:r>
        <w:rPr/>
        <w:t>the</w:t>
      </w:r>
      <w:r>
        <w:rPr>
          <w:spacing w:val="-6"/>
        </w:rPr>
        <w:t> </w:t>
      </w:r>
      <w:r>
        <w:rPr/>
        <w:t>CIP,</w:t>
      </w:r>
      <w:r>
        <w:rPr>
          <w:spacing w:val="-7"/>
        </w:rPr>
        <w:t> </w:t>
      </w:r>
      <w:r>
        <w:rPr/>
        <w:t>the</w:t>
      </w:r>
      <w:r>
        <w:rPr>
          <w:spacing w:val="-9"/>
        </w:rPr>
        <w:t> </w:t>
      </w:r>
      <w:r>
        <w:rPr/>
        <w:t>sufficiency</w:t>
      </w:r>
      <w:r>
        <w:rPr>
          <w:spacing w:val="-8"/>
        </w:rPr>
        <w:t> </w:t>
      </w:r>
      <w:r>
        <w:rPr/>
        <w:t>of</w:t>
      </w:r>
      <w:r>
        <w:rPr>
          <w:spacing w:val="-6"/>
        </w:rPr>
        <w:t> </w:t>
      </w:r>
      <w:r>
        <w:rPr/>
        <w:t>the</w:t>
      </w:r>
      <w:r>
        <w:rPr>
          <w:spacing w:val="-6"/>
        </w:rPr>
        <w:t> </w:t>
      </w:r>
      <w:r>
        <w:rPr/>
        <w:t>utility</w:t>
      </w:r>
      <w:r>
        <w:rPr>
          <w:spacing w:val="-8"/>
        </w:rPr>
        <w:t> </w:t>
      </w:r>
      <w:r>
        <w:rPr/>
        <w:t>reserves to meet future financial and policy obligation, and rate</w:t>
      </w:r>
      <w:r>
        <w:rPr>
          <w:spacing w:val="-13"/>
        </w:rPr>
        <w:t> </w:t>
      </w:r>
      <w:r>
        <w:rPr/>
        <w:t>affordability.</w:t>
      </w:r>
    </w:p>
    <w:p>
      <w:pPr>
        <w:spacing w:before="200"/>
        <w:ind w:left="120" w:right="0" w:firstLine="0"/>
        <w:jc w:val="left"/>
        <w:rPr>
          <w:b/>
          <w:sz w:val="24"/>
        </w:rPr>
      </w:pPr>
      <w:bookmarkStart w:name="RECOMMENDATIONS" w:id="178"/>
      <w:bookmarkEnd w:id="178"/>
      <w:r>
        <w:rPr/>
      </w:r>
      <w:r>
        <w:rPr>
          <w:b/>
          <w:sz w:val="24"/>
        </w:rPr>
        <w:t>RECOMMENDATIONS</w:t>
      </w:r>
    </w:p>
    <w:p>
      <w:pPr>
        <w:pStyle w:val="BodyText"/>
        <w:spacing w:before="119"/>
        <w:ind w:left="120" w:right="235"/>
        <w:jc w:val="both"/>
      </w:pPr>
      <w:r>
        <w:rPr/>
        <w:t>The</w:t>
      </w:r>
      <w:r>
        <w:rPr>
          <w:spacing w:val="-15"/>
        </w:rPr>
        <w:t> </w:t>
      </w:r>
      <w:r>
        <w:rPr/>
        <w:t>improvements</w:t>
      </w:r>
      <w:r>
        <w:rPr>
          <w:spacing w:val="-10"/>
        </w:rPr>
        <w:t> </w:t>
      </w:r>
      <w:r>
        <w:rPr/>
        <w:t>described</w:t>
      </w:r>
      <w:r>
        <w:rPr>
          <w:spacing w:val="-13"/>
        </w:rPr>
        <w:t> </w:t>
      </w:r>
      <w:r>
        <w:rPr/>
        <w:t>in</w:t>
      </w:r>
      <w:r>
        <w:rPr>
          <w:spacing w:val="-12"/>
        </w:rPr>
        <w:t> </w:t>
      </w:r>
      <w:r>
        <w:rPr/>
        <w:t>the</w:t>
      </w:r>
      <w:r>
        <w:rPr>
          <w:spacing w:val="-12"/>
        </w:rPr>
        <w:t> </w:t>
      </w:r>
      <w:r>
        <w:rPr/>
        <w:t>2015</w:t>
      </w:r>
      <w:r>
        <w:rPr>
          <w:spacing w:val="-11"/>
        </w:rPr>
        <w:t> </w:t>
      </w:r>
      <w:r>
        <w:rPr/>
        <w:t>General</w:t>
      </w:r>
      <w:r>
        <w:rPr>
          <w:spacing w:val="-14"/>
        </w:rPr>
        <w:t> </w:t>
      </w:r>
      <w:r>
        <w:rPr/>
        <w:t>Sewer</w:t>
      </w:r>
      <w:r>
        <w:rPr>
          <w:spacing w:val="-13"/>
        </w:rPr>
        <w:t> </w:t>
      </w:r>
      <w:r>
        <w:rPr/>
        <w:t>Plan</w:t>
      </w:r>
      <w:r>
        <w:rPr>
          <w:spacing w:val="-12"/>
        </w:rPr>
        <w:t> </w:t>
      </w:r>
      <w:r>
        <w:rPr/>
        <w:t>will</w:t>
      </w:r>
      <w:r>
        <w:rPr>
          <w:spacing w:val="-12"/>
        </w:rPr>
        <w:t> </w:t>
      </w:r>
      <w:r>
        <w:rPr/>
        <w:t>address</w:t>
      </w:r>
      <w:r>
        <w:rPr>
          <w:spacing w:val="-11"/>
        </w:rPr>
        <w:t> </w:t>
      </w:r>
      <w:r>
        <w:rPr/>
        <w:t>deficiencies</w:t>
      </w:r>
      <w:r>
        <w:rPr>
          <w:spacing w:val="-10"/>
        </w:rPr>
        <w:t> </w:t>
      </w:r>
      <w:r>
        <w:rPr/>
        <w:t>resulting</w:t>
      </w:r>
      <w:r>
        <w:rPr>
          <w:spacing w:val="-11"/>
        </w:rPr>
        <w:t> </w:t>
      </w:r>
      <w:r>
        <w:rPr/>
        <w:t>from growth</w:t>
      </w:r>
      <w:r>
        <w:rPr>
          <w:spacing w:val="-6"/>
        </w:rPr>
        <w:t> </w:t>
      </w:r>
      <w:r>
        <w:rPr/>
        <w:t>for</w:t>
      </w:r>
      <w:r>
        <w:rPr>
          <w:spacing w:val="-7"/>
        </w:rPr>
        <w:t> </w:t>
      </w:r>
      <w:r>
        <w:rPr/>
        <w:t>the</w:t>
      </w:r>
      <w:r>
        <w:rPr>
          <w:spacing w:val="-6"/>
        </w:rPr>
        <w:t> </w:t>
      </w:r>
      <w:r>
        <w:rPr/>
        <w:t>planning</w:t>
      </w:r>
      <w:r>
        <w:rPr>
          <w:spacing w:val="-4"/>
        </w:rPr>
        <w:t> </w:t>
      </w:r>
      <w:r>
        <w:rPr/>
        <w:t>period.</w:t>
      </w:r>
      <w:r>
        <w:rPr>
          <w:spacing w:val="-6"/>
        </w:rPr>
        <w:t> </w:t>
      </w:r>
      <w:r>
        <w:rPr/>
        <w:t>The</w:t>
      </w:r>
      <w:r>
        <w:rPr>
          <w:spacing w:val="-6"/>
        </w:rPr>
        <w:t> </w:t>
      </w:r>
      <w:r>
        <w:rPr/>
        <w:t>General</w:t>
      </w:r>
      <w:r>
        <w:rPr>
          <w:spacing w:val="-6"/>
        </w:rPr>
        <w:t> </w:t>
      </w:r>
      <w:r>
        <w:rPr/>
        <w:t>Sewer</w:t>
      </w:r>
      <w:r>
        <w:rPr>
          <w:spacing w:val="-9"/>
        </w:rPr>
        <w:t> </w:t>
      </w:r>
      <w:r>
        <w:rPr/>
        <w:t>Plan</w:t>
      </w:r>
      <w:r>
        <w:rPr>
          <w:spacing w:val="-7"/>
        </w:rPr>
        <w:t> </w:t>
      </w:r>
      <w:r>
        <w:rPr/>
        <w:t>includes</w:t>
      </w:r>
      <w:r>
        <w:rPr>
          <w:spacing w:val="-5"/>
        </w:rPr>
        <w:t> </w:t>
      </w:r>
      <w:r>
        <w:rPr/>
        <w:t>long</w:t>
      </w:r>
      <w:r>
        <w:rPr>
          <w:spacing w:val="-5"/>
        </w:rPr>
        <w:t> </w:t>
      </w:r>
      <w:r>
        <w:rPr/>
        <w:t>term</w:t>
      </w:r>
      <w:r>
        <w:rPr>
          <w:spacing w:val="-6"/>
        </w:rPr>
        <w:t> </w:t>
      </w:r>
      <w:r>
        <w:rPr/>
        <w:t>improvement</w:t>
      </w:r>
      <w:r>
        <w:rPr>
          <w:spacing w:val="-6"/>
        </w:rPr>
        <w:t> </w:t>
      </w:r>
      <w:r>
        <w:rPr/>
        <w:t>plans</w:t>
      </w:r>
      <w:r>
        <w:rPr>
          <w:spacing w:val="-6"/>
        </w:rPr>
        <w:t> </w:t>
      </w:r>
      <w:r>
        <w:rPr/>
        <w:t>from 2015</w:t>
      </w:r>
      <w:r>
        <w:rPr>
          <w:spacing w:val="-10"/>
        </w:rPr>
        <w:t> </w:t>
      </w:r>
      <w:r>
        <w:rPr/>
        <w:t>to</w:t>
      </w:r>
      <w:r>
        <w:rPr>
          <w:spacing w:val="-11"/>
        </w:rPr>
        <w:t> </w:t>
      </w:r>
      <w:r>
        <w:rPr/>
        <w:t>2024.</w:t>
      </w:r>
      <w:r>
        <w:rPr>
          <w:spacing w:val="-10"/>
        </w:rPr>
        <w:t> </w:t>
      </w:r>
      <w:r>
        <w:rPr/>
        <w:t>The</w:t>
      </w:r>
      <w:r>
        <w:rPr>
          <w:spacing w:val="-11"/>
        </w:rPr>
        <w:t> </w:t>
      </w:r>
      <w:r>
        <w:rPr/>
        <w:t>2017</w:t>
      </w:r>
      <w:r>
        <w:rPr>
          <w:spacing w:val="-11"/>
        </w:rPr>
        <w:t> </w:t>
      </w:r>
      <w:r>
        <w:rPr/>
        <w:t>Capital</w:t>
      </w:r>
      <w:r>
        <w:rPr>
          <w:spacing w:val="-12"/>
        </w:rPr>
        <w:t> </w:t>
      </w:r>
      <w:r>
        <w:rPr/>
        <w:t>Improvement</w:t>
      </w:r>
      <w:r>
        <w:rPr>
          <w:spacing w:val="-9"/>
        </w:rPr>
        <w:t> </w:t>
      </w:r>
      <w:r>
        <w:rPr/>
        <w:t>Program</w:t>
      </w:r>
      <w:r>
        <w:rPr>
          <w:spacing w:val="-11"/>
        </w:rPr>
        <w:t> </w:t>
      </w:r>
      <w:r>
        <w:rPr/>
        <w:t>identifies</w:t>
      </w:r>
      <w:r>
        <w:rPr>
          <w:spacing w:val="-9"/>
        </w:rPr>
        <w:t> </w:t>
      </w:r>
      <w:r>
        <w:rPr/>
        <w:t>the</w:t>
      </w:r>
      <w:r>
        <w:rPr>
          <w:spacing w:val="-9"/>
        </w:rPr>
        <w:t> </w:t>
      </w:r>
      <w:r>
        <w:rPr/>
        <w:t>priority</w:t>
      </w:r>
      <w:r>
        <w:rPr>
          <w:spacing w:val="-10"/>
        </w:rPr>
        <w:t> </w:t>
      </w:r>
      <w:r>
        <w:rPr/>
        <w:t>projects</w:t>
      </w:r>
      <w:r>
        <w:rPr>
          <w:spacing w:val="-11"/>
        </w:rPr>
        <w:t> </w:t>
      </w:r>
      <w:r>
        <w:rPr/>
        <w:t>and</w:t>
      </w:r>
      <w:r>
        <w:rPr>
          <w:spacing w:val="-9"/>
        </w:rPr>
        <w:t> </w:t>
      </w:r>
      <w:r>
        <w:rPr/>
        <w:t>associated financing as shown in tables U-4 and U-5</w:t>
      </w:r>
      <w:r>
        <w:rPr>
          <w:spacing w:val="-10"/>
        </w:rPr>
        <w:t> </w:t>
      </w:r>
      <w:r>
        <w:rPr/>
        <w:t>below.</w:t>
      </w:r>
    </w:p>
    <w:p>
      <w:pPr>
        <w:spacing w:before="121"/>
        <w:ind w:left="120" w:right="0" w:firstLine="0"/>
        <w:jc w:val="both"/>
        <w:rPr>
          <w:rFonts w:ascii="Arial"/>
          <w:b/>
          <w:sz w:val="20"/>
        </w:rPr>
      </w:pPr>
      <w:r>
        <w:rPr>
          <w:rFonts w:ascii="Arial"/>
          <w:b/>
          <w:sz w:val="20"/>
        </w:rPr>
        <w:t>Table U-4: Capital Improvement Project Costs</w:t>
      </w:r>
    </w:p>
    <w:p>
      <w:pPr>
        <w:pStyle w:val="BodyText"/>
        <w:spacing w:before="5"/>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94"/>
        <w:gridCol w:w="1882"/>
        <w:gridCol w:w="1868"/>
      </w:tblGrid>
      <w:tr>
        <w:trPr>
          <w:trHeight w:val="405" w:hRule="atLeast"/>
        </w:trPr>
        <w:tc>
          <w:tcPr>
            <w:tcW w:w="5494" w:type="dxa"/>
            <w:tcBorders>
              <w:bottom w:val="nil"/>
            </w:tcBorders>
            <w:shd w:val="clear" w:color="auto" w:fill="B8CCE3"/>
          </w:tcPr>
          <w:p>
            <w:pPr>
              <w:pStyle w:val="TableParagraph"/>
              <w:spacing w:before="119"/>
              <w:rPr>
                <w:b/>
                <w:sz w:val="22"/>
              </w:rPr>
            </w:pPr>
            <w:r>
              <w:rPr>
                <w:b/>
                <w:sz w:val="22"/>
              </w:rPr>
              <w:t>Facilities</w:t>
            </w:r>
          </w:p>
        </w:tc>
        <w:tc>
          <w:tcPr>
            <w:tcW w:w="1882" w:type="dxa"/>
            <w:tcBorders>
              <w:bottom w:val="nil"/>
            </w:tcBorders>
            <w:shd w:val="clear" w:color="auto" w:fill="B8CCE3"/>
          </w:tcPr>
          <w:p>
            <w:pPr>
              <w:pStyle w:val="TableParagraph"/>
              <w:spacing w:before="119"/>
              <w:rPr>
                <w:b/>
                <w:sz w:val="22"/>
              </w:rPr>
            </w:pPr>
            <w:r>
              <w:rPr>
                <w:b/>
                <w:sz w:val="22"/>
              </w:rPr>
              <w:t>Total Cost</w:t>
            </w:r>
          </w:p>
        </w:tc>
        <w:tc>
          <w:tcPr>
            <w:tcW w:w="1868" w:type="dxa"/>
            <w:tcBorders>
              <w:bottom w:val="nil"/>
            </w:tcBorders>
            <w:shd w:val="clear" w:color="auto" w:fill="B8CCE3"/>
          </w:tcPr>
          <w:p>
            <w:pPr>
              <w:pStyle w:val="TableParagraph"/>
              <w:spacing w:before="119"/>
              <w:ind w:left="106"/>
              <w:rPr>
                <w:b/>
                <w:sz w:val="22"/>
              </w:rPr>
            </w:pPr>
            <w:r>
              <w:rPr>
                <w:b/>
                <w:sz w:val="22"/>
              </w:rPr>
              <w:t>Time-frame</w:t>
            </w:r>
          </w:p>
        </w:tc>
      </w:tr>
      <w:tr>
        <w:trPr>
          <w:trHeight w:val="316" w:hRule="atLeast"/>
        </w:trPr>
        <w:tc>
          <w:tcPr>
            <w:tcW w:w="5494" w:type="dxa"/>
            <w:tcBorders>
              <w:top w:val="nil"/>
            </w:tcBorders>
          </w:tcPr>
          <w:p>
            <w:pPr>
              <w:pStyle w:val="TableParagraph"/>
              <w:spacing w:line="237" w:lineRule="exact"/>
              <w:rPr>
                <w:sz w:val="22"/>
              </w:rPr>
            </w:pPr>
            <w:r>
              <w:rPr>
                <w:sz w:val="22"/>
              </w:rPr>
              <w:t>City View Sewer Relocation</w:t>
            </w:r>
          </w:p>
        </w:tc>
        <w:tc>
          <w:tcPr>
            <w:tcW w:w="1882" w:type="dxa"/>
            <w:tcBorders>
              <w:top w:val="nil"/>
            </w:tcBorders>
          </w:tcPr>
          <w:p>
            <w:pPr>
              <w:pStyle w:val="TableParagraph"/>
              <w:spacing w:line="237" w:lineRule="exact"/>
              <w:ind w:left="395"/>
              <w:rPr>
                <w:sz w:val="22"/>
              </w:rPr>
            </w:pPr>
            <w:r>
              <w:rPr>
                <w:sz w:val="22"/>
              </w:rPr>
              <w:t>$180,000</w:t>
            </w:r>
          </w:p>
        </w:tc>
        <w:tc>
          <w:tcPr>
            <w:tcW w:w="1868" w:type="dxa"/>
            <w:tcBorders>
              <w:top w:val="nil"/>
            </w:tcBorders>
          </w:tcPr>
          <w:p>
            <w:pPr>
              <w:pStyle w:val="TableParagraph"/>
              <w:spacing w:line="237" w:lineRule="exact"/>
              <w:ind w:left="106"/>
              <w:rPr>
                <w:sz w:val="22"/>
              </w:rPr>
            </w:pPr>
            <w:r>
              <w:rPr>
                <w:sz w:val="22"/>
              </w:rPr>
              <w:t>2017</w:t>
            </w:r>
          </w:p>
        </w:tc>
      </w:tr>
      <w:tr>
        <w:trPr>
          <w:trHeight w:val="318" w:hRule="atLeast"/>
        </w:trPr>
        <w:tc>
          <w:tcPr>
            <w:tcW w:w="5494" w:type="dxa"/>
          </w:tcPr>
          <w:p>
            <w:pPr>
              <w:pStyle w:val="TableParagraph"/>
              <w:spacing w:line="239" w:lineRule="exact"/>
              <w:rPr>
                <w:sz w:val="22"/>
              </w:rPr>
            </w:pPr>
            <w:r>
              <w:rPr>
                <w:sz w:val="22"/>
              </w:rPr>
              <w:t>Collection System Renewal &amp; Replacement</w:t>
            </w:r>
          </w:p>
        </w:tc>
        <w:tc>
          <w:tcPr>
            <w:tcW w:w="1882" w:type="dxa"/>
          </w:tcPr>
          <w:p>
            <w:pPr>
              <w:pStyle w:val="TableParagraph"/>
              <w:spacing w:line="239" w:lineRule="exact"/>
              <w:rPr>
                <w:sz w:val="22"/>
              </w:rPr>
            </w:pPr>
            <w:r>
              <w:rPr>
                <w:sz w:val="22"/>
              </w:rPr>
              <w:t>$12,244,000</w:t>
            </w:r>
          </w:p>
        </w:tc>
        <w:tc>
          <w:tcPr>
            <w:tcW w:w="1868" w:type="dxa"/>
          </w:tcPr>
          <w:p>
            <w:pPr>
              <w:pStyle w:val="TableParagraph"/>
              <w:spacing w:line="239" w:lineRule="exact"/>
              <w:ind w:left="106"/>
              <w:rPr>
                <w:sz w:val="22"/>
              </w:rPr>
            </w:pPr>
            <w:r>
              <w:rPr>
                <w:sz w:val="22"/>
              </w:rPr>
              <w:t>2017 - 2022</w:t>
            </w:r>
          </w:p>
        </w:tc>
      </w:tr>
      <w:tr>
        <w:trPr>
          <w:trHeight w:val="328" w:hRule="atLeast"/>
        </w:trPr>
        <w:tc>
          <w:tcPr>
            <w:tcW w:w="5494" w:type="dxa"/>
          </w:tcPr>
          <w:p>
            <w:pPr>
              <w:pStyle w:val="TableParagraph"/>
              <w:spacing w:line="249" w:lineRule="exact"/>
              <w:rPr>
                <w:sz w:val="22"/>
              </w:rPr>
            </w:pPr>
            <w:r>
              <w:rPr>
                <w:sz w:val="22"/>
              </w:rPr>
              <w:t>WWTP Influent Upgrades</w:t>
            </w:r>
          </w:p>
        </w:tc>
        <w:tc>
          <w:tcPr>
            <w:tcW w:w="1882" w:type="dxa"/>
          </w:tcPr>
          <w:p>
            <w:pPr>
              <w:pStyle w:val="TableParagraph"/>
              <w:spacing w:line="249" w:lineRule="exact"/>
              <w:rPr>
                <w:rFonts w:ascii="Calibri"/>
                <w:sz w:val="22"/>
              </w:rPr>
            </w:pPr>
            <w:r>
              <w:rPr>
                <w:rFonts w:ascii="Calibri"/>
                <w:sz w:val="22"/>
              </w:rPr>
              <w:t>$2,183,000</w:t>
            </w:r>
          </w:p>
        </w:tc>
        <w:tc>
          <w:tcPr>
            <w:tcW w:w="1868" w:type="dxa"/>
          </w:tcPr>
          <w:p>
            <w:pPr>
              <w:pStyle w:val="TableParagraph"/>
              <w:spacing w:line="249" w:lineRule="exact"/>
              <w:ind w:left="106"/>
              <w:rPr>
                <w:sz w:val="22"/>
              </w:rPr>
            </w:pPr>
            <w:r>
              <w:rPr>
                <w:sz w:val="22"/>
              </w:rPr>
              <w:t>2017</w:t>
            </w:r>
          </w:p>
        </w:tc>
      </w:tr>
      <w:tr>
        <w:trPr>
          <w:trHeight w:val="328" w:hRule="atLeast"/>
        </w:trPr>
        <w:tc>
          <w:tcPr>
            <w:tcW w:w="5494" w:type="dxa"/>
          </w:tcPr>
          <w:p>
            <w:pPr>
              <w:pStyle w:val="TableParagraph"/>
              <w:spacing w:line="249" w:lineRule="exact"/>
              <w:rPr>
                <w:rFonts w:ascii="Calibri"/>
                <w:sz w:val="22"/>
              </w:rPr>
            </w:pPr>
            <w:r>
              <w:rPr>
                <w:rFonts w:ascii="Calibri"/>
                <w:sz w:val="22"/>
              </w:rPr>
              <w:t>WWTP Renewal &amp; Replacement</w:t>
            </w:r>
          </w:p>
        </w:tc>
        <w:tc>
          <w:tcPr>
            <w:tcW w:w="1882" w:type="dxa"/>
          </w:tcPr>
          <w:p>
            <w:pPr>
              <w:pStyle w:val="TableParagraph"/>
              <w:spacing w:line="249" w:lineRule="exact"/>
              <w:rPr>
                <w:rFonts w:ascii="Calibri"/>
                <w:sz w:val="22"/>
              </w:rPr>
            </w:pPr>
            <w:r>
              <w:rPr>
                <w:rFonts w:ascii="Calibri"/>
                <w:sz w:val="22"/>
              </w:rPr>
              <w:t>$3,343,000</w:t>
            </w:r>
          </w:p>
        </w:tc>
        <w:tc>
          <w:tcPr>
            <w:tcW w:w="1868" w:type="dxa"/>
          </w:tcPr>
          <w:p>
            <w:pPr>
              <w:pStyle w:val="TableParagraph"/>
              <w:spacing w:line="249" w:lineRule="exact"/>
              <w:ind w:left="106"/>
              <w:rPr>
                <w:sz w:val="22"/>
              </w:rPr>
            </w:pPr>
            <w:r>
              <w:rPr>
                <w:sz w:val="22"/>
              </w:rPr>
              <w:t>2017 - 2022</w:t>
            </w:r>
          </w:p>
        </w:tc>
      </w:tr>
      <w:tr>
        <w:trPr>
          <w:trHeight w:val="328" w:hRule="atLeast"/>
        </w:trPr>
        <w:tc>
          <w:tcPr>
            <w:tcW w:w="5494" w:type="dxa"/>
          </w:tcPr>
          <w:p>
            <w:pPr>
              <w:pStyle w:val="TableParagraph"/>
              <w:spacing w:line="249" w:lineRule="exact"/>
              <w:rPr>
                <w:b/>
                <w:sz w:val="22"/>
              </w:rPr>
            </w:pPr>
            <w:r>
              <w:rPr>
                <w:b/>
                <w:sz w:val="22"/>
              </w:rPr>
              <w:t>Total</w:t>
            </w:r>
          </w:p>
        </w:tc>
        <w:tc>
          <w:tcPr>
            <w:tcW w:w="1882" w:type="dxa"/>
          </w:tcPr>
          <w:p>
            <w:pPr>
              <w:pStyle w:val="TableParagraph"/>
              <w:spacing w:line="249" w:lineRule="exact"/>
              <w:rPr>
                <w:rFonts w:ascii="Calibri"/>
                <w:b/>
                <w:sz w:val="22"/>
              </w:rPr>
            </w:pPr>
            <w:r>
              <w:rPr>
                <w:rFonts w:ascii="Calibri"/>
                <w:b/>
                <w:sz w:val="22"/>
              </w:rPr>
              <w:t>$17,950,000</w:t>
            </w:r>
          </w:p>
        </w:tc>
        <w:tc>
          <w:tcPr>
            <w:tcW w:w="1868" w:type="dxa"/>
          </w:tcPr>
          <w:p>
            <w:pPr>
              <w:pStyle w:val="TableParagraph"/>
              <w:spacing w:line="249" w:lineRule="exact"/>
              <w:ind w:left="106"/>
              <w:rPr>
                <w:b/>
                <w:sz w:val="22"/>
              </w:rPr>
            </w:pPr>
            <w:r>
              <w:rPr>
                <w:b/>
                <w:sz w:val="22"/>
              </w:rPr>
              <w:t>2017 - 2022</w:t>
            </w:r>
          </w:p>
        </w:tc>
      </w:tr>
    </w:tbl>
    <w:p>
      <w:pPr>
        <w:spacing w:before="119"/>
        <w:ind w:left="120" w:right="0" w:firstLine="0"/>
        <w:jc w:val="both"/>
        <w:rPr>
          <w:rFonts w:ascii="Arial"/>
          <w:b/>
          <w:sz w:val="20"/>
        </w:rPr>
      </w:pPr>
      <w:r>
        <w:rPr>
          <w:rFonts w:ascii="Arial"/>
          <w:b/>
          <w:sz w:val="20"/>
        </w:rPr>
        <w:t>Table U-5: Capital Improvement Funding Sources</w:t>
      </w:r>
    </w:p>
    <w:p>
      <w:pPr>
        <w:pStyle w:val="BodyText"/>
        <w:spacing w:before="6"/>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91"/>
        <w:gridCol w:w="1884"/>
        <w:gridCol w:w="1867"/>
      </w:tblGrid>
      <w:tr>
        <w:trPr>
          <w:trHeight w:val="402" w:hRule="atLeast"/>
        </w:trPr>
        <w:tc>
          <w:tcPr>
            <w:tcW w:w="5491" w:type="dxa"/>
            <w:shd w:val="clear" w:color="auto" w:fill="B8CCE3"/>
          </w:tcPr>
          <w:p>
            <w:pPr>
              <w:pStyle w:val="TableParagraph"/>
              <w:spacing w:before="119"/>
              <w:rPr>
                <w:b/>
                <w:sz w:val="22"/>
              </w:rPr>
            </w:pPr>
            <w:r>
              <w:rPr>
                <w:b/>
                <w:sz w:val="22"/>
              </w:rPr>
              <w:t>Funding Source</w:t>
            </w:r>
          </w:p>
        </w:tc>
        <w:tc>
          <w:tcPr>
            <w:tcW w:w="1884" w:type="dxa"/>
            <w:shd w:val="clear" w:color="auto" w:fill="B8CCE3"/>
          </w:tcPr>
          <w:p>
            <w:pPr>
              <w:pStyle w:val="TableParagraph"/>
              <w:spacing w:before="119"/>
              <w:rPr>
                <w:b/>
                <w:sz w:val="22"/>
              </w:rPr>
            </w:pPr>
            <w:r>
              <w:rPr>
                <w:b/>
                <w:sz w:val="22"/>
              </w:rPr>
              <w:t>Total Fund</w:t>
            </w:r>
          </w:p>
        </w:tc>
        <w:tc>
          <w:tcPr>
            <w:tcW w:w="1867" w:type="dxa"/>
            <w:shd w:val="clear" w:color="auto" w:fill="B8CCE3"/>
          </w:tcPr>
          <w:p>
            <w:pPr>
              <w:pStyle w:val="TableParagraph"/>
              <w:spacing w:before="119"/>
              <w:rPr>
                <w:b/>
                <w:sz w:val="22"/>
              </w:rPr>
            </w:pPr>
            <w:r>
              <w:rPr>
                <w:b/>
                <w:sz w:val="22"/>
              </w:rPr>
              <w:t>Time-frame</w:t>
            </w:r>
          </w:p>
        </w:tc>
      </w:tr>
      <w:tr>
        <w:trPr>
          <w:trHeight w:val="318" w:hRule="atLeast"/>
        </w:trPr>
        <w:tc>
          <w:tcPr>
            <w:tcW w:w="5491" w:type="dxa"/>
          </w:tcPr>
          <w:p>
            <w:pPr>
              <w:pStyle w:val="TableParagraph"/>
              <w:spacing w:line="239" w:lineRule="exact"/>
              <w:rPr>
                <w:sz w:val="22"/>
              </w:rPr>
            </w:pPr>
            <w:r>
              <w:rPr>
                <w:sz w:val="22"/>
              </w:rPr>
              <w:t>Bonds - Future Issue</w:t>
            </w:r>
          </w:p>
        </w:tc>
        <w:tc>
          <w:tcPr>
            <w:tcW w:w="1884" w:type="dxa"/>
          </w:tcPr>
          <w:p>
            <w:pPr>
              <w:pStyle w:val="TableParagraph"/>
              <w:spacing w:line="239" w:lineRule="exact"/>
              <w:rPr>
                <w:sz w:val="22"/>
              </w:rPr>
            </w:pPr>
            <w:r>
              <w:rPr>
                <w:sz w:val="22"/>
              </w:rPr>
              <w:t>$2,183,000</w:t>
            </w:r>
          </w:p>
        </w:tc>
        <w:tc>
          <w:tcPr>
            <w:tcW w:w="1867" w:type="dxa"/>
          </w:tcPr>
          <w:p>
            <w:pPr>
              <w:pStyle w:val="TableParagraph"/>
              <w:spacing w:line="239" w:lineRule="exact"/>
              <w:rPr>
                <w:sz w:val="22"/>
              </w:rPr>
            </w:pPr>
            <w:r>
              <w:rPr>
                <w:sz w:val="22"/>
              </w:rPr>
              <w:t>2017</w:t>
            </w:r>
          </w:p>
        </w:tc>
      </w:tr>
      <w:tr>
        <w:trPr>
          <w:trHeight w:val="316" w:hRule="atLeast"/>
        </w:trPr>
        <w:tc>
          <w:tcPr>
            <w:tcW w:w="5491" w:type="dxa"/>
          </w:tcPr>
          <w:p>
            <w:pPr>
              <w:pStyle w:val="TableParagraph"/>
              <w:spacing w:line="237" w:lineRule="exact"/>
              <w:rPr>
                <w:sz w:val="22"/>
              </w:rPr>
            </w:pPr>
            <w:r>
              <w:rPr>
                <w:sz w:val="22"/>
              </w:rPr>
              <w:t>Rate Revenue</w:t>
            </w:r>
          </w:p>
        </w:tc>
        <w:tc>
          <w:tcPr>
            <w:tcW w:w="1884" w:type="dxa"/>
          </w:tcPr>
          <w:p>
            <w:pPr>
              <w:pStyle w:val="TableParagraph"/>
              <w:spacing w:line="237" w:lineRule="exact"/>
              <w:rPr>
                <w:sz w:val="22"/>
              </w:rPr>
            </w:pPr>
            <w:r>
              <w:rPr>
                <w:sz w:val="22"/>
              </w:rPr>
              <w:t>$11,567,000</w:t>
            </w:r>
          </w:p>
        </w:tc>
        <w:tc>
          <w:tcPr>
            <w:tcW w:w="1867" w:type="dxa"/>
          </w:tcPr>
          <w:p>
            <w:pPr>
              <w:pStyle w:val="TableParagraph"/>
              <w:spacing w:line="237" w:lineRule="exact"/>
              <w:rPr>
                <w:sz w:val="22"/>
              </w:rPr>
            </w:pPr>
            <w:r>
              <w:rPr>
                <w:sz w:val="22"/>
              </w:rPr>
              <w:t>2017 - 2022</w:t>
            </w:r>
          </w:p>
        </w:tc>
      </w:tr>
      <w:tr>
        <w:trPr>
          <w:trHeight w:val="318" w:hRule="atLeast"/>
        </w:trPr>
        <w:tc>
          <w:tcPr>
            <w:tcW w:w="5491" w:type="dxa"/>
          </w:tcPr>
          <w:p>
            <w:pPr>
              <w:pStyle w:val="TableParagraph"/>
              <w:spacing w:line="237" w:lineRule="exact" w:before="62"/>
              <w:rPr>
                <w:sz w:val="22"/>
              </w:rPr>
            </w:pPr>
            <w:r>
              <w:rPr>
                <w:sz w:val="22"/>
              </w:rPr>
              <w:t>Wastewater Facility Fees</w:t>
            </w:r>
          </w:p>
        </w:tc>
        <w:tc>
          <w:tcPr>
            <w:tcW w:w="1884" w:type="dxa"/>
          </w:tcPr>
          <w:p>
            <w:pPr>
              <w:pStyle w:val="TableParagraph"/>
              <w:spacing w:line="237" w:lineRule="exact" w:before="62"/>
              <w:rPr>
                <w:sz w:val="22"/>
              </w:rPr>
            </w:pPr>
            <w:r>
              <w:rPr>
                <w:sz w:val="22"/>
              </w:rPr>
              <w:t>$4,200,000</w:t>
            </w:r>
          </w:p>
        </w:tc>
        <w:tc>
          <w:tcPr>
            <w:tcW w:w="1867" w:type="dxa"/>
          </w:tcPr>
          <w:p>
            <w:pPr>
              <w:pStyle w:val="TableParagraph"/>
              <w:spacing w:line="237" w:lineRule="exact" w:before="62"/>
              <w:rPr>
                <w:sz w:val="22"/>
              </w:rPr>
            </w:pPr>
            <w:r>
              <w:rPr>
                <w:sz w:val="22"/>
              </w:rPr>
              <w:t>2017 - 2022</w:t>
            </w:r>
          </w:p>
        </w:tc>
      </w:tr>
      <w:tr>
        <w:trPr>
          <w:trHeight w:val="318" w:hRule="atLeast"/>
        </w:trPr>
        <w:tc>
          <w:tcPr>
            <w:tcW w:w="5491" w:type="dxa"/>
          </w:tcPr>
          <w:p>
            <w:pPr>
              <w:pStyle w:val="TableParagraph"/>
              <w:spacing w:line="239" w:lineRule="exact"/>
              <w:rPr>
                <w:b/>
                <w:sz w:val="22"/>
              </w:rPr>
            </w:pPr>
            <w:r>
              <w:rPr>
                <w:b/>
                <w:sz w:val="22"/>
              </w:rPr>
              <w:t>Total</w:t>
            </w:r>
          </w:p>
        </w:tc>
        <w:tc>
          <w:tcPr>
            <w:tcW w:w="1884" w:type="dxa"/>
          </w:tcPr>
          <w:p>
            <w:pPr>
              <w:pStyle w:val="TableParagraph"/>
              <w:spacing w:line="239" w:lineRule="exact"/>
              <w:rPr>
                <w:b/>
                <w:sz w:val="22"/>
              </w:rPr>
            </w:pPr>
            <w:r>
              <w:rPr>
                <w:b/>
                <w:sz w:val="22"/>
              </w:rPr>
              <w:t>$17,950,000</w:t>
            </w:r>
          </w:p>
        </w:tc>
        <w:tc>
          <w:tcPr>
            <w:tcW w:w="1867" w:type="dxa"/>
          </w:tcPr>
          <w:p>
            <w:pPr>
              <w:pStyle w:val="TableParagraph"/>
              <w:spacing w:line="239" w:lineRule="exact"/>
              <w:rPr>
                <w:b/>
                <w:sz w:val="22"/>
              </w:rPr>
            </w:pPr>
            <w:r>
              <w:rPr>
                <w:b/>
                <w:sz w:val="22"/>
              </w:rPr>
              <w:t>2017 - 2022</w:t>
            </w:r>
          </w:p>
        </w:tc>
      </w:tr>
    </w:tbl>
    <w:p>
      <w:pPr>
        <w:spacing w:after="0" w:line="239" w:lineRule="exact"/>
        <w:rPr>
          <w:sz w:val="22"/>
        </w:rPr>
        <w:sectPr>
          <w:pgSz w:w="12240" w:h="15840"/>
          <w:pgMar w:header="0" w:footer="1052" w:top="1440" w:bottom="1320" w:left="1320" w:right="1200"/>
        </w:sectPr>
      </w:pPr>
    </w:p>
    <w:p>
      <w:pPr>
        <w:pStyle w:val="BodyText"/>
        <w:spacing w:before="80"/>
        <w:ind w:left="120" w:right="233"/>
        <w:jc w:val="both"/>
      </w:pPr>
      <w:r>
        <w:rPr/>
        <w:t>Long</w:t>
      </w:r>
      <w:r>
        <w:rPr>
          <w:spacing w:val="-9"/>
        </w:rPr>
        <w:t> </w:t>
      </w:r>
      <w:r>
        <w:rPr/>
        <w:t>term</w:t>
      </w:r>
      <w:r>
        <w:rPr>
          <w:spacing w:val="-9"/>
        </w:rPr>
        <w:t> </w:t>
      </w:r>
      <w:r>
        <w:rPr/>
        <w:t>projects</w:t>
      </w:r>
      <w:r>
        <w:rPr>
          <w:spacing w:val="-10"/>
        </w:rPr>
        <w:t> </w:t>
      </w:r>
      <w:r>
        <w:rPr/>
        <w:t>include</w:t>
      </w:r>
      <w:r>
        <w:rPr>
          <w:spacing w:val="-10"/>
        </w:rPr>
        <w:t> </w:t>
      </w:r>
      <w:r>
        <w:rPr/>
        <w:t>collection</w:t>
      </w:r>
      <w:r>
        <w:rPr>
          <w:spacing w:val="-10"/>
        </w:rPr>
        <w:t> </w:t>
      </w:r>
      <w:r>
        <w:rPr/>
        <w:t>system</w:t>
      </w:r>
      <w:r>
        <w:rPr>
          <w:spacing w:val="-9"/>
        </w:rPr>
        <w:t> </w:t>
      </w:r>
      <w:r>
        <w:rPr/>
        <w:t>upgrades</w:t>
      </w:r>
      <w:r>
        <w:rPr>
          <w:spacing w:val="-8"/>
        </w:rPr>
        <w:t> </w:t>
      </w:r>
      <w:r>
        <w:rPr/>
        <w:t>for</w:t>
      </w:r>
      <w:r>
        <w:rPr>
          <w:spacing w:val="-10"/>
        </w:rPr>
        <w:t> </w:t>
      </w:r>
      <w:r>
        <w:rPr/>
        <w:t>the</w:t>
      </w:r>
      <w:r>
        <w:rPr>
          <w:spacing w:val="-9"/>
        </w:rPr>
        <w:t> </w:t>
      </w:r>
      <w:r>
        <w:rPr/>
        <w:t>Bellerive</w:t>
      </w:r>
      <w:r>
        <w:rPr>
          <w:spacing w:val="-10"/>
        </w:rPr>
        <w:t> </w:t>
      </w:r>
      <w:r>
        <w:rPr/>
        <w:t>Lift</w:t>
      </w:r>
      <w:r>
        <w:rPr>
          <w:spacing w:val="-10"/>
        </w:rPr>
        <w:t> </w:t>
      </w:r>
      <w:r>
        <w:rPr/>
        <w:t>Station</w:t>
      </w:r>
      <w:r>
        <w:rPr>
          <w:spacing w:val="-10"/>
        </w:rPr>
        <w:t> </w:t>
      </w:r>
      <w:r>
        <w:rPr/>
        <w:t>in</w:t>
      </w:r>
      <w:r>
        <w:rPr>
          <w:spacing w:val="-12"/>
        </w:rPr>
        <w:t> </w:t>
      </w:r>
      <w:r>
        <w:rPr/>
        <w:t>South</w:t>
      </w:r>
      <w:r>
        <w:rPr>
          <w:spacing w:val="-10"/>
        </w:rPr>
        <w:t> </w:t>
      </w:r>
      <w:r>
        <w:rPr/>
        <w:t>Richland and the Upper North Interceptor in North Richland. These projects would cost</w:t>
      </w:r>
      <w:r>
        <w:rPr>
          <w:spacing w:val="20"/>
        </w:rPr>
        <w:t> </w:t>
      </w:r>
      <w:r>
        <w:rPr/>
        <w:t>approximately</w:t>
      </w:r>
    </w:p>
    <w:p>
      <w:pPr>
        <w:pStyle w:val="BodyText"/>
        <w:ind w:left="119" w:right="235"/>
        <w:jc w:val="both"/>
      </w:pPr>
      <w:r>
        <w:rPr/>
        <w:t>$3,000,000 and will be funded by connection fees. In addition, there is about $4,000,000 projected cost for annual renewal/replacement projects for both the collection system and the Wastewater Treatment Plan. These will be funded by rates.</w:t>
      </w:r>
    </w:p>
    <w:p>
      <w:pPr>
        <w:spacing w:after="0"/>
        <w:jc w:val="both"/>
        <w:sectPr>
          <w:pgSz w:w="12240" w:h="15840"/>
          <w:pgMar w:header="0" w:footer="1052" w:top="1360" w:bottom="1320" w:left="1320" w:right="1200"/>
        </w:sectPr>
      </w:pPr>
    </w:p>
    <w:p>
      <w:pPr>
        <w:spacing w:before="79"/>
        <w:ind w:left="120" w:right="0" w:firstLine="0"/>
        <w:jc w:val="left"/>
        <w:rPr>
          <w:rFonts w:ascii="Arial"/>
          <w:b/>
          <w:sz w:val="20"/>
        </w:rPr>
      </w:pPr>
      <w:bookmarkStart w:name="_bookmark67" w:id="179"/>
      <w:bookmarkEnd w:id="179"/>
      <w:r>
        <w:rPr/>
      </w:r>
      <w:r>
        <w:rPr>
          <w:rFonts w:ascii="Arial"/>
          <w:b/>
          <w:sz w:val="20"/>
        </w:rPr>
        <w:t>Figure U-2: Sanitary Sewer Mains</w:t>
      </w:r>
    </w:p>
    <w:p>
      <w:pPr>
        <w:spacing w:after="0"/>
        <w:jc w:val="left"/>
        <w:rPr>
          <w:rFonts w:ascii="Arial"/>
          <w:sz w:val="20"/>
        </w:rPr>
        <w:sectPr>
          <w:pgSz w:w="12240" w:h="15840"/>
          <w:pgMar w:header="0" w:footer="1052" w:top="1360" w:bottom="1320" w:left="1320" w:right="1200"/>
        </w:sectPr>
      </w:pPr>
    </w:p>
    <w:p>
      <w:pPr>
        <w:pStyle w:val="Heading7"/>
        <w:jc w:val="both"/>
      </w:pPr>
      <w:bookmarkStart w:name="Section Three" w:id="180"/>
      <w:bookmarkEnd w:id="180"/>
      <w:r>
        <w:rPr/>
      </w:r>
      <w:bookmarkStart w:name="_bookmark68" w:id="181"/>
      <w:bookmarkEnd w:id="181"/>
      <w:r>
        <w:rPr/>
      </w:r>
      <w:r>
        <w:rPr>
          <w:color w:val="4F81BC"/>
        </w:rPr>
        <w:t>SECTION THREE</w:t>
      </w:r>
    </w:p>
    <w:p>
      <w:pPr>
        <w:pStyle w:val="Heading6"/>
        <w:ind w:left="119"/>
        <w:jc w:val="both"/>
      </w:pPr>
      <w:bookmarkStart w:name="Water Supply System" w:id="182"/>
      <w:bookmarkEnd w:id="182"/>
      <w:r>
        <w:rPr>
          <w:b w:val="0"/>
        </w:rPr>
      </w:r>
      <w:bookmarkStart w:name="EXISTING CONDITIONS" w:id="183"/>
      <w:bookmarkEnd w:id="183"/>
      <w:r>
        <w:rPr>
          <w:b w:val="0"/>
        </w:rPr>
      </w:r>
      <w:bookmarkStart w:name="_bookmark69" w:id="184"/>
      <w:bookmarkEnd w:id="184"/>
      <w:r>
        <w:rPr>
          <w:b w:val="0"/>
        </w:rPr>
      </w:r>
      <w:r>
        <w:rPr/>
        <w:t>WATER SUPPLY SYSTEM</w:t>
      </w:r>
    </w:p>
    <w:p>
      <w:pPr>
        <w:spacing w:before="202"/>
        <w:ind w:left="120" w:right="0" w:firstLine="0"/>
        <w:jc w:val="both"/>
        <w:rPr>
          <w:b/>
          <w:sz w:val="24"/>
        </w:rPr>
      </w:pPr>
      <w:r>
        <w:rPr>
          <w:b/>
          <w:sz w:val="24"/>
        </w:rPr>
        <w:t>EXISTING CONDITIONS</w:t>
      </w:r>
    </w:p>
    <w:p>
      <w:pPr>
        <w:pStyle w:val="BodyText"/>
        <w:spacing w:before="120"/>
        <w:ind w:left="119" w:right="232"/>
        <w:jc w:val="both"/>
      </w:pPr>
      <w:r>
        <w:rPr/>
        <w:t>The</w:t>
      </w:r>
      <w:r>
        <w:rPr>
          <w:spacing w:val="-11"/>
        </w:rPr>
        <w:t> </w:t>
      </w:r>
      <w:r>
        <w:rPr/>
        <w:t>majority</w:t>
      </w:r>
      <w:r>
        <w:rPr>
          <w:spacing w:val="-9"/>
        </w:rPr>
        <w:t> </w:t>
      </w:r>
      <w:r>
        <w:rPr/>
        <w:t>of</w:t>
      </w:r>
      <w:r>
        <w:rPr>
          <w:spacing w:val="-8"/>
        </w:rPr>
        <w:t> </w:t>
      </w:r>
      <w:r>
        <w:rPr/>
        <w:t>the</w:t>
      </w:r>
      <w:r>
        <w:rPr>
          <w:spacing w:val="-9"/>
        </w:rPr>
        <w:t> </w:t>
      </w:r>
      <w:r>
        <w:rPr/>
        <w:t>population</w:t>
      </w:r>
      <w:r>
        <w:rPr>
          <w:spacing w:val="-9"/>
        </w:rPr>
        <w:t> </w:t>
      </w:r>
      <w:r>
        <w:rPr/>
        <w:t>within</w:t>
      </w:r>
      <w:r>
        <w:rPr>
          <w:spacing w:val="-9"/>
        </w:rPr>
        <w:t> </w:t>
      </w:r>
      <w:r>
        <w:rPr/>
        <w:t>the</w:t>
      </w:r>
      <w:r>
        <w:rPr>
          <w:spacing w:val="-9"/>
        </w:rPr>
        <w:t> </w:t>
      </w:r>
      <w:r>
        <w:rPr/>
        <w:t>corporate</w:t>
      </w:r>
      <w:r>
        <w:rPr>
          <w:spacing w:val="-10"/>
        </w:rPr>
        <w:t> </w:t>
      </w:r>
      <w:r>
        <w:rPr/>
        <w:t>limits</w:t>
      </w:r>
      <w:r>
        <w:rPr>
          <w:spacing w:val="-7"/>
        </w:rPr>
        <w:t> </w:t>
      </w:r>
      <w:r>
        <w:rPr/>
        <w:t>of</w:t>
      </w:r>
      <w:r>
        <w:rPr>
          <w:spacing w:val="-8"/>
        </w:rPr>
        <w:t> </w:t>
      </w:r>
      <w:r>
        <w:rPr/>
        <w:t>the</w:t>
      </w:r>
      <w:r>
        <w:rPr>
          <w:spacing w:val="-9"/>
        </w:rPr>
        <w:t> </w:t>
      </w:r>
      <w:r>
        <w:rPr/>
        <w:t>City</w:t>
      </w:r>
      <w:r>
        <w:rPr>
          <w:spacing w:val="-9"/>
        </w:rPr>
        <w:t> </w:t>
      </w:r>
      <w:r>
        <w:rPr/>
        <w:t>of</w:t>
      </w:r>
      <w:r>
        <w:rPr>
          <w:spacing w:val="-8"/>
        </w:rPr>
        <w:t> </w:t>
      </w:r>
      <w:r>
        <w:rPr/>
        <w:t>Richland</w:t>
      </w:r>
      <w:r>
        <w:rPr>
          <w:spacing w:val="-9"/>
        </w:rPr>
        <w:t> </w:t>
      </w:r>
      <w:r>
        <w:rPr/>
        <w:t>is</w:t>
      </w:r>
      <w:r>
        <w:rPr>
          <w:spacing w:val="-7"/>
        </w:rPr>
        <w:t> </w:t>
      </w:r>
      <w:r>
        <w:rPr/>
        <w:t>served</w:t>
      </w:r>
      <w:r>
        <w:rPr>
          <w:spacing w:val="-8"/>
        </w:rPr>
        <w:t> </w:t>
      </w:r>
      <w:r>
        <w:rPr/>
        <w:t>by</w:t>
      </w:r>
      <w:r>
        <w:rPr>
          <w:spacing w:val="-10"/>
        </w:rPr>
        <w:t> </w:t>
      </w:r>
      <w:r>
        <w:rPr/>
        <w:t>the</w:t>
      </w:r>
      <w:r>
        <w:rPr>
          <w:spacing w:val="-8"/>
        </w:rPr>
        <w:t> </w:t>
      </w:r>
      <w:r>
        <w:rPr/>
        <w:t>City of Richland Water Utility. The Utility serves approximately 18,689 connections (as of 2016), which includes residential, commercial, and industrial users. The Utility is managed by the City as part of the Public Works</w:t>
      </w:r>
      <w:r>
        <w:rPr>
          <w:spacing w:val="-2"/>
        </w:rPr>
        <w:t> </w:t>
      </w:r>
      <w:r>
        <w:rPr/>
        <w:t>Department.</w:t>
      </w:r>
    </w:p>
    <w:p>
      <w:pPr>
        <w:pStyle w:val="BodyText"/>
        <w:spacing w:before="120"/>
        <w:ind w:left="120" w:right="233"/>
        <w:jc w:val="both"/>
      </w:pPr>
      <w:r>
        <w:rPr/>
        <w:t>The Richland water system was constructed during the 1940s to support the wartime activities at the Hanford Site. This temporary system has developed into the modern permanent water system used in the City today.</w:t>
      </w:r>
    </w:p>
    <w:p>
      <w:pPr>
        <w:pStyle w:val="BodyText"/>
        <w:spacing w:before="119"/>
        <w:ind w:left="119" w:right="234"/>
        <w:jc w:val="both"/>
      </w:pPr>
      <w:r>
        <w:rPr/>
        <w:t>The</w:t>
      </w:r>
      <w:r>
        <w:rPr>
          <w:spacing w:val="-9"/>
        </w:rPr>
        <w:t> </w:t>
      </w:r>
      <w:r>
        <w:rPr/>
        <w:t>utility</w:t>
      </w:r>
      <w:r>
        <w:rPr>
          <w:spacing w:val="-9"/>
        </w:rPr>
        <w:t> </w:t>
      </w:r>
      <w:r>
        <w:rPr/>
        <w:t>service</w:t>
      </w:r>
      <w:r>
        <w:rPr>
          <w:spacing w:val="-8"/>
        </w:rPr>
        <w:t> </w:t>
      </w:r>
      <w:r>
        <w:rPr/>
        <w:t>area</w:t>
      </w:r>
      <w:r>
        <w:rPr>
          <w:spacing w:val="-8"/>
        </w:rPr>
        <w:t> </w:t>
      </w:r>
      <w:r>
        <w:rPr/>
        <w:t>is</w:t>
      </w:r>
      <w:r>
        <w:rPr>
          <w:spacing w:val="-9"/>
        </w:rPr>
        <w:t> </w:t>
      </w:r>
      <w:r>
        <w:rPr/>
        <w:t>bordered</w:t>
      </w:r>
      <w:r>
        <w:rPr>
          <w:spacing w:val="-8"/>
        </w:rPr>
        <w:t> </w:t>
      </w:r>
      <w:r>
        <w:rPr/>
        <w:t>on</w:t>
      </w:r>
      <w:r>
        <w:rPr>
          <w:spacing w:val="-9"/>
        </w:rPr>
        <w:t> </w:t>
      </w:r>
      <w:r>
        <w:rPr/>
        <w:t>the</w:t>
      </w:r>
      <w:r>
        <w:rPr>
          <w:spacing w:val="-9"/>
        </w:rPr>
        <w:t> </w:t>
      </w:r>
      <w:r>
        <w:rPr/>
        <w:t>southwest</w:t>
      </w:r>
      <w:r>
        <w:rPr>
          <w:spacing w:val="-8"/>
        </w:rPr>
        <w:t> </w:t>
      </w:r>
      <w:r>
        <w:rPr/>
        <w:t>by</w:t>
      </w:r>
      <w:r>
        <w:rPr>
          <w:spacing w:val="-7"/>
        </w:rPr>
        <w:t> </w:t>
      </w:r>
      <w:r>
        <w:rPr/>
        <w:t>the</w:t>
      </w:r>
      <w:r>
        <w:rPr>
          <w:spacing w:val="-8"/>
        </w:rPr>
        <w:t> </w:t>
      </w:r>
      <w:r>
        <w:rPr/>
        <w:t>City</w:t>
      </w:r>
      <w:r>
        <w:rPr>
          <w:spacing w:val="-9"/>
        </w:rPr>
        <w:t> </w:t>
      </w:r>
      <w:r>
        <w:rPr/>
        <w:t>of</w:t>
      </w:r>
      <w:r>
        <w:rPr>
          <w:spacing w:val="-8"/>
        </w:rPr>
        <w:t> </w:t>
      </w:r>
      <w:r>
        <w:rPr/>
        <w:t>West</w:t>
      </w:r>
      <w:r>
        <w:rPr>
          <w:spacing w:val="-8"/>
        </w:rPr>
        <w:t> </w:t>
      </w:r>
      <w:r>
        <w:rPr/>
        <w:t>Richland</w:t>
      </w:r>
      <w:r>
        <w:rPr>
          <w:spacing w:val="-9"/>
        </w:rPr>
        <w:t> </w:t>
      </w:r>
      <w:r>
        <w:rPr/>
        <w:t>utility</w:t>
      </w:r>
      <w:r>
        <w:rPr>
          <w:spacing w:val="-9"/>
        </w:rPr>
        <w:t> </w:t>
      </w:r>
      <w:r>
        <w:rPr/>
        <w:t>service</w:t>
      </w:r>
      <w:r>
        <w:rPr>
          <w:spacing w:val="-8"/>
        </w:rPr>
        <w:t> </w:t>
      </w:r>
      <w:r>
        <w:rPr/>
        <w:t>area, which has a wholesale water service intertie agreement with Richland. This intertie is located along Keene Road. The City of Kennewick’s water and sewer utility area lies to the southeast and has an emergency intertie located at Gage Boulevard connection on Columbia Center Boulevard near Tapteal Drive. The Badger Mountain Irrigation District has a potable water service utility area that lies to the south of the City with an emergency intertie located on Rachel</w:t>
      </w:r>
      <w:r>
        <w:rPr>
          <w:spacing w:val="-20"/>
        </w:rPr>
        <w:t> </w:t>
      </w:r>
      <w:r>
        <w:rPr/>
        <w:t>Road.</w:t>
      </w:r>
    </w:p>
    <w:p>
      <w:pPr>
        <w:pStyle w:val="BodyText"/>
        <w:spacing w:before="121"/>
        <w:ind w:left="119" w:right="234"/>
        <w:jc w:val="both"/>
      </w:pPr>
      <w:r>
        <w:rPr/>
        <w:t>The City has one private water district within its corporate limits. Tri-City Estates, a residential housing development, maintains its own water supply system. It has an emergency water supply agreement whereby the City of Richland would supply water to that area if its system proves inadequate.</w:t>
      </w:r>
      <w:r>
        <w:rPr>
          <w:spacing w:val="-4"/>
        </w:rPr>
        <w:t> </w:t>
      </w:r>
      <w:r>
        <w:rPr/>
        <w:t>Two</w:t>
      </w:r>
      <w:r>
        <w:rPr>
          <w:spacing w:val="-3"/>
        </w:rPr>
        <w:t> </w:t>
      </w:r>
      <w:r>
        <w:rPr/>
        <w:t>private</w:t>
      </w:r>
      <w:r>
        <w:rPr>
          <w:spacing w:val="-3"/>
        </w:rPr>
        <w:t> </w:t>
      </w:r>
      <w:r>
        <w:rPr/>
        <w:t>water</w:t>
      </w:r>
      <w:r>
        <w:rPr>
          <w:spacing w:val="-4"/>
        </w:rPr>
        <w:t> </w:t>
      </w:r>
      <w:r>
        <w:rPr/>
        <w:t>districts</w:t>
      </w:r>
      <w:r>
        <w:rPr>
          <w:spacing w:val="-2"/>
        </w:rPr>
        <w:t> </w:t>
      </w:r>
      <w:r>
        <w:rPr/>
        <w:t>exist</w:t>
      </w:r>
      <w:r>
        <w:rPr>
          <w:spacing w:val="-4"/>
        </w:rPr>
        <w:t> </w:t>
      </w:r>
      <w:r>
        <w:rPr/>
        <w:t>beyond</w:t>
      </w:r>
      <w:r>
        <w:rPr>
          <w:spacing w:val="-5"/>
        </w:rPr>
        <w:t> </w:t>
      </w:r>
      <w:r>
        <w:rPr/>
        <w:t>the</w:t>
      </w:r>
      <w:r>
        <w:rPr>
          <w:spacing w:val="-3"/>
        </w:rPr>
        <w:t> </w:t>
      </w:r>
      <w:r>
        <w:rPr/>
        <w:t>City</w:t>
      </w:r>
      <w:r>
        <w:rPr>
          <w:spacing w:val="-3"/>
        </w:rPr>
        <w:t> </w:t>
      </w:r>
      <w:r>
        <w:rPr/>
        <w:t>limits.</w:t>
      </w:r>
      <w:r>
        <w:rPr>
          <w:spacing w:val="-4"/>
        </w:rPr>
        <w:t> </w:t>
      </w:r>
      <w:r>
        <w:rPr/>
        <w:t>The</w:t>
      </w:r>
      <w:r>
        <w:rPr>
          <w:spacing w:val="-3"/>
        </w:rPr>
        <w:t> </w:t>
      </w:r>
      <w:r>
        <w:rPr/>
        <w:t>Badger</w:t>
      </w:r>
      <w:r>
        <w:rPr>
          <w:spacing w:val="-4"/>
        </w:rPr>
        <w:t> </w:t>
      </w:r>
      <w:r>
        <w:rPr/>
        <w:t>Mountain</w:t>
      </w:r>
      <w:r>
        <w:rPr>
          <w:spacing w:val="-4"/>
        </w:rPr>
        <w:t> </w:t>
      </w:r>
      <w:r>
        <w:rPr/>
        <w:t>Irrigation District (BMID) operates a potable water system that serves the Rancho Reata area beyond the southern boundary of Richland’s service area (an area north of I-82). The BMID uses a wholesale water supply intertie with the</w:t>
      </w:r>
      <w:r>
        <w:rPr>
          <w:spacing w:val="-9"/>
        </w:rPr>
        <w:t> </w:t>
      </w:r>
      <w:r>
        <w:rPr/>
        <w:t>City.</w:t>
      </w:r>
    </w:p>
    <w:p>
      <w:pPr>
        <w:pStyle w:val="BodyText"/>
        <w:spacing w:before="119"/>
        <w:ind w:left="119" w:right="233"/>
        <w:jc w:val="both"/>
      </w:pPr>
      <w:r>
        <w:rPr/>
        <w:t>The City’s water supply system consists of wells, a water treatment plant, pump stations and</w:t>
      </w:r>
      <w:bookmarkStart w:name="Source of Supply" w:id="185"/>
      <w:bookmarkEnd w:id="185"/>
      <w:r>
        <w:rPr/>
      </w:r>
      <w:r>
        <w:rPr/>
        <w:t> chlorinators, interties, water lines, and reservoirs.</w:t>
      </w:r>
    </w:p>
    <w:p>
      <w:pPr>
        <w:spacing w:before="202"/>
        <w:ind w:left="119" w:right="0" w:firstLine="0"/>
        <w:jc w:val="both"/>
        <w:rPr>
          <w:b/>
          <w:sz w:val="22"/>
        </w:rPr>
      </w:pPr>
      <w:r>
        <w:rPr>
          <w:b/>
          <w:color w:val="C0504D"/>
          <w:sz w:val="22"/>
        </w:rPr>
        <w:t>Source of Supply</w:t>
      </w:r>
    </w:p>
    <w:p>
      <w:pPr>
        <w:pStyle w:val="BodyText"/>
        <w:spacing w:before="119"/>
        <w:ind w:left="119" w:right="235"/>
        <w:jc w:val="both"/>
      </w:pPr>
      <w:r>
        <w:rPr/>
        <w:t>According</w:t>
      </w:r>
      <w:r>
        <w:rPr>
          <w:spacing w:val="-3"/>
        </w:rPr>
        <w:t> </w:t>
      </w:r>
      <w:r>
        <w:rPr/>
        <w:t>to</w:t>
      </w:r>
      <w:r>
        <w:rPr>
          <w:spacing w:val="-4"/>
        </w:rPr>
        <w:t> </w:t>
      </w:r>
      <w:r>
        <w:rPr/>
        <w:t>the</w:t>
      </w:r>
      <w:r>
        <w:rPr>
          <w:spacing w:val="-4"/>
        </w:rPr>
        <w:t> </w:t>
      </w:r>
      <w:r>
        <w:rPr/>
        <w:t>2016</w:t>
      </w:r>
      <w:r>
        <w:rPr>
          <w:spacing w:val="-4"/>
        </w:rPr>
        <w:t> </w:t>
      </w:r>
      <w:r>
        <w:rPr/>
        <w:t>Comprehensive</w:t>
      </w:r>
      <w:r>
        <w:rPr>
          <w:spacing w:val="-4"/>
        </w:rPr>
        <w:t> </w:t>
      </w:r>
      <w:r>
        <w:rPr/>
        <w:t>Water</w:t>
      </w:r>
      <w:r>
        <w:rPr>
          <w:spacing w:val="-5"/>
        </w:rPr>
        <w:t> </w:t>
      </w:r>
      <w:r>
        <w:rPr/>
        <w:t>System</w:t>
      </w:r>
      <w:r>
        <w:rPr>
          <w:spacing w:val="-3"/>
        </w:rPr>
        <w:t> </w:t>
      </w:r>
      <w:r>
        <w:rPr/>
        <w:t>Plan</w:t>
      </w:r>
      <w:r>
        <w:rPr>
          <w:spacing w:val="-5"/>
        </w:rPr>
        <w:t> </w:t>
      </w:r>
      <w:r>
        <w:rPr/>
        <w:t>(WSP),</w:t>
      </w:r>
      <w:r>
        <w:rPr>
          <w:spacing w:val="-4"/>
        </w:rPr>
        <w:t> </w:t>
      </w:r>
      <w:r>
        <w:rPr/>
        <w:t>the</w:t>
      </w:r>
      <w:r>
        <w:rPr>
          <w:spacing w:val="-4"/>
        </w:rPr>
        <w:t> </w:t>
      </w:r>
      <w:r>
        <w:rPr/>
        <w:t>City</w:t>
      </w:r>
      <w:r>
        <w:rPr>
          <w:spacing w:val="-5"/>
        </w:rPr>
        <w:t> </w:t>
      </w:r>
      <w:r>
        <w:rPr/>
        <w:t>has</w:t>
      </w:r>
      <w:r>
        <w:rPr>
          <w:spacing w:val="-2"/>
        </w:rPr>
        <w:t> </w:t>
      </w:r>
      <w:r>
        <w:rPr/>
        <w:t>a</w:t>
      </w:r>
      <w:r>
        <w:rPr>
          <w:spacing w:val="-4"/>
        </w:rPr>
        <w:t> </w:t>
      </w:r>
      <w:r>
        <w:rPr/>
        <w:t>total</w:t>
      </w:r>
      <w:r>
        <w:rPr>
          <w:spacing w:val="-4"/>
        </w:rPr>
        <w:t> </w:t>
      </w:r>
      <w:r>
        <w:rPr/>
        <w:t>available</w:t>
      </w:r>
      <w:r>
        <w:rPr>
          <w:spacing w:val="-4"/>
        </w:rPr>
        <w:t> </w:t>
      </w:r>
      <w:r>
        <w:rPr/>
        <w:t>water right of 34,948 acre-feet per year and 43,786 gpm for instantaneous flow. This total available water right</w:t>
      </w:r>
      <w:r>
        <w:rPr>
          <w:spacing w:val="-12"/>
        </w:rPr>
        <w:t> </w:t>
      </w:r>
      <w:r>
        <w:rPr/>
        <w:t>covers</w:t>
      </w:r>
      <w:r>
        <w:rPr>
          <w:spacing w:val="-9"/>
        </w:rPr>
        <w:t> </w:t>
      </w:r>
      <w:r>
        <w:rPr/>
        <w:t>to</w:t>
      </w:r>
      <w:r>
        <w:rPr>
          <w:spacing w:val="-11"/>
        </w:rPr>
        <w:t> </w:t>
      </w:r>
      <w:r>
        <w:rPr/>
        <w:t>a</w:t>
      </w:r>
      <w:r>
        <w:rPr>
          <w:spacing w:val="-10"/>
        </w:rPr>
        <w:t> </w:t>
      </w:r>
      <w:r>
        <w:rPr/>
        <w:t>Maximum</w:t>
      </w:r>
      <w:r>
        <w:rPr>
          <w:spacing w:val="-10"/>
        </w:rPr>
        <w:t> </w:t>
      </w:r>
      <w:r>
        <w:rPr/>
        <w:t>Day</w:t>
      </w:r>
      <w:r>
        <w:rPr>
          <w:spacing w:val="-11"/>
        </w:rPr>
        <w:t> </w:t>
      </w:r>
      <w:r>
        <w:rPr/>
        <w:t>Demand</w:t>
      </w:r>
      <w:r>
        <w:rPr>
          <w:spacing w:val="-12"/>
        </w:rPr>
        <w:t> </w:t>
      </w:r>
      <w:r>
        <w:rPr/>
        <w:t>(MDD)</w:t>
      </w:r>
      <w:r>
        <w:rPr>
          <w:spacing w:val="-11"/>
        </w:rPr>
        <w:t> </w:t>
      </w:r>
      <w:r>
        <w:rPr/>
        <w:t>of</w:t>
      </w:r>
      <w:r>
        <w:rPr>
          <w:spacing w:val="-13"/>
        </w:rPr>
        <w:t> </w:t>
      </w:r>
      <w:r>
        <w:rPr/>
        <w:t>63.0</w:t>
      </w:r>
      <w:r>
        <w:rPr>
          <w:spacing w:val="-11"/>
        </w:rPr>
        <w:t> </w:t>
      </w:r>
      <w:r>
        <w:rPr/>
        <w:t>MGD.</w:t>
      </w:r>
      <w:r>
        <w:rPr>
          <w:spacing w:val="-13"/>
        </w:rPr>
        <w:t> </w:t>
      </w:r>
      <w:r>
        <w:rPr/>
        <w:t>The</w:t>
      </w:r>
      <w:r>
        <w:rPr>
          <w:spacing w:val="-11"/>
        </w:rPr>
        <w:t> </w:t>
      </w:r>
      <w:r>
        <w:rPr/>
        <w:t>2015</w:t>
      </w:r>
      <w:r>
        <w:rPr>
          <w:spacing w:val="-10"/>
        </w:rPr>
        <w:t> </w:t>
      </w:r>
      <w:r>
        <w:rPr/>
        <w:t>population-based</w:t>
      </w:r>
      <w:r>
        <w:rPr>
          <w:spacing w:val="-11"/>
        </w:rPr>
        <w:t> </w:t>
      </w:r>
      <w:r>
        <w:rPr/>
        <w:t>MDD</w:t>
      </w:r>
      <w:r>
        <w:rPr>
          <w:spacing w:val="-14"/>
        </w:rPr>
        <w:t> </w:t>
      </w:r>
      <w:r>
        <w:rPr/>
        <w:t>is</w:t>
      </w:r>
      <w:r>
        <w:rPr>
          <w:spacing w:val="-9"/>
        </w:rPr>
        <w:t> </w:t>
      </w:r>
      <w:r>
        <w:rPr/>
        <w:t>38.4 MGD. The WSP projects that MDD will be 55 MGD in 2035. Therefore, the City appears to have adequate water rights for future</w:t>
      </w:r>
      <w:r>
        <w:rPr>
          <w:spacing w:val="-9"/>
        </w:rPr>
        <w:t> </w:t>
      </w:r>
      <w:r>
        <w:rPr/>
        <w:t>growth.</w:t>
      </w:r>
    </w:p>
    <w:p>
      <w:pPr>
        <w:pStyle w:val="BodyText"/>
        <w:spacing w:before="119"/>
        <w:ind w:left="120" w:right="234"/>
        <w:jc w:val="both"/>
      </w:pPr>
      <w:r>
        <w:rPr/>
        <w:t>The City’s potable water sources include a wellfield and the Columbia River Water Treatment Plant (WTP).</w:t>
      </w:r>
      <w:r>
        <w:rPr>
          <w:spacing w:val="-10"/>
        </w:rPr>
        <w:t> </w:t>
      </w:r>
      <w:r>
        <w:rPr/>
        <w:t>The</w:t>
      </w:r>
      <w:r>
        <w:rPr>
          <w:spacing w:val="-8"/>
        </w:rPr>
        <w:t> </w:t>
      </w:r>
      <w:r>
        <w:rPr/>
        <w:t>wellfield</w:t>
      </w:r>
      <w:r>
        <w:rPr>
          <w:spacing w:val="-8"/>
        </w:rPr>
        <w:t> </w:t>
      </w:r>
      <w:r>
        <w:rPr/>
        <w:t>has</w:t>
      </w:r>
      <w:r>
        <w:rPr>
          <w:spacing w:val="-7"/>
        </w:rPr>
        <w:t> </w:t>
      </w:r>
      <w:r>
        <w:rPr/>
        <w:t>a</w:t>
      </w:r>
      <w:r>
        <w:rPr>
          <w:spacing w:val="-10"/>
        </w:rPr>
        <w:t> </w:t>
      </w:r>
      <w:r>
        <w:rPr/>
        <w:t>total</w:t>
      </w:r>
      <w:r>
        <w:rPr>
          <w:spacing w:val="-7"/>
        </w:rPr>
        <w:t> </w:t>
      </w:r>
      <w:r>
        <w:rPr/>
        <w:t>capacity</w:t>
      </w:r>
      <w:r>
        <w:rPr>
          <w:spacing w:val="-9"/>
        </w:rPr>
        <w:t> </w:t>
      </w:r>
      <w:r>
        <w:rPr/>
        <w:t>of</w:t>
      </w:r>
      <w:r>
        <w:rPr>
          <w:spacing w:val="-8"/>
        </w:rPr>
        <w:t> </w:t>
      </w:r>
      <w:r>
        <w:rPr/>
        <w:t>15</w:t>
      </w:r>
      <w:r>
        <w:rPr>
          <w:spacing w:val="-8"/>
        </w:rPr>
        <w:t> </w:t>
      </w:r>
      <w:r>
        <w:rPr/>
        <w:t>MGD</w:t>
      </w:r>
      <w:r>
        <w:rPr>
          <w:spacing w:val="-10"/>
        </w:rPr>
        <w:t> </w:t>
      </w:r>
      <w:r>
        <w:rPr/>
        <w:t>while</w:t>
      </w:r>
      <w:r>
        <w:rPr>
          <w:spacing w:val="-7"/>
        </w:rPr>
        <w:t> </w:t>
      </w:r>
      <w:r>
        <w:rPr/>
        <w:t>the</w:t>
      </w:r>
      <w:r>
        <w:rPr>
          <w:spacing w:val="-8"/>
        </w:rPr>
        <w:t> </w:t>
      </w:r>
      <w:r>
        <w:rPr/>
        <w:t>WTP</w:t>
      </w:r>
      <w:r>
        <w:rPr>
          <w:spacing w:val="-9"/>
        </w:rPr>
        <w:t> </w:t>
      </w:r>
      <w:r>
        <w:rPr/>
        <w:t>has</w:t>
      </w:r>
      <w:r>
        <w:rPr>
          <w:spacing w:val="-7"/>
        </w:rPr>
        <w:t> </w:t>
      </w:r>
      <w:r>
        <w:rPr/>
        <w:t>a</w:t>
      </w:r>
      <w:r>
        <w:rPr>
          <w:spacing w:val="-8"/>
        </w:rPr>
        <w:t> </w:t>
      </w:r>
      <w:r>
        <w:rPr/>
        <w:t>capacity</w:t>
      </w:r>
      <w:r>
        <w:rPr>
          <w:spacing w:val="-8"/>
        </w:rPr>
        <w:t> </w:t>
      </w:r>
      <w:r>
        <w:rPr/>
        <w:t>of</w:t>
      </w:r>
      <w:r>
        <w:rPr>
          <w:spacing w:val="-8"/>
        </w:rPr>
        <w:t> </w:t>
      </w:r>
      <w:r>
        <w:rPr/>
        <w:t>36</w:t>
      </w:r>
      <w:r>
        <w:rPr>
          <w:spacing w:val="-8"/>
        </w:rPr>
        <w:t> </w:t>
      </w:r>
      <w:r>
        <w:rPr/>
        <w:t>MGD.</w:t>
      </w:r>
      <w:r>
        <w:rPr>
          <w:spacing w:val="-8"/>
        </w:rPr>
        <w:t> </w:t>
      </w:r>
      <w:r>
        <w:rPr/>
        <w:t>The</w:t>
      </w:r>
      <w:r>
        <w:rPr>
          <w:spacing w:val="-8"/>
        </w:rPr>
        <w:t> </w:t>
      </w:r>
      <w:r>
        <w:rPr/>
        <w:t>City maintains the quality and quantity of groundwater used for public water supplies through Best Management Practices in the wellfield and the Water Treatment Plant. Water supplied to the City of Richland is of high quality, meeting federal and state drinking water</w:t>
      </w:r>
      <w:r>
        <w:rPr>
          <w:spacing w:val="-15"/>
        </w:rPr>
        <w:t> </w:t>
      </w:r>
      <w:r>
        <w:rPr/>
        <w:t>standards.</w:t>
      </w:r>
    </w:p>
    <w:p>
      <w:pPr>
        <w:pStyle w:val="BodyText"/>
        <w:spacing w:before="122"/>
        <w:ind w:left="120"/>
        <w:jc w:val="both"/>
      </w:pPr>
      <w:r>
        <w:rPr/>
        <w:t>The locations of the sources of supply as well as the distribution system are shown in Figure U-3.</w:t>
      </w:r>
    </w:p>
    <w:p>
      <w:pPr>
        <w:spacing w:before="200"/>
        <w:ind w:left="120" w:right="0" w:firstLine="0"/>
        <w:jc w:val="both"/>
        <w:rPr>
          <w:b/>
          <w:sz w:val="22"/>
        </w:rPr>
      </w:pPr>
      <w:bookmarkStart w:name="Distribution System" w:id="186"/>
      <w:bookmarkEnd w:id="186"/>
      <w:r>
        <w:rPr/>
      </w:r>
      <w:r>
        <w:rPr>
          <w:b/>
          <w:color w:val="C0504D"/>
          <w:sz w:val="22"/>
        </w:rPr>
        <w:t>Distribution System</w:t>
      </w:r>
    </w:p>
    <w:p>
      <w:pPr>
        <w:pStyle w:val="BodyText"/>
        <w:spacing w:before="119"/>
        <w:ind w:left="120" w:right="234"/>
        <w:jc w:val="both"/>
      </w:pPr>
      <w:r>
        <w:rPr/>
        <w:t>The City has approximately 340 miles of pipeline in the water distribution system ranging in size from</w:t>
      </w:r>
      <w:r>
        <w:rPr>
          <w:spacing w:val="-7"/>
        </w:rPr>
        <w:t> </w:t>
      </w:r>
      <w:r>
        <w:rPr/>
        <w:t>two</w:t>
      </w:r>
      <w:r>
        <w:rPr>
          <w:spacing w:val="-6"/>
        </w:rPr>
        <w:t> </w:t>
      </w:r>
      <w:r>
        <w:rPr/>
        <w:t>inches</w:t>
      </w:r>
      <w:r>
        <w:rPr>
          <w:spacing w:val="-9"/>
        </w:rPr>
        <w:t> </w:t>
      </w:r>
      <w:r>
        <w:rPr/>
        <w:t>in</w:t>
      </w:r>
      <w:r>
        <w:rPr>
          <w:spacing w:val="-8"/>
        </w:rPr>
        <w:t> </w:t>
      </w:r>
      <w:r>
        <w:rPr/>
        <w:t>diameter</w:t>
      </w:r>
      <w:r>
        <w:rPr>
          <w:spacing w:val="-8"/>
        </w:rPr>
        <w:t> </w:t>
      </w:r>
      <w:r>
        <w:rPr/>
        <w:t>to</w:t>
      </w:r>
      <w:r>
        <w:rPr>
          <w:spacing w:val="-6"/>
        </w:rPr>
        <w:t> </w:t>
      </w:r>
      <w:r>
        <w:rPr/>
        <w:t>36</w:t>
      </w:r>
      <w:r>
        <w:rPr>
          <w:spacing w:val="-9"/>
        </w:rPr>
        <w:t> </w:t>
      </w:r>
      <w:r>
        <w:rPr/>
        <w:t>inches</w:t>
      </w:r>
      <w:r>
        <w:rPr>
          <w:spacing w:val="-7"/>
        </w:rPr>
        <w:t> </w:t>
      </w:r>
      <w:r>
        <w:rPr/>
        <w:t>in</w:t>
      </w:r>
      <w:r>
        <w:rPr>
          <w:spacing w:val="-8"/>
        </w:rPr>
        <w:t> </w:t>
      </w:r>
      <w:r>
        <w:rPr/>
        <w:t>diameter.</w:t>
      </w:r>
      <w:r>
        <w:rPr>
          <w:spacing w:val="-7"/>
        </w:rPr>
        <w:t> </w:t>
      </w:r>
      <w:r>
        <w:rPr/>
        <w:t>There</w:t>
      </w:r>
      <w:r>
        <w:rPr>
          <w:spacing w:val="-6"/>
        </w:rPr>
        <w:t> </w:t>
      </w:r>
      <w:r>
        <w:rPr/>
        <w:t>are</w:t>
      </w:r>
      <w:r>
        <w:rPr>
          <w:spacing w:val="-7"/>
        </w:rPr>
        <w:t> </w:t>
      </w:r>
      <w:r>
        <w:rPr/>
        <w:t>ten</w:t>
      </w:r>
      <w:r>
        <w:rPr>
          <w:spacing w:val="-10"/>
        </w:rPr>
        <w:t> </w:t>
      </w:r>
      <w:r>
        <w:rPr/>
        <w:t>storage</w:t>
      </w:r>
      <w:r>
        <w:rPr>
          <w:spacing w:val="-9"/>
        </w:rPr>
        <w:t> </w:t>
      </w:r>
      <w:r>
        <w:rPr/>
        <w:t>facility</w:t>
      </w:r>
      <w:r>
        <w:rPr>
          <w:spacing w:val="-9"/>
        </w:rPr>
        <w:t> </w:t>
      </w:r>
      <w:r>
        <w:rPr/>
        <w:t>sites</w:t>
      </w:r>
      <w:r>
        <w:rPr>
          <w:spacing w:val="-5"/>
        </w:rPr>
        <w:t> </w:t>
      </w:r>
      <w:r>
        <w:rPr/>
        <w:t>that</w:t>
      </w:r>
      <w:r>
        <w:rPr>
          <w:spacing w:val="-8"/>
        </w:rPr>
        <w:t> </w:t>
      </w:r>
      <w:r>
        <w:rPr/>
        <w:t>provide</w:t>
      </w:r>
    </w:p>
    <w:p>
      <w:pPr>
        <w:spacing w:after="0"/>
        <w:jc w:val="both"/>
        <w:sectPr>
          <w:pgSz w:w="12240" w:h="15840"/>
          <w:pgMar w:header="0" w:footer="1052" w:top="1420" w:bottom="1320" w:left="1320" w:right="1200"/>
        </w:sectPr>
      </w:pPr>
    </w:p>
    <w:p>
      <w:pPr>
        <w:pStyle w:val="BodyText"/>
        <w:spacing w:before="80"/>
        <w:ind w:left="120" w:right="233"/>
        <w:jc w:val="both"/>
      </w:pPr>
      <w:r>
        <w:rPr/>
        <w:t>approximately 22 million gallons of storage and ten booster pumping stations that provide direct water storage to seven pressure zones within the City.</w:t>
      </w:r>
    </w:p>
    <w:p>
      <w:pPr>
        <w:pStyle w:val="BodyText"/>
        <w:spacing w:before="120"/>
        <w:ind w:left="120"/>
        <w:jc w:val="both"/>
      </w:pPr>
      <w:r>
        <w:rPr/>
        <w:t>The water system characteristics are summarized in Table U-6.</w:t>
      </w:r>
    </w:p>
    <w:p>
      <w:pPr>
        <w:spacing w:before="118"/>
        <w:ind w:left="120" w:right="0" w:firstLine="0"/>
        <w:jc w:val="both"/>
        <w:rPr>
          <w:rFonts w:ascii="Arial"/>
          <w:b/>
          <w:sz w:val="20"/>
        </w:rPr>
      </w:pPr>
      <w:r>
        <w:rPr>
          <w:rFonts w:ascii="Arial"/>
          <w:b/>
          <w:sz w:val="20"/>
        </w:rPr>
        <w:t>Table U-6: Water System Characteristics</w:t>
      </w:r>
    </w:p>
    <w:p>
      <w:pPr>
        <w:pStyle w:val="BodyText"/>
        <w:spacing w:before="6"/>
        <w:rPr>
          <w:rFonts w:ascii="Arial"/>
          <w:b/>
          <w:sz w:val="10"/>
        </w:rPr>
      </w:pPr>
    </w:p>
    <w:tbl>
      <w:tblPr>
        <w:tblW w:w="0" w:type="auto"/>
        <w:jc w:val="left"/>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58"/>
        <w:gridCol w:w="2691"/>
      </w:tblGrid>
      <w:tr>
        <w:trPr>
          <w:trHeight w:val="378" w:hRule="atLeast"/>
        </w:trPr>
        <w:tc>
          <w:tcPr>
            <w:tcW w:w="5458" w:type="dxa"/>
          </w:tcPr>
          <w:p>
            <w:pPr>
              <w:pStyle w:val="TableParagraph"/>
              <w:spacing w:line="239" w:lineRule="exact" w:before="119"/>
              <w:ind w:left="4"/>
              <w:rPr>
                <w:sz w:val="22"/>
              </w:rPr>
            </w:pPr>
            <w:r>
              <w:rPr>
                <w:sz w:val="22"/>
              </w:rPr>
              <w:t>Average Annual Supply</w:t>
            </w:r>
          </w:p>
        </w:tc>
        <w:tc>
          <w:tcPr>
            <w:tcW w:w="2691" w:type="dxa"/>
          </w:tcPr>
          <w:p>
            <w:pPr>
              <w:pStyle w:val="TableParagraph"/>
              <w:spacing w:line="239" w:lineRule="exact" w:before="119"/>
              <w:rPr>
                <w:sz w:val="22"/>
              </w:rPr>
            </w:pPr>
            <w:r>
              <w:rPr>
                <w:sz w:val="22"/>
              </w:rPr>
              <w:t>6.2 billion gallons</w:t>
            </w:r>
          </w:p>
        </w:tc>
      </w:tr>
      <w:tr>
        <w:trPr>
          <w:trHeight w:val="376" w:hRule="atLeast"/>
        </w:trPr>
        <w:tc>
          <w:tcPr>
            <w:tcW w:w="5458" w:type="dxa"/>
          </w:tcPr>
          <w:p>
            <w:pPr>
              <w:pStyle w:val="TableParagraph"/>
              <w:spacing w:line="237" w:lineRule="exact" w:before="119"/>
              <w:ind w:left="4"/>
              <w:rPr>
                <w:sz w:val="22"/>
              </w:rPr>
            </w:pPr>
            <w:r>
              <w:rPr>
                <w:sz w:val="22"/>
              </w:rPr>
              <w:t>Residential Population</w:t>
            </w:r>
          </w:p>
        </w:tc>
        <w:tc>
          <w:tcPr>
            <w:tcW w:w="2691" w:type="dxa"/>
          </w:tcPr>
          <w:p>
            <w:pPr>
              <w:pStyle w:val="TableParagraph"/>
              <w:spacing w:line="237" w:lineRule="exact" w:before="119"/>
              <w:rPr>
                <w:sz w:val="22"/>
              </w:rPr>
            </w:pPr>
            <w:r>
              <w:rPr>
                <w:sz w:val="22"/>
              </w:rPr>
              <w:t>54,466 (2016)</w:t>
            </w:r>
          </w:p>
        </w:tc>
      </w:tr>
    </w:tbl>
    <w:p>
      <w:pPr>
        <w:spacing w:before="59"/>
        <w:ind w:left="232" w:right="0" w:firstLine="0"/>
        <w:jc w:val="both"/>
        <w:rPr>
          <w:i/>
          <w:sz w:val="20"/>
        </w:rPr>
      </w:pPr>
      <w:bookmarkStart w:name="LEVEL OF SERVICE" w:id="187"/>
      <w:bookmarkEnd w:id="187"/>
      <w:r>
        <w:rPr/>
      </w:r>
      <w:r>
        <w:rPr>
          <w:i/>
          <w:sz w:val="20"/>
        </w:rPr>
        <w:t>Source: City of Richland Water System Plan, 2016</w:t>
      </w:r>
    </w:p>
    <w:p>
      <w:pPr>
        <w:pStyle w:val="BodyText"/>
        <w:spacing w:before="3"/>
        <w:rPr>
          <w:i/>
          <w:sz w:val="17"/>
        </w:rPr>
      </w:pPr>
    </w:p>
    <w:p>
      <w:pPr>
        <w:spacing w:before="1"/>
        <w:ind w:left="120" w:right="0" w:firstLine="0"/>
        <w:jc w:val="both"/>
        <w:rPr>
          <w:b/>
          <w:sz w:val="24"/>
        </w:rPr>
      </w:pPr>
      <w:r>
        <w:rPr>
          <w:b/>
          <w:sz w:val="24"/>
        </w:rPr>
        <w:t>LEVEL OF SERVICE</w:t>
      </w:r>
    </w:p>
    <w:p>
      <w:pPr>
        <w:pStyle w:val="BodyText"/>
        <w:spacing w:before="119"/>
        <w:ind w:left="120" w:right="234"/>
        <w:jc w:val="both"/>
      </w:pPr>
      <w:r>
        <w:rPr/>
        <w:t>The service area for the City of Richland water system matches the UGA. The City’s 2016 Water System Plan addresses proposed future system improvements based upon current land uses within the UGA.</w:t>
      </w:r>
    </w:p>
    <w:p>
      <w:pPr>
        <w:pStyle w:val="BodyText"/>
        <w:spacing w:before="119"/>
        <w:ind w:left="119" w:right="235"/>
        <w:jc w:val="both"/>
      </w:pPr>
      <w:r>
        <w:rPr/>
        <w:t>Current LOS standards for elements of the water system facilities, contained in the 2016 Plan, are listed</w:t>
      </w:r>
      <w:r>
        <w:rPr>
          <w:spacing w:val="-12"/>
        </w:rPr>
        <w:t> </w:t>
      </w:r>
      <w:r>
        <w:rPr/>
        <w:t>in</w:t>
      </w:r>
      <w:r>
        <w:rPr>
          <w:spacing w:val="-11"/>
        </w:rPr>
        <w:t> </w:t>
      </w:r>
      <w:r>
        <w:rPr/>
        <w:t>Table</w:t>
      </w:r>
      <w:r>
        <w:rPr>
          <w:spacing w:val="-11"/>
        </w:rPr>
        <w:t> </w:t>
      </w:r>
      <w:r>
        <w:rPr/>
        <w:t>U-7.</w:t>
      </w:r>
      <w:r>
        <w:rPr>
          <w:spacing w:val="-10"/>
        </w:rPr>
        <w:t> </w:t>
      </w:r>
      <w:r>
        <w:rPr/>
        <w:t>Improvements</w:t>
      </w:r>
      <w:r>
        <w:rPr>
          <w:spacing w:val="-9"/>
        </w:rPr>
        <w:t> </w:t>
      </w:r>
      <w:r>
        <w:rPr/>
        <w:t>recommended</w:t>
      </w:r>
      <w:r>
        <w:rPr>
          <w:spacing w:val="-12"/>
        </w:rPr>
        <w:t> </w:t>
      </w:r>
      <w:r>
        <w:rPr/>
        <w:t>in</w:t>
      </w:r>
      <w:r>
        <w:rPr>
          <w:spacing w:val="-14"/>
        </w:rPr>
        <w:t> </w:t>
      </w:r>
      <w:r>
        <w:rPr/>
        <w:t>the</w:t>
      </w:r>
      <w:r>
        <w:rPr>
          <w:spacing w:val="-10"/>
        </w:rPr>
        <w:t> </w:t>
      </w:r>
      <w:r>
        <w:rPr/>
        <w:t>City</w:t>
      </w:r>
      <w:r>
        <w:rPr>
          <w:spacing w:val="-12"/>
        </w:rPr>
        <w:t> </w:t>
      </w:r>
      <w:r>
        <w:rPr/>
        <w:t>of</w:t>
      </w:r>
      <w:r>
        <w:rPr>
          <w:spacing w:val="-10"/>
        </w:rPr>
        <w:t> </w:t>
      </w:r>
      <w:r>
        <w:rPr/>
        <w:t>Richland</w:t>
      </w:r>
      <w:r>
        <w:rPr>
          <w:spacing w:val="-11"/>
        </w:rPr>
        <w:t> </w:t>
      </w:r>
      <w:r>
        <w:rPr/>
        <w:t>Comprehensive</w:t>
      </w:r>
      <w:r>
        <w:rPr>
          <w:spacing w:val="-11"/>
        </w:rPr>
        <w:t> </w:t>
      </w:r>
      <w:r>
        <w:rPr/>
        <w:t>Plan</w:t>
      </w:r>
      <w:r>
        <w:rPr>
          <w:spacing w:val="-11"/>
        </w:rPr>
        <w:t> </w:t>
      </w:r>
      <w:r>
        <w:rPr/>
        <w:t>Utilities Element are aimed at maintaining these guideline LOS</w:t>
      </w:r>
      <w:r>
        <w:rPr>
          <w:spacing w:val="-8"/>
        </w:rPr>
        <w:t> </w:t>
      </w:r>
      <w:r>
        <w:rPr/>
        <w:t>standards.</w:t>
      </w:r>
    </w:p>
    <w:p>
      <w:pPr>
        <w:spacing w:before="121"/>
        <w:ind w:left="120" w:right="0" w:firstLine="0"/>
        <w:jc w:val="both"/>
        <w:rPr>
          <w:rFonts w:ascii="Arial"/>
          <w:b/>
          <w:sz w:val="20"/>
        </w:rPr>
      </w:pPr>
      <w:r>
        <w:rPr>
          <w:rFonts w:ascii="Arial"/>
          <w:b/>
          <w:sz w:val="20"/>
        </w:rPr>
        <w:t>Table U-7: Water Guideline LOS Standards</w:t>
      </w:r>
    </w:p>
    <w:p>
      <w:pPr>
        <w:pStyle w:val="BodyText"/>
        <w:spacing w:before="6"/>
        <w:rPr>
          <w:rFonts w:ascii="Arial"/>
          <w:b/>
          <w:sz w:val="10"/>
        </w:rPr>
      </w:pPr>
    </w:p>
    <w:tbl>
      <w:tblPr>
        <w:tblW w:w="0" w:type="auto"/>
        <w:jc w:val="left"/>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763"/>
        <w:gridCol w:w="2649"/>
      </w:tblGrid>
      <w:tr>
        <w:trPr>
          <w:trHeight w:val="402" w:hRule="atLeast"/>
        </w:trPr>
        <w:tc>
          <w:tcPr>
            <w:tcW w:w="3763" w:type="dxa"/>
            <w:shd w:val="clear" w:color="auto" w:fill="A1CAEB"/>
          </w:tcPr>
          <w:p>
            <w:pPr>
              <w:pStyle w:val="TableParagraph"/>
              <w:spacing w:before="119"/>
              <w:ind w:left="4"/>
              <w:rPr>
                <w:b/>
                <w:sz w:val="22"/>
              </w:rPr>
            </w:pPr>
            <w:r>
              <w:rPr>
                <w:b/>
                <w:sz w:val="22"/>
              </w:rPr>
              <w:t>Element</w:t>
            </w:r>
          </w:p>
        </w:tc>
        <w:tc>
          <w:tcPr>
            <w:tcW w:w="2649" w:type="dxa"/>
            <w:shd w:val="clear" w:color="auto" w:fill="A1CAEB"/>
          </w:tcPr>
          <w:p>
            <w:pPr>
              <w:pStyle w:val="TableParagraph"/>
              <w:spacing w:before="119"/>
              <w:ind w:left="108"/>
              <w:rPr>
                <w:b/>
                <w:sz w:val="22"/>
              </w:rPr>
            </w:pPr>
            <w:r>
              <w:rPr>
                <w:b/>
                <w:sz w:val="22"/>
              </w:rPr>
              <w:t>LOS Standard</w:t>
            </w:r>
          </w:p>
        </w:tc>
      </w:tr>
      <w:tr>
        <w:trPr>
          <w:trHeight w:val="378" w:hRule="atLeast"/>
        </w:trPr>
        <w:tc>
          <w:tcPr>
            <w:tcW w:w="3763" w:type="dxa"/>
          </w:tcPr>
          <w:p>
            <w:pPr>
              <w:pStyle w:val="TableParagraph"/>
              <w:spacing w:line="239" w:lineRule="exact" w:before="119"/>
              <w:ind w:left="4"/>
              <w:rPr>
                <w:sz w:val="14"/>
              </w:rPr>
            </w:pPr>
            <w:r>
              <w:rPr>
                <w:sz w:val="22"/>
              </w:rPr>
              <w:t>Demand per ERU</w:t>
            </w:r>
            <w:r>
              <w:rPr>
                <w:position w:val="5"/>
                <w:sz w:val="14"/>
              </w:rPr>
              <w:t>a</w:t>
            </w:r>
          </w:p>
        </w:tc>
        <w:tc>
          <w:tcPr>
            <w:tcW w:w="2649" w:type="dxa"/>
          </w:tcPr>
          <w:p>
            <w:pPr>
              <w:pStyle w:val="TableParagraph"/>
              <w:spacing w:line="239" w:lineRule="exact" w:before="119"/>
              <w:ind w:left="108"/>
              <w:rPr>
                <w:sz w:val="22"/>
              </w:rPr>
            </w:pPr>
            <w:r>
              <w:rPr>
                <w:sz w:val="22"/>
              </w:rPr>
              <w:t>1,032 gallons per day</w:t>
            </w:r>
          </w:p>
        </w:tc>
      </w:tr>
      <w:tr>
        <w:trPr>
          <w:trHeight w:val="376" w:hRule="atLeast"/>
        </w:trPr>
        <w:tc>
          <w:tcPr>
            <w:tcW w:w="3763" w:type="dxa"/>
          </w:tcPr>
          <w:p>
            <w:pPr>
              <w:pStyle w:val="TableParagraph"/>
              <w:spacing w:line="237" w:lineRule="exact" w:before="119"/>
              <w:ind w:left="4"/>
              <w:rPr>
                <w:sz w:val="14"/>
              </w:rPr>
            </w:pPr>
            <w:r>
              <w:rPr>
                <w:sz w:val="22"/>
              </w:rPr>
              <w:t>Demand per ERU</w:t>
            </w:r>
            <w:r>
              <w:rPr>
                <w:position w:val="5"/>
                <w:sz w:val="14"/>
              </w:rPr>
              <w:t>b</w:t>
            </w:r>
          </w:p>
        </w:tc>
        <w:tc>
          <w:tcPr>
            <w:tcW w:w="2649" w:type="dxa"/>
          </w:tcPr>
          <w:p>
            <w:pPr>
              <w:pStyle w:val="TableParagraph"/>
              <w:spacing w:line="237" w:lineRule="exact" w:before="119"/>
              <w:ind w:left="108"/>
              <w:rPr>
                <w:sz w:val="22"/>
              </w:rPr>
            </w:pPr>
            <w:r>
              <w:rPr>
                <w:sz w:val="22"/>
              </w:rPr>
              <w:t>181 gallons per day</w:t>
            </w:r>
          </w:p>
        </w:tc>
      </w:tr>
      <w:tr>
        <w:trPr>
          <w:trHeight w:val="378" w:hRule="atLeast"/>
        </w:trPr>
        <w:tc>
          <w:tcPr>
            <w:tcW w:w="3763" w:type="dxa"/>
          </w:tcPr>
          <w:p>
            <w:pPr>
              <w:pStyle w:val="TableParagraph"/>
              <w:spacing w:line="239" w:lineRule="exact" w:before="119"/>
              <w:ind w:left="4"/>
              <w:rPr>
                <w:sz w:val="22"/>
              </w:rPr>
            </w:pPr>
            <w:r>
              <w:rPr>
                <w:sz w:val="22"/>
              </w:rPr>
              <w:t>MDD</w:t>
            </w:r>
            <w:r>
              <w:rPr>
                <w:position w:val="5"/>
                <w:sz w:val="14"/>
              </w:rPr>
              <w:t>c</w:t>
            </w:r>
            <w:r>
              <w:rPr>
                <w:sz w:val="22"/>
              </w:rPr>
              <w:t>/ADD</w:t>
            </w:r>
            <w:r>
              <w:rPr>
                <w:position w:val="5"/>
                <w:sz w:val="14"/>
              </w:rPr>
              <w:t>d </w:t>
            </w:r>
            <w:r>
              <w:rPr>
                <w:sz w:val="22"/>
              </w:rPr>
              <w:t>Factor</w:t>
            </w:r>
          </w:p>
        </w:tc>
        <w:tc>
          <w:tcPr>
            <w:tcW w:w="2649" w:type="dxa"/>
          </w:tcPr>
          <w:p>
            <w:pPr>
              <w:pStyle w:val="TableParagraph"/>
              <w:spacing w:line="239" w:lineRule="exact" w:before="119"/>
              <w:ind w:left="108"/>
              <w:rPr>
                <w:sz w:val="22"/>
              </w:rPr>
            </w:pPr>
            <w:r>
              <w:rPr>
                <w:sz w:val="22"/>
              </w:rPr>
              <w:t>2.33</w:t>
            </w:r>
          </w:p>
        </w:tc>
      </w:tr>
      <w:tr>
        <w:trPr>
          <w:trHeight w:val="376" w:hRule="atLeast"/>
        </w:trPr>
        <w:tc>
          <w:tcPr>
            <w:tcW w:w="3763" w:type="dxa"/>
          </w:tcPr>
          <w:p>
            <w:pPr>
              <w:pStyle w:val="TableParagraph"/>
              <w:spacing w:line="237" w:lineRule="exact" w:before="119"/>
              <w:ind w:left="4"/>
              <w:rPr>
                <w:sz w:val="22"/>
              </w:rPr>
            </w:pPr>
            <w:r>
              <w:rPr>
                <w:sz w:val="22"/>
              </w:rPr>
              <w:t>PHD</w:t>
            </w:r>
            <w:r>
              <w:rPr>
                <w:position w:val="5"/>
                <w:sz w:val="14"/>
              </w:rPr>
              <w:t>d</w:t>
            </w:r>
            <w:r>
              <w:rPr>
                <w:sz w:val="22"/>
              </w:rPr>
              <w:t>/MDD Factor</w:t>
            </w:r>
          </w:p>
        </w:tc>
        <w:tc>
          <w:tcPr>
            <w:tcW w:w="2649" w:type="dxa"/>
          </w:tcPr>
          <w:p>
            <w:pPr>
              <w:pStyle w:val="TableParagraph"/>
              <w:spacing w:line="237" w:lineRule="exact" w:before="119"/>
              <w:ind w:left="108"/>
              <w:rPr>
                <w:sz w:val="22"/>
              </w:rPr>
            </w:pPr>
            <w:r>
              <w:rPr>
                <w:sz w:val="22"/>
              </w:rPr>
              <w:t>1.32</w:t>
            </w:r>
          </w:p>
        </w:tc>
      </w:tr>
      <w:tr>
        <w:trPr>
          <w:trHeight w:val="378" w:hRule="atLeast"/>
        </w:trPr>
        <w:tc>
          <w:tcPr>
            <w:tcW w:w="3763" w:type="dxa"/>
          </w:tcPr>
          <w:p>
            <w:pPr>
              <w:pStyle w:val="TableParagraph"/>
              <w:spacing w:line="237" w:lineRule="exact" w:before="122"/>
              <w:ind w:left="4"/>
              <w:rPr>
                <w:sz w:val="22"/>
              </w:rPr>
            </w:pPr>
            <w:r>
              <w:rPr>
                <w:sz w:val="22"/>
              </w:rPr>
              <w:t>Service Pressure</w:t>
            </w:r>
          </w:p>
        </w:tc>
        <w:tc>
          <w:tcPr>
            <w:tcW w:w="2649" w:type="dxa"/>
          </w:tcPr>
          <w:p>
            <w:pPr>
              <w:pStyle w:val="TableParagraph"/>
              <w:spacing w:line="237" w:lineRule="exact" w:before="122"/>
              <w:ind w:left="108"/>
              <w:rPr>
                <w:sz w:val="22"/>
              </w:rPr>
            </w:pPr>
            <w:r>
              <w:rPr>
                <w:sz w:val="22"/>
              </w:rPr>
              <w:t>40 – 80 psi</w:t>
            </w:r>
          </w:p>
        </w:tc>
      </w:tr>
    </w:tbl>
    <w:p>
      <w:pPr>
        <w:pStyle w:val="ListParagraph"/>
        <w:numPr>
          <w:ilvl w:val="0"/>
          <w:numId w:val="9"/>
        </w:numPr>
        <w:tabs>
          <w:tab w:pos="310" w:val="left" w:leader="none"/>
        </w:tabs>
        <w:spacing w:line="240" w:lineRule="auto" w:before="59" w:after="0"/>
        <w:ind w:left="309" w:right="0" w:hanging="190"/>
        <w:jc w:val="left"/>
        <w:rPr>
          <w:i/>
          <w:sz w:val="20"/>
        </w:rPr>
      </w:pPr>
      <w:r>
        <w:rPr>
          <w:i/>
          <w:sz w:val="20"/>
        </w:rPr>
        <w:t>ERU = equivalent residential unit, assuming domestic water is used for</w:t>
      </w:r>
      <w:r>
        <w:rPr>
          <w:i/>
          <w:spacing w:val="-11"/>
          <w:sz w:val="20"/>
        </w:rPr>
        <w:t> </w:t>
      </w:r>
      <w:r>
        <w:rPr>
          <w:i/>
          <w:sz w:val="20"/>
        </w:rPr>
        <w:t>irrigation</w:t>
      </w:r>
    </w:p>
    <w:p>
      <w:pPr>
        <w:pStyle w:val="ListParagraph"/>
        <w:numPr>
          <w:ilvl w:val="0"/>
          <w:numId w:val="9"/>
        </w:numPr>
        <w:tabs>
          <w:tab w:pos="308" w:val="left" w:leader="none"/>
        </w:tabs>
        <w:spacing w:line="240" w:lineRule="auto" w:before="61" w:after="0"/>
        <w:ind w:left="307" w:right="0" w:hanging="188"/>
        <w:jc w:val="left"/>
        <w:rPr>
          <w:i/>
          <w:sz w:val="20"/>
        </w:rPr>
      </w:pPr>
      <w:r>
        <w:rPr>
          <w:i/>
          <w:sz w:val="20"/>
        </w:rPr>
        <w:t>ERU = assuming a non-domestic irrigation</w:t>
      </w:r>
      <w:r>
        <w:rPr>
          <w:i/>
          <w:spacing w:val="-3"/>
          <w:sz w:val="20"/>
        </w:rPr>
        <w:t> </w:t>
      </w:r>
      <w:r>
        <w:rPr>
          <w:i/>
          <w:sz w:val="20"/>
        </w:rPr>
        <w:t>source</w:t>
      </w:r>
    </w:p>
    <w:p>
      <w:pPr>
        <w:spacing w:before="58"/>
        <w:ind w:left="120" w:right="0" w:firstLine="0"/>
        <w:jc w:val="left"/>
        <w:rPr>
          <w:i/>
          <w:sz w:val="20"/>
        </w:rPr>
      </w:pPr>
      <w:r>
        <w:rPr>
          <w:i/>
          <w:sz w:val="20"/>
        </w:rPr>
        <w:t>c.MDD = maximum daily demand</w:t>
      </w:r>
    </w:p>
    <w:p>
      <w:pPr>
        <w:pStyle w:val="ListParagraph"/>
        <w:numPr>
          <w:ilvl w:val="0"/>
          <w:numId w:val="10"/>
        </w:numPr>
        <w:tabs>
          <w:tab w:pos="310" w:val="left" w:leader="none"/>
        </w:tabs>
        <w:spacing w:line="240" w:lineRule="auto" w:before="61" w:after="0"/>
        <w:ind w:left="310" w:right="0" w:hanging="190"/>
        <w:jc w:val="left"/>
        <w:rPr>
          <w:i/>
          <w:sz w:val="20"/>
        </w:rPr>
      </w:pPr>
      <w:r>
        <w:rPr>
          <w:i/>
          <w:sz w:val="20"/>
        </w:rPr>
        <w:t>ADD = average daily</w:t>
      </w:r>
      <w:r>
        <w:rPr>
          <w:i/>
          <w:spacing w:val="-5"/>
          <w:sz w:val="20"/>
        </w:rPr>
        <w:t> </w:t>
      </w:r>
      <w:r>
        <w:rPr>
          <w:i/>
          <w:sz w:val="20"/>
        </w:rPr>
        <w:t>demand</w:t>
      </w:r>
    </w:p>
    <w:p>
      <w:pPr>
        <w:pStyle w:val="ListParagraph"/>
        <w:numPr>
          <w:ilvl w:val="0"/>
          <w:numId w:val="10"/>
        </w:numPr>
        <w:tabs>
          <w:tab w:pos="296" w:val="left" w:leader="none"/>
        </w:tabs>
        <w:spacing w:line="240" w:lineRule="auto" w:before="61" w:after="0"/>
        <w:ind w:left="295" w:right="0" w:hanging="176"/>
        <w:jc w:val="left"/>
        <w:rPr>
          <w:i/>
          <w:sz w:val="20"/>
        </w:rPr>
      </w:pPr>
      <w:r>
        <w:rPr>
          <w:i/>
          <w:sz w:val="20"/>
        </w:rPr>
        <w:t>PHD = peak hour</w:t>
      </w:r>
      <w:r>
        <w:rPr>
          <w:i/>
          <w:spacing w:val="-2"/>
          <w:sz w:val="20"/>
        </w:rPr>
        <w:t> </w:t>
      </w:r>
      <w:r>
        <w:rPr>
          <w:i/>
          <w:sz w:val="20"/>
        </w:rPr>
        <w:t>demand</w:t>
      </w:r>
    </w:p>
    <w:p>
      <w:pPr>
        <w:spacing w:before="58"/>
        <w:ind w:left="120" w:right="0" w:firstLine="0"/>
        <w:jc w:val="left"/>
        <w:rPr>
          <w:i/>
          <w:sz w:val="20"/>
        </w:rPr>
      </w:pPr>
      <w:r>
        <w:rPr>
          <w:i/>
          <w:sz w:val="20"/>
        </w:rPr>
        <w:t>Source: City of Richland Water System Plan, 2016</w:t>
      </w:r>
    </w:p>
    <w:p>
      <w:pPr>
        <w:pStyle w:val="BodyText"/>
        <w:spacing w:before="3"/>
        <w:rPr>
          <w:i/>
          <w:sz w:val="17"/>
        </w:rPr>
      </w:pPr>
    </w:p>
    <w:p>
      <w:pPr>
        <w:spacing w:before="1"/>
        <w:ind w:left="120" w:right="0" w:firstLine="0"/>
        <w:jc w:val="both"/>
        <w:rPr>
          <w:b/>
          <w:sz w:val="24"/>
        </w:rPr>
      </w:pPr>
      <w:bookmarkStart w:name="FUTURE DEFICIENCIES" w:id="188"/>
      <w:bookmarkEnd w:id="188"/>
      <w:r>
        <w:rPr/>
      </w:r>
      <w:r>
        <w:rPr>
          <w:b/>
          <w:sz w:val="24"/>
        </w:rPr>
        <w:t>FUTURE DEFICIENCIES</w:t>
      </w:r>
    </w:p>
    <w:p>
      <w:pPr>
        <w:pStyle w:val="BodyText"/>
        <w:spacing w:before="119"/>
        <w:ind w:left="120" w:right="236" w:hanging="1"/>
        <w:jc w:val="both"/>
      </w:pPr>
      <w:r>
        <w:rPr/>
        <w:t>The</w:t>
      </w:r>
      <w:r>
        <w:rPr>
          <w:spacing w:val="-4"/>
        </w:rPr>
        <w:t> </w:t>
      </w:r>
      <w:r>
        <w:rPr/>
        <w:t>2016</w:t>
      </w:r>
      <w:r>
        <w:rPr>
          <w:spacing w:val="-3"/>
        </w:rPr>
        <w:t> </w:t>
      </w:r>
      <w:r>
        <w:rPr/>
        <w:t>Water</w:t>
      </w:r>
      <w:r>
        <w:rPr>
          <w:spacing w:val="-3"/>
        </w:rPr>
        <w:t> </w:t>
      </w:r>
      <w:r>
        <w:rPr/>
        <w:t>System</w:t>
      </w:r>
      <w:r>
        <w:rPr>
          <w:spacing w:val="-2"/>
        </w:rPr>
        <w:t> </w:t>
      </w:r>
      <w:r>
        <w:rPr/>
        <w:t>Plan</w:t>
      </w:r>
      <w:r>
        <w:rPr>
          <w:spacing w:val="-4"/>
        </w:rPr>
        <w:t> </w:t>
      </w:r>
      <w:r>
        <w:rPr/>
        <w:t>includes</w:t>
      </w:r>
      <w:r>
        <w:rPr>
          <w:spacing w:val="-2"/>
        </w:rPr>
        <w:t> </w:t>
      </w:r>
      <w:r>
        <w:rPr/>
        <w:t>a</w:t>
      </w:r>
      <w:r>
        <w:rPr>
          <w:spacing w:val="-3"/>
        </w:rPr>
        <w:t> </w:t>
      </w:r>
      <w:r>
        <w:rPr/>
        <w:t>CIP</w:t>
      </w:r>
      <w:r>
        <w:rPr>
          <w:spacing w:val="-4"/>
        </w:rPr>
        <w:t> </w:t>
      </w:r>
      <w:r>
        <w:rPr/>
        <w:t>through</w:t>
      </w:r>
      <w:r>
        <w:rPr>
          <w:spacing w:val="-5"/>
        </w:rPr>
        <w:t> </w:t>
      </w:r>
      <w:r>
        <w:rPr/>
        <w:t>the</w:t>
      </w:r>
      <w:r>
        <w:rPr>
          <w:spacing w:val="-4"/>
        </w:rPr>
        <w:t> </w:t>
      </w:r>
      <w:r>
        <w:rPr/>
        <w:t>year</w:t>
      </w:r>
      <w:r>
        <w:rPr>
          <w:spacing w:val="-3"/>
        </w:rPr>
        <w:t> </w:t>
      </w:r>
      <w:r>
        <w:rPr/>
        <w:t>2036.</w:t>
      </w:r>
      <w:r>
        <w:rPr>
          <w:spacing w:val="-3"/>
        </w:rPr>
        <w:t> </w:t>
      </w:r>
      <w:r>
        <w:rPr/>
        <w:t>For</w:t>
      </w:r>
      <w:r>
        <w:rPr>
          <w:spacing w:val="-3"/>
        </w:rPr>
        <w:t> </w:t>
      </w:r>
      <w:r>
        <w:rPr/>
        <w:t>the</w:t>
      </w:r>
      <w:r>
        <w:rPr>
          <w:spacing w:val="-3"/>
        </w:rPr>
        <w:t> </w:t>
      </w:r>
      <w:r>
        <w:rPr/>
        <w:t>planning</w:t>
      </w:r>
      <w:r>
        <w:rPr>
          <w:spacing w:val="-2"/>
        </w:rPr>
        <w:t> </w:t>
      </w:r>
      <w:r>
        <w:rPr/>
        <w:t>period</w:t>
      </w:r>
      <w:r>
        <w:rPr>
          <w:spacing w:val="-4"/>
        </w:rPr>
        <w:t> </w:t>
      </w:r>
      <w:r>
        <w:rPr/>
        <w:t>of</w:t>
      </w:r>
      <w:r>
        <w:rPr>
          <w:spacing w:val="-3"/>
        </w:rPr>
        <w:t> </w:t>
      </w:r>
      <w:r>
        <w:rPr/>
        <w:t>2017- 2022, planned costs amount to approximately $23</w:t>
      </w:r>
      <w:r>
        <w:rPr>
          <w:spacing w:val="-12"/>
        </w:rPr>
        <w:t> </w:t>
      </w:r>
      <w:r>
        <w:rPr/>
        <w:t>million.</w:t>
      </w:r>
    </w:p>
    <w:p>
      <w:pPr>
        <w:pStyle w:val="BodyText"/>
        <w:spacing w:before="120"/>
        <w:ind w:left="119" w:right="232"/>
        <w:jc w:val="both"/>
      </w:pPr>
      <w:r>
        <w:rPr/>
        <w:t>The 2016 Water System Plan also includes a financial plan that allows the water utility to remain financially</w:t>
      </w:r>
      <w:r>
        <w:rPr>
          <w:spacing w:val="-12"/>
        </w:rPr>
        <w:t> </w:t>
      </w:r>
      <w:r>
        <w:rPr/>
        <w:t>viable</w:t>
      </w:r>
      <w:r>
        <w:rPr>
          <w:spacing w:val="-11"/>
        </w:rPr>
        <w:t> </w:t>
      </w:r>
      <w:r>
        <w:rPr/>
        <w:t>during</w:t>
      </w:r>
      <w:r>
        <w:rPr>
          <w:spacing w:val="-10"/>
        </w:rPr>
        <w:t> </w:t>
      </w:r>
      <w:r>
        <w:rPr/>
        <w:t>the</w:t>
      </w:r>
      <w:r>
        <w:rPr>
          <w:spacing w:val="-10"/>
        </w:rPr>
        <w:t> </w:t>
      </w:r>
      <w:r>
        <w:rPr/>
        <w:t>planning</w:t>
      </w:r>
      <w:r>
        <w:rPr>
          <w:spacing w:val="-10"/>
        </w:rPr>
        <w:t> </w:t>
      </w:r>
      <w:r>
        <w:rPr/>
        <w:t>period.</w:t>
      </w:r>
      <w:r>
        <w:rPr>
          <w:spacing w:val="-11"/>
        </w:rPr>
        <w:t> </w:t>
      </w:r>
      <w:r>
        <w:rPr/>
        <w:t>The</w:t>
      </w:r>
      <w:r>
        <w:rPr>
          <w:spacing w:val="-10"/>
        </w:rPr>
        <w:t> </w:t>
      </w:r>
      <w:r>
        <w:rPr/>
        <w:t>analysis</w:t>
      </w:r>
      <w:r>
        <w:rPr>
          <w:spacing w:val="-10"/>
        </w:rPr>
        <w:t> </w:t>
      </w:r>
      <w:r>
        <w:rPr/>
        <w:t>considers</w:t>
      </w:r>
      <w:r>
        <w:rPr>
          <w:spacing w:val="-10"/>
        </w:rPr>
        <w:t> </w:t>
      </w:r>
      <w:r>
        <w:rPr/>
        <w:t>the</w:t>
      </w:r>
      <w:r>
        <w:rPr>
          <w:spacing w:val="-10"/>
        </w:rPr>
        <w:t> </w:t>
      </w:r>
      <w:r>
        <w:rPr/>
        <w:t>historical</w:t>
      </w:r>
      <w:r>
        <w:rPr>
          <w:spacing w:val="-11"/>
        </w:rPr>
        <w:t> </w:t>
      </w:r>
      <w:r>
        <w:rPr/>
        <w:t>financial</w:t>
      </w:r>
      <w:r>
        <w:rPr>
          <w:spacing w:val="-11"/>
        </w:rPr>
        <w:t> </w:t>
      </w:r>
      <w:r>
        <w:rPr/>
        <w:t>condition of the utility, the financial impact of executing the CIP, the sufficiency of the utility reserves to meet future financial and policy obligation, and rate</w:t>
      </w:r>
      <w:r>
        <w:rPr>
          <w:spacing w:val="-11"/>
        </w:rPr>
        <w:t> </w:t>
      </w:r>
      <w:r>
        <w:rPr/>
        <w:t>affordability.</w:t>
      </w:r>
    </w:p>
    <w:p>
      <w:pPr>
        <w:spacing w:after="0"/>
        <w:jc w:val="both"/>
        <w:sectPr>
          <w:pgSz w:w="12240" w:h="15840"/>
          <w:pgMar w:header="0" w:footer="1052" w:top="1360" w:bottom="1320" w:left="1320" w:right="1200"/>
        </w:sectPr>
      </w:pPr>
    </w:p>
    <w:p>
      <w:pPr>
        <w:spacing w:before="80"/>
        <w:ind w:left="120" w:right="0" w:firstLine="0"/>
        <w:jc w:val="left"/>
        <w:rPr>
          <w:b/>
          <w:sz w:val="24"/>
        </w:rPr>
      </w:pPr>
      <w:bookmarkStart w:name="RECOMMENDATIONS" w:id="189"/>
      <w:bookmarkEnd w:id="189"/>
      <w:r>
        <w:rPr/>
      </w:r>
      <w:r>
        <w:rPr>
          <w:b/>
          <w:sz w:val="24"/>
        </w:rPr>
        <w:t>RECOMMENDATIONS</w:t>
      </w:r>
    </w:p>
    <w:p>
      <w:pPr>
        <w:pStyle w:val="BodyText"/>
        <w:spacing w:before="119"/>
        <w:ind w:left="120" w:right="234" w:hanging="1"/>
        <w:jc w:val="both"/>
      </w:pPr>
      <w:r>
        <w:rPr/>
        <w:t>The</w:t>
      </w:r>
      <w:r>
        <w:rPr>
          <w:spacing w:val="-11"/>
        </w:rPr>
        <w:t> </w:t>
      </w:r>
      <w:r>
        <w:rPr/>
        <w:t>improvements</w:t>
      </w:r>
      <w:r>
        <w:rPr>
          <w:spacing w:val="-7"/>
        </w:rPr>
        <w:t> </w:t>
      </w:r>
      <w:r>
        <w:rPr/>
        <w:t>described</w:t>
      </w:r>
      <w:r>
        <w:rPr>
          <w:spacing w:val="-8"/>
        </w:rPr>
        <w:t> </w:t>
      </w:r>
      <w:r>
        <w:rPr/>
        <w:t>in</w:t>
      </w:r>
      <w:r>
        <w:rPr>
          <w:spacing w:val="-9"/>
        </w:rPr>
        <w:t> </w:t>
      </w:r>
      <w:r>
        <w:rPr/>
        <w:t>the</w:t>
      </w:r>
      <w:r>
        <w:rPr>
          <w:spacing w:val="-10"/>
        </w:rPr>
        <w:t> </w:t>
      </w:r>
      <w:r>
        <w:rPr/>
        <w:t>2016</w:t>
      </w:r>
      <w:r>
        <w:rPr>
          <w:spacing w:val="-8"/>
        </w:rPr>
        <w:t> </w:t>
      </w:r>
      <w:r>
        <w:rPr/>
        <w:t>Water</w:t>
      </w:r>
      <w:r>
        <w:rPr>
          <w:spacing w:val="-8"/>
        </w:rPr>
        <w:t> </w:t>
      </w:r>
      <w:r>
        <w:rPr/>
        <w:t>System</w:t>
      </w:r>
      <w:r>
        <w:rPr>
          <w:spacing w:val="-7"/>
        </w:rPr>
        <w:t> </w:t>
      </w:r>
      <w:r>
        <w:rPr/>
        <w:t>Plan</w:t>
      </w:r>
      <w:r>
        <w:rPr>
          <w:spacing w:val="-9"/>
        </w:rPr>
        <w:t> </w:t>
      </w:r>
      <w:r>
        <w:rPr/>
        <w:t>will</w:t>
      </w:r>
      <w:r>
        <w:rPr>
          <w:spacing w:val="-8"/>
        </w:rPr>
        <w:t> </w:t>
      </w:r>
      <w:r>
        <w:rPr/>
        <w:t>address</w:t>
      </w:r>
      <w:r>
        <w:rPr>
          <w:spacing w:val="-9"/>
        </w:rPr>
        <w:t> </w:t>
      </w:r>
      <w:r>
        <w:rPr/>
        <w:t>deficiencies</w:t>
      </w:r>
      <w:r>
        <w:rPr>
          <w:spacing w:val="-7"/>
        </w:rPr>
        <w:t> </w:t>
      </w:r>
      <w:r>
        <w:rPr/>
        <w:t>resulting</w:t>
      </w:r>
      <w:r>
        <w:rPr>
          <w:spacing w:val="-6"/>
        </w:rPr>
        <w:t> </w:t>
      </w:r>
      <w:r>
        <w:rPr/>
        <w:t>from growth for the planning period. The 2017 Capital Improvement Program identifies the priority projects and associated financing as</w:t>
      </w:r>
      <w:r>
        <w:rPr>
          <w:spacing w:val="-5"/>
        </w:rPr>
        <w:t> </w:t>
      </w:r>
      <w:r>
        <w:rPr/>
        <w:t>follows.</w:t>
      </w:r>
    </w:p>
    <w:p>
      <w:pPr>
        <w:pStyle w:val="BodyText"/>
        <w:rPr>
          <w:sz w:val="26"/>
        </w:rPr>
      </w:pPr>
    </w:p>
    <w:p>
      <w:pPr>
        <w:spacing w:before="164"/>
        <w:ind w:left="120" w:right="0" w:firstLine="0"/>
        <w:jc w:val="both"/>
        <w:rPr>
          <w:rFonts w:ascii="Arial"/>
          <w:b/>
          <w:sz w:val="20"/>
        </w:rPr>
      </w:pPr>
      <w:r>
        <w:rPr>
          <w:rFonts w:ascii="Arial"/>
          <w:b/>
          <w:sz w:val="20"/>
        </w:rPr>
        <w:t>Table U-8: Water System Capital Improvement Project Costs</w:t>
      </w:r>
    </w:p>
    <w:p>
      <w:pPr>
        <w:pStyle w:val="BodyText"/>
        <w:spacing w:before="6"/>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94"/>
        <w:gridCol w:w="1882"/>
        <w:gridCol w:w="1868"/>
      </w:tblGrid>
      <w:tr>
        <w:trPr>
          <w:trHeight w:val="405" w:hRule="atLeast"/>
        </w:trPr>
        <w:tc>
          <w:tcPr>
            <w:tcW w:w="5494" w:type="dxa"/>
            <w:shd w:val="clear" w:color="auto" w:fill="B8CCE3"/>
          </w:tcPr>
          <w:p>
            <w:pPr>
              <w:pStyle w:val="TableParagraph"/>
              <w:spacing w:before="119"/>
              <w:rPr>
                <w:b/>
                <w:sz w:val="22"/>
              </w:rPr>
            </w:pPr>
            <w:r>
              <w:rPr>
                <w:b/>
                <w:sz w:val="22"/>
              </w:rPr>
              <w:t>Facilities</w:t>
            </w:r>
          </w:p>
        </w:tc>
        <w:tc>
          <w:tcPr>
            <w:tcW w:w="1882" w:type="dxa"/>
            <w:shd w:val="clear" w:color="auto" w:fill="B8CCE3"/>
          </w:tcPr>
          <w:p>
            <w:pPr>
              <w:pStyle w:val="TableParagraph"/>
              <w:spacing w:before="119"/>
              <w:rPr>
                <w:b/>
                <w:sz w:val="22"/>
              </w:rPr>
            </w:pPr>
            <w:r>
              <w:rPr>
                <w:b/>
                <w:sz w:val="22"/>
              </w:rPr>
              <w:t>Total Cost</w:t>
            </w:r>
          </w:p>
        </w:tc>
        <w:tc>
          <w:tcPr>
            <w:tcW w:w="1868" w:type="dxa"/>
            <w:shd w:val="clear" w:color="auto" w:fill="B8CCE3"/>
          </w:tcPr>
          <w:p>
            <w:pPr>
              <w:pStyle w:val="TableParagraph"/>
              <w:spacing w:before="119"/>
              <w:ind w:left="106"/>
              <w:rPr>
                <w:b/>
                <w:sz w:val="22"/>
              </w:rPr>
            </w:pPr>
            <w:r>
              <w:rPr>
                <w:b/>
                <w:sz w:val="22"/>
              </w:rPr>
              <w:t>Time-frame</w:t>
            </w:r>
          </w:p>
        </w:tc>
      </w:tr>
      <w:tr>
        <w:trPr>
          <w:trHeight w:val="316" w:hRule="atLeast"/>
        </w:trPr>
        <w:tc>
          <w:tcPr>
            <w:tcW w:w="5494" w:type="dxa"/>
          </w:tcPr>
          <w:p>
            <w:pPr>
              <w:pStyle w:val="TableParagraph"/>
              <w:spacing w:line="237" w:lineRule="exact"/>
              <w:rPr>
                <w:sz w:val="22"/>
              </w:rPr>
            </w:pPr>
            <w:r>
              <w:rPr>
                <w:sz w:val="22"/>
              </w:rPr>
              <w:t>Automatic Meter Reading System</w:t>
            </w:r>
          </w:p>
        </w:tc>
        <w:tc>
          <w:tcPr>
            <w:tcW w:w="1882" w:type="dxa"/>
          </w:tcPr>
          <w:p>
            <w:pPr>
              <w:pStyle w:val="TableParagraph"/>
              <w:spacing w:line="237" w:lineRule="exact"/>
              <w:rPr>
                <w:sz w:val="22"/>
              </w:rPr>
            </w:pPr>
            <w:r>
              <w:rPr>
                <w:sz w:val="22"/>
              </w:rPr>
              <w:t>$3,235,000</w:t>
            </w:r>
          </w:p>
        </w:tc>
        <w:tc>
          <w:tcPr>
            <w:tcW w:w="1868" w:type="dxa"/>
          </w:tcPr>
          <w:p>
            <w:pPr>
              <w:pStyle w:val="TableParagraph"/>
              <w:spacing w:line="237" w:lineRule="exact"/>
              <w:ind w:left="106"/>
              <w:rPr>
                <w:sz w:val="22"/>
              </w:rPr>
            </w:pPr>
            <w:r>
              <w:rPr>
                <w:sz w:val="22"/>
              </w:rPr>
              <w:t>2017-2018</w:t>
            </w:r>
          </w:p>
        </w:tc>
      </w:tr>
      <w:tr>
        <w:trPr>
          <w:trHeight w:val="318" w:hRule="atLeast"/>
        </w:trPr>
        <w:tc>
          <w:tcPr>
            <w:tcW w:w="5494" w:type="dxa"/>
          </w:tcPr>
          <w:p>
            <w:pPr>
              <w:pStyle w:val="TableParagraph"/>
              <w:spacing w:line="239" w:lineRule="exact"/>
              <w:rPr>
                <w:sz w:val="22"/>
              </w:rPr>
            </w:pPr>
            <w:r>
              <w:rPr>
                <w:sz w:val="22"/>
              </w:rPr>
              <w:t>Broadmoor Street Conversion from Tap I to Tap II</w:t>
            </w:r>
          </w:p>
        </w:tc>
        <w:tc>
          <w:tcPr>
            <w:tcW w:w="1882" w:type="dxa"/>
          </w:tcPr>
          <w:p>
            <w:pPr>
              <w:pStyle w:val="TableParagraph"/>
              <w:spacing w:line="239" w:lineRule="exact"/>
              <w:rPr>
                <w:sz w:val="22"/>
              </w:rPr>
            </w:pPr>
            <w:r>
              <w:rPr>
                <w:sz w:val="22"/>
              </w:rPr>
              <w:t>$107,000</w:t>
            </w:r>
          </w:p>
        </w:tc>
        <w:tc>
          <w:tcPr>
            <w:tcW w:w="1868" w:type="dxa"/>
          </w:tcPr>
          <w:p>
            <w:pPr>
              <w:pStyle w:val="TableParagraph"/>
              <w:spacing w:line="239" w:lineRule="exact"/>
              <w:ind w:left="106"/>
              <w:rPr>
                <w:sz w:val="22"/>
              </w:rPr>
            </w:pPr>
            <w:r>
              <w:rPr>
                <w:sz w:val="22"/>
              </w:rPr>
              <w:t>2021</w:t>
            </w:r>
          </w:p>
        </w:tc>
      </w:tr>
      <w:tr>
        <w:trPr>
          <w:trHeight w:val="318" w:hRule="atLeast"/>
        </w:trPr>
        <w:tc>
          <w:tcPr>
            <w:tcW w:w="5494" w:type="dxa"/>
          </w:tcPr>
          <w:p>
            <w:pPr>
              <w:pStyle w:val="TableParagraph"/>
              <w:spacing w:line="239" w:lineRule="exact"/>
              <w:rPr>
                <w:sz w:val="22"/>
              </w:rPr>
            </w:pPr>
            <w:r>
              <w:rPr>
                <w:sz w:val="22"/>
              </w:rPr>
              <w:t>Chief Joseph Middle School Irrigation Well</w:t>
            </w:r>
          </w:p>
        </w:tc>
        <w:tc>
          <w:tcPr>
            <w:tcW w:w="1882" w:type="dxa"/>
          </w:tcPr>
          <w:p>
            <w:pPr>
              <w:pStyle w:val="TableParagraph"/>
              <w:spacing w:line="239" w:lineRule="exact"/>
              <w:rPr>
                <w:sz w:val="22"/>
              </w:rPr>
            </w:pPr>
            <w:r>
              <w:rPr>
                <w:sz w:val="22"/>
              </w:rPr>
              <w:t>$150,000</w:t>
            </w:r>
          </w:p>
        </w:tc>
        <w:tc>
          <w:tcPr>
            <w:tcW w:w="1868" w:type="dxa"/>
          </w:tcPr>
          <w:p>
            <w:pPr>
              <w:pStyle w:val="TableParagraph"/>
              <w:spacing w:line="239" w:lineRule="exact"/>
              <w:ind w:left="106"/>
              <w:rPr>
                <w:sz w:val="22"/>
              </w:rPr>
            </w:pPr>
            <w:r>
              <w:rPr>
                <w:sz w:val="22"/>
              </w:rPr>
              <w:t>2018</w:t>
            </w:r>
          </w:p>
        </w:tc>
      </w:tr>
      <w:tr>
        <w:trPr>
          <w:trHeight w:val="316" w:hRule="atLeast"/>
        </w:trPr>
        <w:tc>
          <w:tcPr>
            <w:tcW w:w="5494" w:type="dxa"/>
          </w:tcPr>
          <w:p>
            <w:pPr>
              <w:pStyle w:val="TableParagraph"/>
              <w:spacing w:line="237" w:lineRule="exact"/>
              <w:rPr>
                <w:sz w:val="22"/>
              </w:rPr>
            </w:pPr>
            <w:r>
              <w:rPr>
                <w:sz w:val="22"/>
              </w:rPr>
              <w:t>Columbia River Intake Screen Upgrade</w:t>
            </w:r>
          </w:p>
        </w:tc>
        <w:tc>
          <w:tcPr>
            <w:tcW w:w="1882" w:type="dxa"/>
          </w:tcPr>
          <w:p>
            <w:pPr>
              <w:pStyle w:val="TableParagraph"/>
              <w:spacing w:line="237" w:lineRule="exact"/>
              <w:rPr>
                <w:sz w:val="22"/>
              </w:rPr>
            </w:pPr>
            <w:r>
              <w:rPr>
                <w:sz w:val="22"/>
              </w:rPr>
              <w:t>$4,630,000</w:t>
            </w:r>
          </w:p>
        </w:tc>
        <w:tc>
          <w:tcPr>
            <w:tcW w:w="1868" w:type="dxa"/>
          </w:tcPr>
          <w:p>
            <w:pPr>
              <w:pStyle w:val="TableParagraph"/>
              <w:spacing w:line="237" w:lineRule="exact"/>
              <w:ind w:left="106"/>
              <w:rPr>
                <w:sz w:val="22"/>
              </w:rPr>
            </w:pPr>
            <w:r>
              <w:rPr>
                <w:sz w:val="22"/>
              </w:rPr>
              <w:t>2018 - 2020</w:t>
            </w:r>
          </w:p>
        </w:tc>
      </w:tr>
      <w:tr>
        <w:trPr>
          <w:trHeight w:val="318" w:hRule="atLeast"/>
        </w:trPr>
        <w:tc>
          <w:tcPr>
            <w:tcW w:w="5494" w:type="dxa"/>
          </w:tcPr>
          <w:p>
            <w:pPr>
              <w:pStyle w:val="TableParagraph"/>
              <w:spacing w:line="239" w:lineRule="exact"/>
              <w:rPr>
                <w:sz w:val="22"/>
              </w:rPr>
            </w:pPr>
            <w:r>
              <w:rPr>
                <w:sz w:val="22"/>
              </w:rPr>
              <w:t>Core Y Additional Plant Replacement Value (PRV)</w:t>
            </w:r>
          </w:p>
        </w:tc>
        <w:tc>
          <w:tcPr>
            <w:tcW w:w="1882" w:type="dxa"/>
          </w:tcPr>
          <w:p>
            <w:pPr>
              <w:pStyle w:val="TableParagraph"/>
              <w:spacing w:line="239" w:lineRule="exact"/>
              <w:rPr>
                <w:sz w:val="22"/>
              </w:rPr>
            </w:pPr>
            <w:r>
              <w:rPr>
                <w:sz w:val="22"/>
              </w:rPr>
              <w:t>$406,000</w:t>
            </w:r>
          </w:p>
        </w:tc>
        <w:tc>
          <w:tcPr>
            <w:tcW w:w="1868" w:type="dxa"/>
          </w:tcPr>
          <w:p>
            <w:pPr>
              <w:pStyle w:val="TableParagraph"/>
              <w:spacing w:line="239" w:lineRule="exact"/>
              <w:ind w:left="106"/>
              <w:rPr>
                <w:sz w:val="22"/>
              </w:rPr>
            </w:pPr>
            <w:r>
              <w:rPr>
                <w:sz w:val="22"/>
              </w:rPr>
              <w:t>2021</w:t>
            </w:r>
          </w:p>
        </w:tc>
      </w:tr>
      <w:tr>
        <w:trPr>
          <w:trHeight w:val="316" w:hRule="atLeast"/>
        </w:trPr>
        <w:tc>
          <w:tcPr>
            <w:tcW w:w="5494" w:type="dxa"/>
          </w:tcPr>
          <w:p>
            <w:pPr>
              <w:pStyle w:val="TableParagraph"/>
              <w:spacing w:line="237" w:lineRule="exact"/>
              <w:rPr>
                <w:sz w:val="22"/>
              </w:rPr>
            </w:pPr>
            <w:r>
              <w:rPr>
                <w:sz w:val="22"/>
              </w:rPr>
              <w:t>Distribution System Repairs &amp; Replacement</w:t>
            </w:r>
          </w:p>
        </w:tc>
        <w:tc>
          <w:tcPr>
            <w:tcW w:w="1882" w:type="dxa"/>
          </w:tcPr>
          <w:p>
            <w:pPr>
              <w:pStyle w:val="TableParagraph"/>
              <w:spacing w:line="237" w:lineRule="exact"/>
              <w:rPr>
                <w:sz w:val="22"/>
              </w:rPr>
            </w:pPr>
            <w:r>
              <w:rPr>
                <w:sz w:val="22"/>
              </w:rPr>
              <w:t>$1,950,000</w:t>
            </w:r>
          </w:p>
        </w:tc>
        <w:tc>
          <w:tcPr>
            <w:tcW w:w="1868" w:type="dxa"/>
          </w:tcPr>
          <w:p>
            <w:pPr>
              <w:pStyle w:val="TableParagraph"/>
              <w:spacing w:line="237" w:lineRule="exact"/>
              <w:ind w:left="106"/>
              <w:rPr>
                <w:sz w:val="22"/>
              </w:rPr>
            </w:pPr>
            <w:r>
              <w:rPr>
                <w:sz w:val="22"/>
              </w:rPr>
              <w:t>2017 - 2022</w:t>
            </w:r>
          </w:p>
        </w:tc>
      </w:tr>
      <w:tr>
        <w:trPr>
          <w:trHeight w:val="318" w:hRule="atLeast"/>
        </w:trPr>
        <w:tc>
          <w:tcPr>
            <w:tcW w:w="5494" w:type="dxa"/>
          </w:tcPr>
          <w:p>
            <w:pPr>
              <w:pStyle w:val="TableParagraph"/>
              <w:spacing w:line="237" w:lineRule="exact" w:before="62"/>
              <w:rPr>
                <w:sz w:val="22"/>
              </w:rPr>
            </w:pPr>
            <w:r>
              <w:rPr>
                <w:sz w:val="22"/>
              </w:rPr>
              <w:t>Duportail Street Transmission Main</w:t>
            </w:r>
          </w:p>
        </w:tc>
        <w:tc>
          <w:tcPr>
            <w:tcW w:w="1882" w:type="dxa"/>
          </w:tcPr>
          <w:p>
            <w:pPr>
              <w:pStyle w:val="TableParagraph"/>
              <w:spacing w:line="237" w:lineRule="exact" w:before="62"/>
              <w:rPr>
                <w:sz w:val="22"/>
              </w:rPr>
            </w:pPr>
            <w:r>
              <w:rPr>
                <w:sz w:val="22"/>
              </w:rPr>
              <w:t>$750,000</w:t>
            </w:r>
          </w:p>
        </w:tc>
        <w:tc>
          <w:tcPr>
            <w:tcW w:w="1868" w:type="dxa"/>
          </w:tcPr>
          <w:p>
            <w:pPr>
              <w:pStyle w:val="TableParagraph"/>
              <w:spacing w:line="237" w:lineRule="exact" w:before="62"/>
              <w:ind w:left="106"/>
              <w:rPr>
                <w:sz w:val="22"/>
              </w:rPr>
            </w:pPr>
            <w:r>
              <w:rPr>
                <w:sz w:val="22"/>
              </w:rPr>
              <w:t>2017</w:t>
            </w:r>
          </w:p>
        </w:tc>
      </w:tr>
      <w:tr>
        <w:trPr>
          <w:trHeight w:val="318" w:hRule="atLeast"/>
        </w:trPr>
        <w:tc>
          <w:tcPr>
            <w:tcW w:w="5494" w:type="dxa"/>
          </w:tcPr>
          <w:p>
            <w:pPr>
              <w:pStyle w:val="TableParagraph"/>
              <w:spacing w:line="239" w:lineRule="exact"/>
              <w:rPr>
                <w:sz w:val="22"/>
              </w:rPr>
            </w:pPr>
            <w:r>
              <w:rPr>
                <w:sz w:val="22"/>
              </w:rPr>
              <w:t>Duportail Street Well</w:t>
            </w:r>
          </w:p>
        </w:tc>
        <w:tc>
          <w:tcPr>
            <w:tcW w:w="1882" w:type="dxa"/>
          </w:tcPr>
          <w:p>
            <w:pPr>
              <w:pStyle w:val="TableParagraph"/>
              <w:spacing w:line="239" w:lineRule="exact"/>
              <w:rPr>
                <w:sz w:val="22"/>
              </w:rPr>
            </w:pPr>
            <w:r>
              <w:rPr>
                <w:sz w:val="22"/>
              </w:rPr>
              <w:t>$500,000</w:t>
            </w:r>
          </w:p>
        </w:tc>
        <w:tc>
          <w:tcPr>
            <w:tcW w:w="1868" w:type="dxa"/>
          </w:tcPr>
          <w:p>
            <w:pPr>
              <w:pStyle w:val="TableParagraph"/>
              <w:spacing w:line="239" w:lineRule="exact"/>
              <w:ind w:left="106"/>
              <w:rPr>
                <w:sz w:val="22"/>
              </w:rPr>
            </w:pPr>
            <w:r>
              <w:rPr>
                <w:sz w:val="22"/>
              </w:rPr>
              <w:t>2017</w:t>
            </w:r>
          </w:p>
        </w:tc>
      </w:tr>
      <w:tr>
        <w:trPr>
          <w:trHeight w:val="316" w:hRule="atLeast"/>
        </w:trPr>
        <w:tc>
          <w:tcPr>
            <w:tcW w:w="5494" w:type="dxa"/>
          </w:tcPr>
          <w:p>
            <w:pPr>
              <w:pStyle w:val="TableParagraph"/>
              <w:spacing w:line="237" w:lineRule="exact"/>
              <w:rPr>
                <w:sz w:val="22"/>
              </w:rPr>
            </w:pPr>
            <w:r>
              <w:rPr>
                <w:sz w:val="22"/>
              </w:rPr>
              <w:t>High Meadows St. and Leslie Road PRV</w:t>
            </w:r>
          </w:p>
        </w:tc>
        <w:tc>
          <w:tcPr>
            <w:tcW w:w="1882" w:type="dxa"/>
          </w:tcPr>
          <w:p>
            <w:pPr>
              <w:pStyle w:val="TableParagraph"/>
              <w:spacing w:line="237" w:lineRule="exact"/>
              <w:rPr>
                <w:sz w:val="22"/>
              </w:rPr>
            </w:pPr>
            <w:r>
              <w:rPr>
                <w:sz w:val="22"/>
              </w:rPr>
              <w:t>$102,000</w:t>
            </w:r>
          </w:p>
        </w:tc>
        <w:tc>
          <w:tcPr>
            <w:tcW w:w="1868" w:type="dxa"/>
          </w:tcPr>
          <w:p>
            <w:pPr>
              <w:pStyle w:val="TableParagraph"/>
              <w:spacing w:line="237" w:lineRule="exact"/>
              <w:ind w:left="106"/>
              <w:rPr>
                <w:sz w:val="22"/>
              </w:rPr>
            </w:pPr>
            <w:r>
              <w:rPr>
                <w:sz w:val="22"/>
              </w:rPr>
              <w:t>2021</w:t>
            </w:r>
          </w:p>
        </w:tc>
      </w:tr>
      <w:tr>
        <w:trPr>
          <w:trHeight w:val="318" w:hRule="atLeast"/>
        </w:trPr>
        <w:tc>
          <w:tcPr>
            <w:tcW w:w="5494" w:type="dxa"/>
          </w:tcPr>
          <w:p>
            <w:pPr>
              <w:pStyle w:val="TableParagraph"/>
              <w:spacing w:line="237" w:lineRule="exact" w:before="62"/>
              <w:rPr>
                <w:sz w:val="22"/>
              </w:rPr>
            </w:pPr>
            <w:r>
              <w:rPr>
                <w:sz w:val="22"/>
              </w:rPr>
              <w:t>Irrigation Utility Capital Improvements</w:t>
            </w:r>
          </w:p>
        </w:tc>
        <w:tc>
          <w:tcPr>
            <w:tcW w:w="1882" w:type="dxa"/>
          </w:tcPr>
          <w:p>
            <w:pPr>
              <w:pStyle w:val="TableParagraph"/>
              <w:spacing w:line="237" w:lineRule="exact" w:before="62"/>
              <w:rPr>
                <w:sz w:val="22"/>
              </w:rPr>
            </w:pPr>
            <w:r>
              <w:rPr>
                <w:sz w:val="22"/>
              </w:rPr>
              <w:t>$730,000</w:t>
            </w:r>
          </w:p>
        </w:tc>
        <w:tc>
          <w:tcPr>
            <w:tcW w:w="1868" w:type="dxa"/>
          </w:tcPr>
          <w:p>
            <w:pPr>
              <w:pStyle w:val="TableParagraph"/>
              <w:spacing w:line="237" w:lineRule="exact" w:before="62"/>
              <w:ind w:left="106"/>
              <w:rPr>
                <w:sz w:val="22"/>
              </w:rPr>
            </w:pPr>
            <w:r>
              <w:rPr>
                <w:sz w:val="22"/>
              </w:rPr>
              <w:t>2017 - 2022</w:t>
            </w:r>
          </w:p>
        </w:tc>
      </w:tr>
      <w:tr>
        <w:trPr>
          <w:trHeight w:val="318" w:hRule="atLeast"/>
        </w:trPr>
        <w:tc>
          <w:tcPr>
            <w:tcW w:w="5494" w:type="dxa"/>
          </w:tcPr>
          <w:p>
            <w:pPr>
              <w:pStyle w:val="TableParagraph"/>
              <w:spacing w:line="239" w:lineRule="exact"/>
              <w:rPr>
                <w:sz w:val="22"/>
              </w:rPr>
            </w:pPr>
            <w:r>
              <w:rPr>
                <w:sz w:val="22"/>
              </w:rPr>
              <w:t>Orchard Way Conversion from Tap I to Tap II</w:t>
            </w:r>
          </w:p>
        </w:tc>
        <w:tc>
          <w:tcPr>
            <w:tcW w:w="1882" w:type="dxa"/>
          </w:tcPr>
          <w:p>
            <w:pPr>
              <w:pStyle w:val="TableParagraph"/>
              <w:spacing w:line="239" w:lineRule="exact"/>
              <w:rPr>
                <w:sz w:val="22"/>
              </w:rPr>
            </w:pPr>
            <w:r>
              <w:rPr>
                <w:sz w:val="22"/>
              </w:rPr>
              <w:t>$35,000</w:t>
            </w:r>
          </w:p>
        </w:tc>
        <w:tc>
          <w:tcPr>
            <w:tcW w:w="1868" w:type="dxa"/>
          </w:tcPr>
          <w:p>
            <w:pPr>
              <w:pStyle w:val="TableParagraph"/>
              <w:spacing w:line="239" w:lineRule="exact"/>
              <w:ind w:left="106"/>
              <w:rPr>
                <w:sz w:val="22"/>
              </w:rPr>
            </w:pPr>
            <w:r>
              <w:rPr>
                <w:sz w:val="22"/>
              </w:rPr>
              <w:t>2021</w:t>
            </w:r>
          </w:p>
        </w:tc>
      </w:tr>
      <w:tr>
        <w:trPr>
          <w:trHeight w:val="316" w:hRule="atLeast"/>
        </w:trPr>
        <w:tc>
          <w:tcPr>
            <w:tcW w:w="5494" w:type="dxa"/>
          </w:tcPr>
          <w:p>
            <w:pPr>
              <w:pStyle w:val="TableParagraph"/>
              <w:spacing w:line="237" w:lineRule="exact"/>
              <w:rPr>
                <w:sz w:val="22"/>
              </w:rPr>
            </w:pPr>
            <w:r>
              <w:rPr>
                <w:sz w:val="22"/>
              </w:rPr>
              <w:t>Tapteal I Pump Station Upgrade</w:t>
            </w:r>
          </w:p>
        </w:tc>
        <w:tc>
          <w:tcPr>
            <w:tcW w:w="1882" w:type="dxa"/>
          </w:tcPr>
          <w:p>
            <w:pPr>
              <w:pStyle w:val="TableParagraph"/>
              <w:spacing w:line="237" w:lineRule="exact"/>
              <w:rPr>
                <w:sz w:val="22"/>
              </w:rPr>
            </w:pPr>
            <w:r>
              <w:rPr>
                <w:sz w:val="22"/>
              </w:rPr>
              <w:t>$500,000</w:t>
            </w:r>
          </w:p>
        </w:tc>
        <w:tc>
          <w:tcPr>
            <w:tcW w:w="1868" w:type="dxa"/>
          </w:tcPr>
          <w:p>
            <w:pPr>
              <w:pStyle w:val="TableParagraph"/>
              <w:spacing w:line="237" w:lineRule="exact"/>
              <w:ind w:left="106"/>
              <w:rPr>
                <w:sz w:val="22"/>
              </w:rPr>
            </w:pPr>
            <w:r>
              <w:rPr>
                <w:sz w:val="22"/>
              </w:rPr>
              <w:t>2020-2021</w:t>
            </w:r>
          </w:p>
        </w:tc>
      </w:tr>
      <w:tr>
        <w:trPr>
          <w:trHeight w:val="318" w:hRule="atLeast"/>
        </w:trPr>
        <w:tc>
          <w:tcPr>
            <w:tcW w:w="5494" w:type="dxa"/>
          </w:tcPr>
          <w:p>
            <w:pPr>
              <w:pStyle w:val="TableParagraph"/>
              <w:spacing w:line="239" w:lineRule="exact"/>
              <w:rPr>
                <w:sz w:val="22"/>
              </w:rPr>
            </w:pPr>
            <w:r>
              <w:rPr>
                <w:sz w:val="22"/>
              </w:rPr>
              <w:t>Tapteal II Loop</w:t>
            </w:r>
          </w:p>
        </w:tc>
        <w:tc>
          <w:tcPr>
            <w:tcW w:w="1882" w:type="dxa"/>
          </w:tcPr>
          <w:p>
            <w:pPr>
              <w:pStyle w:val="TableParagraph"/>
              <w:spacing w:line="239" w:lineRule="exact"/>
              <w:rPr>
                <w:sz w:val="22"/>
              </w:rPr>
            </w:pPr>
            <w:r>
              <w:rPr>
                <w:sz w:val="22"/>
              </w:rPr>
              <w:t>$114,000</w:t>
            </w:r>
          </w:p>
        </w:tc>
        <w:tc>
          <w:tcPr>
            <w:tcW w:w="1868" w:type="dxa"/>
          </w:tcPr>
          <w:p>
            <w:pPr>
              <w:pStyle w:val="TableParagraph"/>
              <w:spacing w:line="239" w:lineRule="exact"/>
              <w:ind w:left="106"/>
              <w:rPr>
                <w:sz w:val="22"/>
              </w:rPr>
            </w:pPr>
            <w:r>
              <w:rPr>
                <w:sz w:val="22"/>
              </w:rPr>
              <w:t>2020</w:t>
            </w:r>
          </w:p>
        </w:tc>
      </w:tr>
      <w:tr>
        <w:trPr>
          <w:trHeight w:val="318" w:hRule="atLeast"/>
        </w:trPr>
        <w:tc>
          <w:tcPr>
            <w:tcW w:w="5494" w:type="dxa"/>
          </w:tcPr>
          <w:p>
            <w:pPr>
              <w:pStyle w:val="TableParagraph"/>
              <w:spacing w:line="239" w:lineRule="exact"/>
              <w:rPr>
                <w:sz w:val="22"/>
              </w:rPr>
            </w:pPr>
            <w:r>
              <w:rPr>
                <w:sz w:val="22"/>
              </w:rPr>
              <w:t>Tapteal VI Water Main</w:t>
            </w:r>
          </w:p>
        </w:tc>
        <w:tc>
          <w:tcPr>
            <w:tcW w:w="1882" w:type="dxa"/>
          </w:tcPr>
          <w:p>
            <w:pPr>
              <w:pStyle w:val="TableParagraph"/>
              <w:spacing w:line="239" w:lineRule="exact"/>
              <w:rPr>
                <w:sz w:val="22"/>
              </w:rPr>
            </w:pPr>
            <w:r>
              <w:rPr>
                <w:sz w:val="22"/>
              </w:rPr>
              <w:t>$487,000</w:t>
            </w:r>
          </w:p>
        </w:tc>
        <w:tc>
          <w:tcPr>
            <w:tcW w:w="1868" w:type="dxa"/>
          </w:tcPr>
          <w:p>
            <w:pPr>
              <w:pStyle w:val="TableParagraph"/>
              <w:spacing w:line="239" w:lineRule="exact"/>
              <w:ind w:left="106"/>
              <w:rPr>
                <w:sz w:val="22"/>
              </w:rPr>
            </w:pPr>
            <w:r>
              <w:rPr>
                <w:sz w:val="22"/>
              </w:rPr>
              <w:t>2021</w:t>
            </w:r>
          </w:p>
        </w:tc>
      </w:tr>
      <w:tr>
        <w:trPr>
          <w:trHeight w:val="316" w:hRule="atLeast"/>
        </w:trPr>
        <w:tc>
          <w:tcPr>
            <w:tcW w:w="5494" w:type="dxa"/>
          </w:tcPr>
          <w:p>
            <w:pPr>
              <w:pStyle w:val="TableParagraph"/>
              <w:spacing w:line="237" w:lineRule="exact"/>
              <w:rPr>
                <w:sz w:val="22"/>
              </w:rPr>
            </w:pPr>
            <w:r>
              <w:rPr>
                <w:sz w:val="22"/>
              </w:rPr>
              <w:t>Water Treatment Plant Renewals &amp; Replacement</w:t>
            </w:r>
          </w:p>
        </w:tc>
        <w:tc>
          <w:tcPr>
            <w:tcW w:w="1882" w:type="dxa"/>
          </w:tcPr>
          <w:p>
            <w:pPr>
              <w:pStyle w:val="TableParagraph"/>
              <w:spacing w:line="237" w:lineRule="exact"/>
              <w:rPr>
                <w:sz w:val="22"/>
              </w:rPr>
            </w:pPr>
            <w:r>
              <w:rPr>
                <w:sz w:val="22"/>
              </w:rPr>
              <w:t>$1,716,000</w:t>
            </w:r>
          </w:p>
        </w:tc>
        <w:tc>
          <w:tcPr>
            <w:tcW w:w="1868" w:type="dxa"/>
          </w:tcPr>
          <w:p>
            <w:pPr>
              <w:pStyle w:val="TableParagraph"/>
              <w:spacing w:line="237" w:lineRule="exact"/>
              <w:ind w:left="106"/>
              <w:rPr>
                <w:sz w:val="22"/>
              </w:rPr>
            </w:pPr>
            <w:r>
              <w:rPr>
                <w:sz w:val="22"/>
              </w:rPr>
              <w:t>2017 - 2022</w:t>
            </w:r>
          </w:p>
        </w:tc>
      </w:tr>
      <w:tr>
        <w:trPr>
          <w:trHeight w:val="318" w:hRule="atLeast"/>
        </w:trPr>
        <w:tc>
          <w:tcPr>
            <w:tcW w:w="5494" w:type="dxa"/>
          </w:tcPr>
          <w:p>
            <w:pPr>
              <w:pStyle w:val="TableParagraph"/>
              <w:spacing w:line="239" w:lineRule="exact"/>
              <w:rPr>
                <w:sz w:val="22"/>
              </w:rPr>
            </w:pPr>
            <w:r>
              <w:rPr>
                <w:sz w:val="22"/>
              </w:rPr>
              <w:t>WTP Solids Handling Improvements</w:t>
            </w:r>
          </w:p>
        </w:tc>
        <w:tc>
          <w:tcPr>
            <w:tcW w:w="1882" w:type="dxa"/>
          </w:tcPr>
          <w:p>
            <w:pPr>
              <w:pStyle w:val="TableParagraph"/>
              <w:spacing w:line="239" w:lineRule="exact"/>
              <w:rPr>
                <w:sz w:val="22"/>
              </w:rPr>
            </w:pPr>
            <w:r>
              <w:rPr>
                <w:sz w:val="22"/>
              </w:rPr>
              <w:t>$400,000</w:t>
            </w:r>
          </w:p>
        </w:tc>
        <w:tc>
          <w:tcPr>
            <w:tcW w:w="1868" w:type="dxa"/>
          </w:tcPr>
          <w:p>
            <w:pPr>
              <w:pStyle w:val="TableParagraph"/>
              <w:spacing w:line="239" w:lineRule="exact"/>
              <w:ind w:left="106"/>
              <w:rPr>
                <w:sz w:val="22"/>
              </w:rPr>
            </w:pPr>
            <w:r>
              <w:rPr>
                <w:sz w:val="22"/>
              </w:rPr>
              <w:t>2021</w:t>
            </w:r>
          </w:p>
        </w:tc>
      </w:tr>
      <w:tr>
        <w:trPr>
          <w:trHeight w:val="316" w:hRule="atLeast"/>
        </w:trPr>
        <w:tc>
          <w:tcPr>
            <w:tcW w:w="5494" w:type="dxa"/>
          </w:tcPr>
          <w:p>
            <w:pPr>
              <w:pStyle w:val="TableParagraph"/>
              <w:spacing w:line="237" w:lineRule="exact"/>
              <w:rPr>
                <w:sz w:val="22"/>
              </w:rPr>
            </w:pPr>
            <w:r>
              <w:rPr>
                <w:sz w:val="22"/>
              </w:rPr>
              <w:t>Yakima River Crossing Pipeline Replacement</w:t>
            </w:r>
          </w:p>
        </w:tc>
        <w:tc>
          <w:tcPr>
            <w:tcW w:w="1882" w:type="dxa"/>
          </w:tcPr>
          <w:p>
            <w:pPr>
              <w:pStyle w:val="TableParagraph"/>
              <w:spacing w:line="237" w:lineRule="exact"/>
              <w:rPr>
                <w:sz w:val="22"/>
              </w:rPr>
            </w:pPr>
            <w:r>
              <w:rPr>
                <w:sz w:val="22"/>
              </w:rPr>
              <w:t>$7,499,000</w:t>
            </w:r>
          </w:p>
        </w:tc>
        <w:tc>
          <w:tcPr>
            <w:tcW w:w="1868" w:type="dxa"/>
          </w:tcPr>
          <w:p>
            <w:pPr>
              <w:pStyle w:val="TableParagraph"/>
              <w:spacing w:line="237" w:lineRule="exact"/>
              <w:ind w:left="106"/>
              <w:rPr>
                <w:sz w:val="22"/>
              </w:rPr>
            </w:pPr>
            <w:r>
              <w:rPr>
                <w:sz w:val="22"/>
              </w:rPr>
              <w:t>2017 - 2019</w:t>
            </w:r>
          </w:p>
        </w:tc>
      </w:tr>
      <w:tr>
        <w:trPr>
          <w:trHeight w:val="318" w:hRule="atLeast"/>
        </w:trPr>
        <w:tc>
          <w:tcPr>
            <w:tcW w:w="5494" w:type="dxa"/>
          </w:tcPr>
          <w:p>
            <w:pPr>
              <w:pStyle w:val="TableParagraph"/>
              <w:spacing w:line="237" w:lineRule="exact" w:before="62"/>
              <w:rPr>
                <w:b/>
                <w:sz w:val="22"/>
              </w:rPr>
            </w:pPr>
            <w:r>
              <w:rPr>
                <w:b/>
                <w:sz w:val="22"/>
              </w:rPr>
              <w:t>Total</w:t>
            </w:r>
          </w:p>
        </w:tc>
        <w:tc>
          <w:tcPr>
            <w:tcW w:w="1882" w:type="dxa"/>
          </w:tcPr>
          <w:p>
            <w:pPr>
              <w:pStyle w:val="TableParagraph"/>
              <w:spacing w:line="237" w:lineRule="exact" w:before="62"/>
              <w:rPr>
                <w:b/>
                <w:sz w:val="22"/>
              </w:rPr>
            </w:pPr>
            <w:r>
              <w:rPr>
                <w:b/>
                <w:sz w:val="22"/>
              </w:rPr>
              <w:t>$23,311,000</w:t>
            </w:r>
          </w:p>
        </w:tc>
        <w:tc>
          <w:tcPr>
            <w:tcW w:w="1868" w:type="dxa"/>
          </w:tcPr>
          <w:p>
            <w:pPr>
              <w:pStyle w:val="TableParagraph"/>
              <w:spacing w:line="237" w:lineRule="exact" w:before="62"/>
              <w:ind w:left="106"/>
              <w:rPr>
                <w:b/>
                <w:sz w:val="22"/>
              </w:rPr>
            </w:pPr>
            <w:r>
              <w:rPr>
                <w:b/>
                <w:sz w:val="22"/>
              </w:rPr>
              <w:t>2017 - 2022</w:t>
            </w:r>
          </w:p>
        </w:tc>
      </w:tr>
    </w:tbl>
    <w:p>
      <w:pPr>
        <w:spacing w:before="119"/>
        <w:ind w:left="120" w:right="0" w:firstLine="0"/>
        <w:jc w:val="both"/>
        <w:rPr>
          <w:rFonts w:ascii="Arial"/>
          <w:b/>
          <w:sz w:val="20"/>
        </w:rPr>
      </w:pPr>
      <w:r>
        <w:rPr>
          <w:rFonts w:ascii="Arial"/>
          <w:b/>
          <w:sz w:val="20"/>
        </w:rPr>
        <w:t>Table U-9: Water System Capital Improvement Funding Sources</w:t>
      </w:r>
    </w:p>
    <w:p>
      <w:pPr>
        <w:pStyle w:val="BodyText"/>
        <w:spacing w:before="6"/>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94"/>
        <w:gridCol w:w="1882"/>
        <w:gridCol w:w="1868"/>
      </w:tblGrid>
      <w:tr>
        <w:trPr>
          <w:trHeight w:val="402" w:hRule="atLeast"/>
        </w:trPr>
        <w:tc>
          <w:tcPr>
            <w:tcW w:w="5494" w:type="dxa"/>
            <w:shd w:val="clear" w:color="auto" w:fill="B8CCE3"/>
          </w:tcPr>
          <w:p>
            <w:pPr>
              <w:pStyle w:val="TableParagraph"/>
              <w:spacing w:before="119"/>
              <w:rPr>
                <w:b/>
                <w:sz w:val="22"/>
              </w:rPr>
            </w:pPr>
            <w:r>
              <w:rPr>
                <w:b/>
                <w:sz w:val="22"/>
              </w:rPr>
              <w:t>Funding Source</w:t>
            </w:r>
          </w:p>
        </w:tc>
        <w:tc>
          <w:tcPr>
            <w:tcW w:w="1882" w:type="dxa"/>
            <w:shd w:val="clear" w:color="auto" w:fill="B8CCE3"/>
          </w:tcPr>
          <w:p>
            <w:pPr>
              <w:pStyle w:val="TableParagraph"/>
              <w:spacing w:before="119"/>
              <w:rPr>
                <w:b/>
                <w:sz w:val="22"/>
              </w:rPr>
            </w:pPr>
            <w:r>
              <w:rPr>
                <w:b/>
                <w:sz w:val="22"/>
              </w:rPr>
              <w:t>Total Fund</w:t>
            </w:r>
          </w:p>
        </w:tc>
        <w:tc>
          <w:tcPr>
            <w:tcW w:w="1868" w:type="dxa"/>
            <w:shd w:val="clear" w:color="auto" w:fill="B8CCE3"/>
          </w:tcPr>
          <w:p>
            <w:pPr>
              <w:pStyle w:val="TableParagraph"/>
              <w:spacing w:before="119"/>
              <w:ind w:left="106"/>
              <w:rPr>
                <w:b/>
                <w:sz w:val="22"/>
              </w:rPr>
            </w:pPr>
            <w:r>
              <w:rPr>
                <w:b/>
                <w:sz w:val="22"/>
              </w:rPr>
              <w:t>Time-frame</w:t>
            </w:r>
          </w:p>
        </w:tc>
      </w:tr>
      <w:tr>
        <w:trPr>
          <w:trHeight w:val="318" w:hRule="atLeast"/>
        </w:trPr>
        <w:tc>
          <w:tcPr>
            <w:tcW w:w="5494" w:type="dxa"/>
          </w:tcPr>
          <w:p>
            <w:pPr>
              <w:pStyle w:val="TableParagraph"/>
              <w:spacing w:line="237" w:lineRule="exact" w:before="62"/>
              <w:rPr>
                <w:sz w:val="22"/>
              </w:rPr>
            </w:pPr>
            <w:r>
              <w:rPr>
                <w:sz w:val="22"/>
              </w:rPr>
              <w:t>Facility Fees</w:t>
            </w:r>
          </w:p>
        </w:tc>
        <w:tc>
          <w:tcPr>
            <w:tcW w:w="1882" w:type="dxa"/>
          </w:tcPr>
          <w:p>
            <w:pPr>
              <w:pStyle w:val="TableParagraph"/>
              <w:spacing w:line="237" w:lineRule="exact" w:before="62"/>
              <w:rPr>
                <w:sz w:val="22"/>
              </w:rPr>
            </w:pPr>
            <w:r>
              <w:rPr>
                <w:sz w:val="22"/>
              </w:rPr>
              <w:t>$3,223,500</w:t>
            </w:r>
          </w:p>
        </w:tc>
        <w:tc>
          <w:tcPr>
            <w:tcW w:w="1868" w:type="dxa"/>
          </w:tcPr>
          <w:p>
            <w:pPr>
              <w:pStyle w:val="TableParagraph"/>
              <w:spacing w:line="237" w:lineRule="exact" w:before="62"/>
              <w:ind w:left="106"/>
              <w:rPr>
                <w:sz w:val="22"/>
              </w:rPr>
            </w:pPr>
            <w:r>
              <w:rPr>
                <w:sz w:val="22"/>
              </w:rPr>
              <w:t>2017 - 2021</w:t>
            </w:r>
          </w:p>
        </w:tc>
      </w:tr>
      <w:tr>
        <w:trPr>
          <w:trHeight w:val="318" w:hRule="atLeast"/>
        </w:trPr>
        <w:tc>
          <w:tcPr>
            <w:tcW w:w="5494" w:type="dxa"/>
          </w:tcPr>
          <w:p>
            <w:pPr>
              <w:pStyle w:val="TableParagraph"/>
              <w:spacing w:line="239" w:lineRule="exact"/>
              <w:rPr>
                <w:sz w:val="22"/>
              </w:rPr>
            </w:pPr>
            <w:r>
              <w:rPr>
                <w:sz w:val="22"/>
              </w:rPr>
              <w:t>Federal Emergency Management Agency Grant</w:t>
            </w:r>
          </w:p>
        </w:tc>
        <w:tc>
          <w:tcPr>
            <w:tcW w:w="1882" w:type="dxa"/>
          </w:tcPr>
          <w:p>
            <w:pPr>
              <w:pStyle w:val="TableParagraph"/>
              <w:spacing w:line="239" w:lineRule="exact"/>
              <w:rPr>
                <w:sz w:val="22"/>
              </w:rPr>
            </w:pPr>
            <w:r>
              <w:rPr>
                <w:sz w:val="22"/>
              </w:rPr>
              <w:t>$1,893,301</w:t>
            </w:r>
          </w:p>
        </w:tc>
        <w:tc>
          <w:tcPr>
            <w:tcW w:w="1868" w:type="dxa"/>
          </w:tcPr>
          <w:p>
            <w:pPr>
              <w:pStyle w:val="TableParagraph"/>
              <w:spacing w:line="239" w:lineRule="exact"/>
              <w:ind w:left="106"/>
              <w:rPr>
                <w:sz w:val="22"/>
              </w:rPr>
            </w:pPr>
            <w:r>
              <w:rPr>
                <w:sz w:val="22"/>
              </w:rPr>
              <w:t>2017 - 2018</w:t>
            </w:r>
          </w:p>
        </w:tc>
      </w:tr>
      <w:tr>
        <w:trPr>
          <w:trHeight w:val="316" w:hRule="atLeast"/>
        </w:trPr>
        <w:tc>
          <w:tcPr>
            <w:tcW w:w="5494" w:type="dxa"/>
          </w:tcPr>
          <w:p>
            <w:pPr>
              <w:pStyle w:val="TableParagraph"/>
              <w:spacing w:line="237" w:lineRule="exact"/>
              <w:rPr>
                <w:sz w:val="22"/>
              </w:rPr>
            </w:pPr>
            <w:r>
              <w:rPr>
                <w:sz w:val="22"/>
              </w:rPr>
              <w:t>Irrigation Utility Rate Revenue</w:t>
            </w:r>
          </w:p>
        </w:tc>
        <w:tc>
          <w:tcPr>
            <w:tcW w:w="1882" w:type="dxa"/>
          </w:tcPr>
          <w:p>
            <w:pPr>
              <w:pStyle w:val="TableParagraph"/>
              <w:spacing w:line="237" w:lineRule="exact"/>
              <w:rPr>
                <w:sz w:val="22"/>
              </w:rPr>
            </w:pPr>
            <w:r>
              <w:rPr>
                <w:sz w:val="22"/>
              </w:rPr>
              <w:t>$755,000</w:t>
            </w:r>
          </w:p>
        </w:tc>
        <w:tc>
          <w:tcPr>
            <w:tcW w:w="1868" w:type="dxa"/>
          </w:tcPr>
          <w:p>
            <w:pPr>
              <w:pStyle w:val="TableParagraph"/>
              <w:spacing w:line="237" w:lineRule="exact"/>
              <w:ind w:left="106"/>
              <w:rPr>
                <w:sz w:val="22"/>
              </w:rPr>
            </w:pPr>
            <w:r>
              <w:rPr>
                <w:sz w:val="22"/>
              </w:rPr>
              <w:t>2017 - 2022</w:t>
            </w:r>
          </w:p>
        </w:tc>
      </w:tr>
      <w:tr>
        <w:trPr>
          <w:trHeight w:val="318" w:hRule="atLeast"/>
        </w:trPr>
        <w:tc>
          <w:tcPr>
            <w:tcW w:w="5494" w:type="dxa"/>
          </w:tcPr>
          <w:p>
            <w:pPr>
              <w:pStyle w:val="TableParagraph"/>
              <w:spacing w:line="237" w:lineRule="exact" w:before="62"/>
              <w:rPr>
                <w:sz w:val="22"/>
              </w:rPr>
            </w:pPr>
            <w:r>
              <w:rPr>
                <w:sz w:val="22"/>
              </w:rPr>
              <w:t>Private Development</w:t>
            </w:r>
          </w:p>
        </w:tc>
        <w:tc>
          <w:tcPr>
            <w:tcW w:w="1882" w:type="dxa"/>
          </w:tcPr>
          <w:p>
            <w:pPr>
              <w:pStyle w:val="TableParagraph"/>
              <w:spacing w:line="237" w:lineRule="exact" w:before="62"/>
              <w:rPr>
                <w:sz w:val="22"/>
              </w:rPr>
            </w:pPr>
            <w:r>
              <w:rPr>
                <w:sz w:val="22"/>
              </w:rPr>
              <w:t>$601,000</w:t>
            </w:r>
          </w:p>
        </w:tc>
        <w:tc>
          <w:tcPr>
            <w:tcW w:w="1868" w:type="dxa"/>
          </w:tcPr>
          <w:p>
            <w:pPr>
              <w:pStyle w:val="TableParagraph"/>
              <w:spacing w:line="237" w:lineRule="exact" w:before="62"/>
              <w:ind w:left="106"/>
              <w:rPr>
                <w:sz w:val="22"/>
              </w:rPr>
            </w:pPr>
            <w:r>
              <w:rPr>
                <w:sz w:val="22"/>
              </w:rPr>
              <w:t>2017 - 2022</w:t>
            </w:r>
          </w:p>
        </w:tc>
      </w:tr>
      <w:tr>
        <w:trPr>
          <w:trHeight w:val="318" w:hRule="atLeast"/>
        </w:trPr>
        <w:tc>
          <w:tcPr>
            <w:tcW w:w="5494" w:type="dxa"/>
          </w:tcPr>
          <w:p>
            <w:pPr>
              <w:pStyle w:val="TableParagraph"/>
              <w:spacing w:line="239" w:lineRule="exact"/>
              <w:rPr>
                <w:sz w:val="22"/>
              </w:rPr>
            </w:pPr>
            <w:r>
              <w:rPr>
                <w:sz w:val="22"/>
              </w:rPr>
              <w:t>Rate Revenue</w:t>
            </w:r>
          </w:p>
        </w:tc>
        <w:tc>
          <w:tcPr>
            <w:tcW w:w="1882" w:type="dxa"/>
          </w:tcPr>
          <w:p>
            <w:pPr>
              <w:pStyle w:val="TableParagraph"/>
              <w:spacing w:line="239" w:lineRule="exact"/>
              <w:rPr>
                <w:sz w:val="22"/>
              </w:rPr>
            </w:pPr>
            <w:r>
              <w:rPr>
                <w:sz w:val="22"/>
              </w:rPr>
              <w:t>$6,202,500</w:t>
            </w:r>
          </w:p>
        </w:tc>
        <w:tc>
          <w:tcPr>
            <w:tcW w:w="1868" w:type="dxa"/>
          </w:tcPr>
          <w:p>
            <w:pPr>
              <w:pStyle w:val="TableParagraph"/>
              <w:spacing w:line="239" w:lineRule="exact"/>
              <w:ind w:left="106"/>
              <w:rPr>
                <w:sz w:val="22"/>
              </w:rPr>
            </w:pPr>
            <w:r>
              <w:rPr>
                <w:sz w:val="22"/>
              </w:rPr>
              <w:t>2017 - 2022</w:t>
            </w:r>
          </w:p>
        </w:tc>
      </w:tr>
      <w:tr>
        <w:trPr>
          <w:trHeight w:val="316" w:hRule="atLeast"/>
        </w:trPr>
        <w:tc>
          <w:tcPr>
            <w:tcW w:w="5494" w:type="dxa"/>
          </w:tcPr>
          <w:p>
            <w:pPr>
              <w:pStyle w:val="TableParagraph"/>
              <w:spacing w:line="237" w:lineRule="exact"/>
              <w:rPr>
                <w:sz w:val="22"/>
              </w:rPr>
            </w:pPr>
            <w:r>
              <w:rPr>
                <w:sz w:val="22"/>
              </w:rPr>
              <w:t>Revenue Bond Issue</w:t>
            </w:r>
          </w:p>
        </w:tc>
        <w:tc>
          <w:tcPr>
            <w:tcW w:w="1882" w:type="dxa"/>
          </w:tcPr>
          <w:p>
            <w:pPr>
              <w:pStyle w:val="TableParagraph"/>
              <w:spacing w:line="237" w:lineRule="exact"/>
              <w:rPr>
                <w:sz w:val="22"/>
              </w:rPr>
            </w:pPr>
            <w:r>
              <w:rPr>
                <w:sz w:val="22"/>
              </w:rPr>
              <w:t>$9,935,699</w:t>
            </w:r>
          </w:p>
        </w:tc>
        <w:tc>
          <w:tcPr>
            <w:tcW w:w="1868" w:type="dxa"/>
          </w:tcPr>
          <w:p>
            <w:pPr>
              <w:pStyle w:val="TableParagraph"/>
              <w:spacing w:line="237" w:lineRule="exact"/>
              <w:ind w:left="106"/>
              <w:rPr>
                <w:sz w:val="22"/>
              </w:rPr>
            </w:pPr>
            <w:r>
              <w:rPr>
                <w:sz w:val="22"/>
              </w:rPr>
              <w:t>2017 - 2020</w:t>
            </w:r>
          </w:p>
        </w:tc>
      </w:tr>
      <w:tr>
        <w:trPr>
          <w:trHeight w:val="318" w:hRule="atLeast"/>
        </w:trPr>
        <w:tc>
          <w:tcPr>
            <w:tcW w:w="5494" w:type="dxa"/>
          </w:tcPr>
          <w:p>
            <w:pPr>
              <w:pStyle w:val="TableParagraph"/>
              <w:spacing w:line="239" w:lineRule="exact"/>
              <w:rPr>
                <w:sz w:val="22"/>
              </w:rPr>
            </w:pPr>
            <w:r>
              <w:rPr>
                <w:sz w:val="22"/>
              </w:rPr>
              <w:t>Richland School District</w:t>
            </w:r>
          </w:p>
        </w:tc>
        <w:tc>
          <w:tcPr>
            <w:tcW w:w="1882" w:type="dxa"/>
          </w:tcPr>
          <w:p>
            <w:pPr>
              <w:pStyle w:val="TableParagraph"/>
              <w:spacing w:line="239" w:lineRule="exact"/>
              <w:rPr>
                <w:sz w:val="22"/>
              </w:rPr>
            </w:pPr>
            <w:r>
              <w:rPr>
                <w:sz w:val="22"/>
              </w:rPr>
              <w:t>$50,000</w:t>
            </w:r>
          </w:p>
        </w:tc>
        <w:tc>
          <w:tcPr>
            <w:tcW w:w="1868" w:type="dxa"/>
          </w:tcPr>
          <w:p>
            <w:pPr>
              <w:pStyle w:val="TableParagraph"/>
              <w:spacing w:line="239" w:lineRule="exact"/>
              <w:ind w:left="106"/>
              <w:rPr>
                <w:sz w:val="22"/>
              </w:rPr>
            </w:pPr>
            <w:r>
              <w:rPr>
                <w:sz w:val="22"/>
              </w:rPr>
              <w:t>2017</w:t>
            </w:r>
          </w:p>
        </w:tc>
      </w:tr>
      <w:tr>
        <w:trPr>
          <w:trHeight w:val="318" w:hRule="atLeast"/>
        </w:trPr>
        <w:tc>
          <w:tcPr>
            <w:tcW w:w="5494" w:type="dxa"/>
          </w:tcPr>
          <w:p>
            <w:pPr>
              <w:pStyle w:val="TableParagraph"/>
              <w:spacing w:line="239" w:lineRule="exact"/>
              <w:rPr>
                <w:sz w:val="22"/>
              </w:rPr>
            </w:pPr>
            <w:r>
              <w:rPr>
                <w:sz w:val="22"/>
              </w:rPr>
              <w:t>Surplus Property Sale</w:t>
            </w:r>
          </w:p>
        </w:tc>
        <w:tc>
          <w:tcPr>
            <w:tcW w:w="1882" w:type="dxa"/>
          </w:tcPr>
          <w:p>
            <w:pPr>
              <w:pStyle w:val="TableParagraph"/>
              <w:spacing w:line="239" w:lineRule="exact"/>
              <w:rPr>
                <w:sz w:val="22"/>
              </w:rPr>
            </w:pPr>
            <w:r>
              <w:rPr>
                <w:sz w:val="22"/>
              </w:rPr>
              <w:t>$400,000</w:t>
            </w:r>
          </w:p>
        </w:tc>
        <w:tc>
          <w:tcPr>
            <w:tcW w:w="1868" w:type="dxa"/>
          </w:tcPr>
          <w:p>
            <w:pPr>
              <w:pStyle w:val="TableParagraph"/>
              <w:spacing w:line="239" w:lineRule="exact"/>
              <w:ind w:left="106"/>
              <w:rPr>
                <w:sz w:val="22"/>
              </w:rPr>
            </w:pPr>
            <w:r>
              <w:rPr>
                <w:sz w:val="22"/>
              </w:rPr>
              <w:t>2021</w:t>
            </w:r>
          </w:p>
        </w:tc>
      </w:tr>
      <w:tr>
        <w:trPr>
          <w:trHeight w:val="316" w:hRule="atLeast"/>
        </w:trPr>
        <w:tc>
          <w:tcPr>
            <w:tcW w:w="5494" w:type="dxa"/>
          </w:tcPr>
          <w:p>
            <w:pPr>
              <w:pStyle w:val="TableParagraph"/>
              <w:spacing w:line="237" w:lineRule="exact"/>
              <w:rPr>
                <w:sz w:val="22"/>
              </w:rPr>
            </w:pPr>
            <w:r>
              <w:rPr>
                <w:sz w:val="22"/>
              </w:rPr>
              <w:t>West Richland</w:t>
            </w:r>
          </w:p>
        </w:tc>
        <w:tc>
          <w:tcPr>
            <w:tcW w:w="1882" w:type="dxa"/>
          </w:tcPr>
          <w:p>
            <w:pPr>
              <w:pStyle w:val="TableParagraph"/>
              <w:spacing w:line="237" w:lineRule="exact"/>
              <w:rPr>
                <w:sz w:val="22"/>
              </w:rPr>
            </w:pPr>
            <w:r>
              <w:rPr>
                <w:sz w:val="22"/>
              </w:rPr>
              <w:t>$250,000</w:t>
            </w:r>
          </w:p>
        </w:tc>
        <w:tc>
          <w:tcPr>
            <w:tcW w:w="1868" w:type="dxa"/>
          </w:tcPr>
          <w:p>
            <w:pPr>
              <w:pStyle w:val="TableParagraph"/>
              <w:spacing w:line="237" w:lineRule="exact"/>
              <w:ind w:left="106"/>
              <w:rPr>
                <w:sz w:val="22"/>
              </w:rPr>
            </w:pPr>
            <w:r>
              <w:rPr>
                <w:sz w:val="22"/>
              </w:rPr>
              <w:t>2020 - 2021</w:t>
            </w:r>
          </w:p>
        </w:tc>
      </w:tr>
      <w:tr>
        <w:trPr>
          <w:trHeight w:val="318" w:hRule="atLeast"/>
        </w:trPr>
        <w:tc>
          <w:tcPr>
            <w:tcW w:w="5494" w:type="dxa"/>
          </w:tcPr>
          <w:p>
            <w:pPr>
              <w:pStyle w:val="TableParagraph"/>
              <w:spacing w:line="239" w:lineRule="exact"/>
              <w:rPr>
                <w:b/>
                <w:sz w:val="22"/>
              </w:rPr>
            </w:pPr>
            <w:r>
              <w:rPr>
                <w:b/>
                <w:sz w:val="22"/>
              </w:rPr>
              <w:t>Total</w:t>
            </w:r>
          </w:p>
        </w:tc>
        <w:tc>
          <w:tcPr>
            <w:tcW w:w="1882" w:type="dxa"/>
          </w:tcPr>
          <w:p>
            <w:pPr>
              <w:pStyle w:val="TableParagraph"/>
              <w:spacing w:line="239" w:lineRule="exact"/>
              <w:rPr>
                <w:b/>
                <w:sz w:val="22"/>
              </w:rPr>
            </w:pPr>
            <w:r>
              <w:rPr>
                <w:b/>
                <w:sz w:val="22"/>
              </w:rPr>
              <w:t>$23,311,000</w:t>
            </w:r>
          </w:p>
        </w:tc>
        <w:tc>
          <w:tcPr>
            <w:tcW w:w="1868" w:type="dxa"/>
          </w:tcPr>
          <w:p>
            <w:pPr>
              <w:pStyle w:val="TableParagraph"/>
              <w:spacing w:line="239" w:lineRule="exact"/>
              <w:ind w:left="106"/>
              <w:rPr>
                <w:b/>
                <w:sz w:val="22"/>
              </w:rPr>
            </w:pPr>
            <w:r>
              <w:rPr>
                <w:b/>
                <w:sz w:val="22"/>
              </w:rPr>
              <w:t>2017 - 2022</w:t>
            </w:r>
          </w:p>
        </w:tc>
      </w:tr>
    </w:tbl>
    <w:p>
      <w:pPr>
        <w:spacing w:after="0" w:line="239" w:lineRule="exact"/>
        <w:rPr>
          <w:sz w:val="22"/>
        </w:rPr>
        <w:sectPr>
          <w:pgSz w:w="12240" w:h="15840"/>
          <w:pgMar w:header="0" w:footer="1052" w:top="1360" w:bottom="1320" w:left="1320" w:right="1200"/>
        </w:sectPr>
      </w:pPr>
    </w:p>
    <w:p>
      <w:pPr>
        <w:spacing w:before="79"/>
        <w:ind w:left="120" w:right="0" w:firstLine="0"/>
        <w:jc w:val="left"/>
        <w:rPr>
          <w:rFonts w:ascii="Arial"/>
          <w:b/>
          <w:sz w:val="20"/>
        </w:rPr>
      </w:pPr>
      <w:bookmarkStart w:name="_bookmark70" w:id="190"/>
      <w:bookmarkEnd w:id="190"/>
      <w:r>
        <w:rPr/>
      </w:r>
      <w:r>
        <w:rPr>
          <w:rFonts w:ascii="Arial"/>
          <w:b/>
          <w:sz w:val="20"/>
        </w:rPr>
        <w:t>Figure U-3: Water Mains</w:t>
      </w:r>
    </w:p>
    <w:p>
      <w:pPr>
        <w:spacing w:after="0"/>
        <w:jc w:val="left"/>
        <w:rPr>
          <w:rFonts w:ascii="Arial"/>
          <w:sz w:val="20"/>
        </w:rPr>
        <w:sectPr>
          <w:pgSz w:w="12240" w:h="15840"/>
          <w:pgMar w:header="0" w:footer="1052" w:top="1360" w:bottom="1320" w:left="1320" w:right="1200"/>
        </w:sectPr>
      </w:pPr>
    </w:p>
    <w:p>
      <w:pPr>
        <w:pStyle w:val="Heading7"/>
        <w:jc w:val="both"/>
      </w:pPr>
      <w:bookmarkStart w:name="Section Four" w:id="191"/>
      <w:bookmarkEnd w:id="191"/>
      <w:r>
        <w:rPr/>
      </w:r>
      <w:bookmarkStart w:name="_bookmark71" w:id="192"/>
      <w:bookmarkEnd w:id="192"/>
      <w:r>
        <w:rPr/>
      </w:r>
      <w:r>
        <w:rPr>
          <w:color w:val="4F81BC"/>
        </w:rPr>
        <w:t>SECTION FOUR</w:t>
      </w:r>
    </w:p>
    <w:p>
      <w:pPr>
        <w:pStyle w:val="Heading6"/>
        <w:ind w:left="119"/>
        <w:jc w:val="both"/>
      </w:pPr>
      <w:bookmarkStart w:name="Storm Water System" w:id="193"/>
      <w:bookmarkEnd w:id="193"/>
      <w:r>
        <w:rPr>
          <w:b w:val="0"/>
        </w:rPr>
      </w:r>
      <w:bookmarkStart w:name="EXISTING CONDITIONS" w:id="194"/>
      <w:bookmarkEnd w:id="194"/>
      <w:r>
        <w:rPr>
          <w:b w:val="0"/>
        </w:rPr>
      </w:r>
      <w:bookmarkStart w:name="_bookmark72" w:id="195"/>
      <w:bookmarkEnd w:id="195"/>
      <w:r>
        <w:rPr>
          <w:b w:val="0"/>
        </w:rPr>
      </w:r>
      <w:r>
        <w:rPr/>
        <w:t>STORM WATER SYSTEM</w:t>
      </w:r>
    </w:p>
    <w:p>
      <w:pPr>
        <w:spacing w:before="202"/>
        <w:ind w:left="120" w:right="0" w:firstLine="0"/>
        <w:jc w:val="both"/>
        <w:rPr>
          <w:b/>
          <w:sz w:val="24"/>
        </w:rPr>
      </w:pPr>
      <w:r>
        <w:rPr>
          <w:b/>
          <w:sz w:val="24"/>
        </w:rPr>
        <w:t>EXISTING CONDITIONS</w:t>
      </w:r>
    </w:p>
    <w:p>
      <w:pPr>
        <w:pStyle w:val="BodyText"/>
        <w:spacing w:before="120"/>
        <w:ind w:left="119" w:right="235"/>
        <w:jc w:val="both"/>
      </w:pPr>
      <w:r>
        <w:rPr/>
        <w:t>The storm water service area in Richland is divided into nine drainage areas covering over 30,000 acres. These are: North Richland (NR), Columbia River (CR), Richland Core Area (RC), Yakima River North (YRN), Yakima River South (YRS), CID Main Canal (CM), Amon Wasteway (AW), Badger East Canal (BEC), and Badger Mountain South (BMS).</w:t>
      </w:r>
    </w:p>
    <w:p>
      <w:pPr>
        <w:pStyle w:val="BodyText"/>
        <w:spacing w:before="120"/>
        <w:ind w:left="119"/>
        <w:jc w:val="both"/>
      </w:pPr>
      <w:r>
        <w:rPr/>
        <w:t>The City’s storm water system facilities consist of the following:</w:t>
      </w:r>
    </w:p>
    <w:p>
      <w:pPr>
        <w:pStyle w:val="ListParagraph"/>
        <w:numPr>
          <w:ilvl w:val="1"/>
          <w:numId w:val="10"/>
        </w:numPr>
        <w:tabs>
          <w:tab w:pos="839" w:val="left" w:leader="none"/>
          <w:tab w:pos="840" w:val="left" w:leader="none"/>
        </w:tabs>
        <w:spacing w:line="240" w:lineRule="auto" w:before="59" w:after="0"/>
        <w:ind w:left="839" w:right="0" w:hanging="361"/>
        <w:jc w:val="left"/>
        <w:rPr>
          <w:sz w:val="22"/>
        </w:rPr>
      </w:pPr>
      <w:r>
        <w:rPr>
          <w:sz w:val="22"/>
        </w:rPr>
        <w:t>Collection and</w:t>
      </w:r>
      <w:r>
        <w:rPr>
          <w:spacing w:val="-4"/>
          <w:sz w:val="22"/>
        </w:rPr>
        <w:t> </w:t>
      </w:r>
      <w:r>
        <w:rPr>
          <w:sz w:val="22"/>
        </w:rPr>
        <w:t>conveyance</w:t>
      </w:r>
    </w:p>
    <w:p>
      <w:pPr>
        <w:pStyle w:val="ListParagraph"/>
        <w:numPr>
          <w:ilvl w:val="1"/>
          <w:numId w:val="10"/>
        </w:numPr>
        <w:tabs>
          <w:tab w:pos="839" w:val="left" w:leader="none"/>
          <w:tab w:pos="841" w:val="left" w:leader="none"/>
        </w:tabs>
        <w:spacing w:line="240" w:lineRule="auto" w:before="61" w:after="0"/>
        <w:ind w:left="840" w:right="0" w:hanging="362"/>
        <w:jc w:val="left"/>
        <w:rPr>
          <w:sz w:val="22"/>
        </w:rPr>
      </w:pPr>
      <w:r>
        <w:rPr>
          <w:sz w:val="22"/>
        </w:rPr>
        <w:t>Pumps</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Underground injection control (UIC)</w:t>
      </w:r>
      <w:r>
        <w:rPr>
          <w:spacing w:val="-12"/>
          <w:sz w:val="22"/>
        </w:rPr>
        <w:t> </w:t>
      </w:r>
      <w:r>
        <w:rPr>
          <w:sz w:val="22"/>
        </w:rPr>
        <w:t>facilities</w:t>
      </w:r>
    </w:p>
    <w:p>
      <w:pPr>
        <w:pStyle w:val="ListParagraph"/>
        <w:numPr>
          <w:ilvl w:val="1"/>
          <w:numId w:val="10"/>
        </w:numPr>
        <w:tabs>
          <w:tab w:pos="840" w:val="left" w:leader="none"/>
          <w:tab w:pos="841" w:val="left" w:leader="none"/>
        </w:tabs>
        <w:spacing w:line="240" w:lineRule="auto" w:before="61" w:after="0"/>
        <w:ind w:left="840" w:right="0" w:hanging="361"/>
        <w:jc w:val="left"/>
        <w:rPr>
          <w:sz w:val="22"/>
        </w:rPr>
      </w:pPr>
      <w:r>
        <w:rPr>
          <w:sz w:val="22"/>
        </w:rPr>
        <w:t>Regional detention/ water quality</w:t>
      </w:r>
      <w:r>
        <w:rPr>
          <w:spacing w:val="-6"/>
          <w:sz w:val="22"/>
        </w:rPr>
        <w:t> </w:t>
      </w:r>
      <w:r>
        <w:rPr>
          <w:sz w:val="22"/>
        </w:rPr>
        <w:t>facilities</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Regional</w:t>
      </w:r>
      <w:r>
        <w:rPr>
          <w:spacing w:val="-2"/>
          <w:sz w:val="22"/>
        </w:rPr>
        <w:t> </w:t>
      </w:r>
      <w:r>
        <w:rPr>
          <w:sz w:val="22"/>
        </w:rPr>
        <w:t>outfalls</w:t>
      </w:r>
    </w:p>
    <w:p>
      <w:pPr>
        <w:pStyle w:val="BodyText"/>
        <w:spacing w:before="121"/>
        <w:ind w:left="120" w:right="235"/>
      </w:pPr>
      <w:r>
        <w:rPr/>
        <w:t>The collection and conveyance system includes catch basins, manholes and pipes. Tables U-10 and U-11 indicates existing collection and conveyance facilities.</w:t>
      </w:r>
    </w:p>
    <w:p>
      <w:pPr>
        <w:spacing w:before="120"/>
        <w:ind w:left="120" w:right="0" w:firstLine="0"/>
        <w:jc w:val="left"/>
        <w:rPr>
          <w:rFonts w:ascii="Arial"/>
          <w:b/>
          <w:sz w:val="20"/>
        </w:rPr>
      </w:pPr>
      <w:r>
        <w:rPr>
          <w:rFonts w:ascii="Arial"/>
          <w:b/>
          <w:sz w:val="20"/>
        </w:rPr>
        <w:t>Table U-10: Storm Water Collection Structures</w:t>
      </w:r>
    </w:p>
    <w:p>
      <w:pPr>
        <w:pStyle w:val="BodyText"/>
        <w:spacing w:before="4"/>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36"/>
        <w:gridCol w:w="2016"/>
        <w:gridCol w:w="1930"/>
        <w:gridCol w:w="1762"/>
        <w:gridCol w:w="1700"/>
      </w:tblGrid>
      <w:tr>
        <w:trPr>
          <w:trHeight w:val="1494" w:hRule="atLeast"/>
        </w:trPr>
        <w:tc>
          <w:tcPr>
            <w:tcW w:w="1836" w:type="dxa"/>
            <w:shd w:val="clear" w:color="auto" w:fill="B8CCE3"/>
          </w:tcPr>
          <w:p>
            <w:pPr>
              <w:pStyle w:val="TableParagraph"/>
              <w:spacing w:before="122"/>
              <w:rPr>
                <w:b/>
                <w:sz w:val="22"/>
              </w:rPr>
            </w:pPr>
            <w:r>
              <w:rPr>
                <w:b/>
                <w:sz w:val="22"/>
              </w:rPr>
              <w:t>Owner</w:t>
            </w:r>
          </w:p>
        </w:tc>
        <w:tc>
          <w:tcPr>
            <w:tcW w:w="2016" w:type="dxa"/>
            <w:shd w:val="clear" w:color="auto" w:fill="B8CCE3"/>
          </w:tcPr>
          <w:p>
            <w:pPr>
              <w:pStyle w:val="TableParagraph"/>
              <w:spacing w:line="374" w:lineRule="auto" w:before="122"/>
              <w:ind w:right="176"/>
              <w:rPr>
                <w:b/>
                <w:sz w:val="22"/>
              </w:rPr>
            </w:pPr>
            <w:r>
              <w:rPr>
                <w:b/>
                <w:sz w:val="22"/>
              </w:rPr>
              <w:t>Catch Basins and Manhole Catch Basins</w:t>
            </w:r>
          </w:p>
        </w:tc>
        <w:tc>
          <w:tcPr>
            <w:tcW w:w="1930" w:type="dxa"/>
            <w:shd w:val="clear" w:color="auto" w:fill="B8CCE3"/>
          </w:tcPr>
          <w:p>
            <w:pPr>
              <w:pStyle w:val="TableParagraph"/>
              <w:spacing w:line="404" w:lineRule="exact" w:before="8"/>
              <w:ind w:right="90"/>
              <w:rPr>
                <w:b/>
                <w:sz w:val="22"/>
              </w:rPr>
            </w:pPr>
            <w:r>
              <w:rPr>
                <w:b/>
                <w:sz w:val="22"/>
              </w:rPr>
              <w:t>Catch Basins and Manhole Catch Basins with</w:t>
            </w:r>
          </w:p>
          <w:p>
            <w:pPr>
              <w:pStyle w:val="TableParagraph"/>
              <w:spacing w:line="250" w:lineRule="exact" w:before="0"/>
              <w:rPr>
                <w:b/>
                <w:sz w:val="14"/>
              </w:rPr>
            </w:pPr>
            <w:r>
              <w:rPr>
                <w:b/>
                <w:sz w:val="22"/>
              </w:rPr>
              <w:t>OWS</w:t>
            </w:r>
            <w:r>
              <w:rPr>
                <w:b/>
                <w:position w:val="5"/>
                <w:sz w:val="14"/>
              </w:rPr>
              <w:t>1</w:t>
            </w:r>
          </w:p>
        </w:tc>
        <w:tc>
          <w:tcPr>
            <w:tcW w:w="1762" w:type="dxa"/>
            <w:shd w:val="clear" w:color="auto" w:fill="B8CCE3"/>
          </w:tcPr>
          <w:p>
            <w:pPr>
              <w:pStyle w:val="TableParagraph"/>
              <w:spacing w:before="122"/>
              <w:rPr>
                <w:b/>
                <w:sz w:val="22"/>
              </w:rPr>
            </w:pPr>
            <w:r>
              <w:rPr>
                <w:b/>
                <w:sz w:val="22"/>
              </w:rPr>
              <w:t>Manhole</w:t>
            </w:r>
          </w:p>
        </w:tc>
        <w:tc>
          <w:tcPr>
            <w:tcW w:w="1700" w:type="dxa"/>
            <w:shd w:val="clear" w:color="auto" w:fill="B8CCE3"/>
          </w:tcPr>
          <w:p>
            <w:pPr>
              <w:pStyle w:val="TableParagraph"/>
              <w:spacing w:line="264" w:lineRule="auto" w:before="122"/>
              <w:ind w:left="106" w:right="581"/>
              <w:rPr>
                <w:b/>
                <w:sz w:val="22"/>
              </w:rPr>
            </w:pPr>
            <w:r>
              <w:rPr>
                <w:b/>
                <w:sz w:val="22"/>
              </w:rPr>
              <w:t>Manholes with OWS</w:t>
            </w:r>
          </w:p>
        </w:tc>
      </w:tr>
      <w:tr>
        <w:trPr>
          <w:trHeight w:val="318" w:hRule="atLeast"/>
        </w:trPr>
        <w:tc>
          <w:tcPr>
            <w:tcW w:w="1836" w:type="dxa"/>
          </w:tcPr>
          <w:p>
            <w:pPr>
              <w:pStyle w:val="TableParagraph"/>
              <w:spacing w:line="237" w:lineRule="exact" w:before="62"/>
              <w:rPr>
                <w:sz w:val="22"/>
              </w:rPr>
            </w:pPr>
            <w:r>
              <w:rPr>
                <w:sz w:val="22"/>
              </w:rPr>
              <w:t>City</w:t>
            </w:r>
          </w:p>
        </w:tc>
        <w:tc>
          <w:tcPr>
            <w:tcW w:w="2016" w:type="dxa"/>
          </w:tcPr>
          <w:p>
            <w:pPr>
              <w:pStyle w:val="TableParagraph"/>
              <w:spacing w:line="237" w:lineRule="exact" w:before="62"/>
              <w:ind w:left="0" w:right="1361"/>
              <w:jc w:val="right"/>
              <w:rPr>
                <w:sz w:val="22"/>
              </w:rPr>
            </w:pPr>
            <w:r>
              <w:rPr>
                <w:sz w:val="22"/>
              </w:rPr>
              <w:t>3,995</w:t>
            </w:r>
          </w:p>
        </w:tc>
        <w:tc>
          <w:tcPr>
            <w:tcW w:w="1930" w:type="dxa"/>
          </w:tcPr>
          <w:p>
            <w:pPr>
              <w:pStyle w:val="TableParagraph"/>
              <w:spacing w:line="237" w:lineRule="exact" w:before="62"/>
              <w:ind w:left="0" w:right="1443"/>
              <w:jc w:val="right"/>
              <w:rPr>
                <w:sz w:val="22"/>
              </w:rPr>
            </w:pPr>
            <w:r>
              <w:rPr>
                <w:sz w:val="22"/>
              </w:rPr>
              <w:t>166</w:t>
            </w:r>
          </w:p>
        </w:tc>
        <w:tc>
          <w:tcPr>
            <w:tcW w:w="1762" w:type="dxa"/>
          </w:tcPr>
          <w:p>
            <w:pPr>
              <w:pStyle w:val="TableParagraph"/>
              <w:spacing w:line="237" w:lineRule="exact" w:before="62"/>
              <w:rPr>
                <w:sz w:val="22"/>
              </w:rPr>
            </w:pPr>
            <w:r>
              <w:rPr>
                <w:sz w:val="22"/>
              </w:rPr>
              <w:t>1,928</w:t>
            </w:r>
          </w:p>
        </w:tc>
        <w:tc>
          <w:tcPr>
            <w:tcW w:w="1700" w:type="dxa"/>
          </w:tcPr>
          <w:p>
            <w:pPr>
              <w:pStyle w:val="TableParagraph"/>
              <w:spacing w:line="237" w:lineRule="exact" w:before="62"/>
              <w:ind w:left="106"/>
              <w:rPr>
                <w:sz w:val="22"/>
              </w:rPr>
            </w:pPr>
            <w:r>
              <w:rPr>
                <w:sz w:val="22"/>
              </w:rPr>
              <w:t>12</w:t>
            </w:r>
          </w:p>
        </w:tc>
      </w:tr>
      <w:tr>
        <w:trPr>
          <w:trHeight w:val="318" w:hRule="atLeast"/>
        </w:trPr>
        <w:tc>
          <w:tcPr>
            <w:tcW w:w="1836" w:type="dxa"/>
          </w:tcPr>
          <w:p>
            <w:pPr>
              <w:pStyle w:val="TableParagraph"/>
              <w:spacing w:line="239" w:lineRule="exact"/>
              <w:rPr>
                <w:sz w:val="22"/>
              </w:rPr>
            </w:pPr>
            <w:r>
              <w:rPr>
                <w:sz w:val="22"/>
              </w:rPr>
              <w:t>Port of Benton</w:t>
            </w:r>
          </w:p>
        </w:tc>
        <w:tc>
          <w:tcPr>
            <w:tcW w:w="2016" w:type="dxa"/>
          </w:tcPr>
          <w:p>
            <w:pPr>
              <w:pStyle w:val="TableParagraph"/>
              <w:spacing w:line="239" w:lineRule="exact"/>
              <w:ind w:left="0" w:right="1385"/>
              <w:jc w:val="right"/>
              <w:rPr>
                <w:sz w:val="22"/>
              </w:rPr>
            </w:pPr>
            <w:r>
              <w:rPr>
                <w:sz w:val="22"/>
              </w:rPr>
              <w:t>160</w:t>
            </w:r>
          </w:p>
        </w:tc>
        <w:tc>
          <w:tcPr>
            <w:tcW w:w="1930" w:type="dxa"/>
          </w:tcPr>
          <w:p>
            <w:pPr>
              <w:pStyle w:val="TableParagraph"/>
              <w:spacing w:line="239" w:lineRule="exact"/>
              <w:ind w:left="0" w:right="1447"/>
              <w:jc w:val="right"/>
              <w:rPr>
                <w:sz w:val="22"/>
              </w:rPr>
            </w:pPr>
            <w:r>
              <w:rPr>
                <w:w w:val="100"/>
                <w:sz w:val="22"/>
              </w:rPr>
              <w:t>0</w:t>
            </w:r>
          </w:p>
        </w:tc>
        <w:tc>
          <w:tcPr>
            <w:tcW w:w="1762" w:type="dxa"/>
          </w:tcPr>
          <w:p>
            <w:pPr>
              <w:pStyle w:val="TableParagraph"/>
              <w:spacing w:line="239" w:lineRule="exact"/>
              <w:ind w:left="493"/>
              <w:rPr>
                <w:sz w:val="22"/>
              </w:rPr>
            </w:pPr>
            <w:r>
              <w:rPr>
                <w:w w:val="100"/>
                <w:sz w:val="22"/>
              </w:rPr>
              <w:t>0</w:t>
            </w:r>
          </w:p>
        </w:tc>
        <w:tc>
          <w:tcPr>
            <w:tcW w:w="1700" w:type="dxa"/>
          </w:tcPr>
          <w:p>
            <w:pPr>
              <w:pStyle w:val="TableParagraph"/>
              <w:spacing w:line="239" w:lineRule="exact"/>
              <w:ind w:left="202"/>
              <w:rPr>
                <w:sz w:val="22"/>
              </w:rPr>
            </w:pPr>
            <w:r>
              <w:rPr>
                <w:w w:val="100"/>
                <w:sz w:val="22"/>
              </w:rPr>
              <w:t>0</w:t>
            </w:r>
          </w:p>
        </w:tc>
      </w:tr>
      <w:tr>
        <w:trPr>
          <w:trHeight w:val="316" w:hRule="atLeast"/>
        </w:trPr>
        <w:tc>
          <w:tcPr>
            <w:tcW w:w="9244" w:type="dxa"/>
            <w:gridSpan w:val="5"/>
          </w:tcPr>
          <w:p>
            <w:pPr>
              <w:pStyle w:val="TableParagraph"/>
              <w:spacing w:line="237" w:lineRule="exact"/>
              <w:rPr>
                <w:sz w:val="22"/>
              </w:rPr>
            </w:pPr>
            <w:r>
              <w:rPr>
                <w:position w:val="5"/>
                <w:sz w:val="14"/>
              </w:rPr>
              <w:t>1 </w:t>
            </w:r>
            <w:r>
              <w:rPr>
                <w:sz w:val="22"/>
              </w:rPr>
              <w:t>Oil Water Separator</w:t>
            </w:r>
          </w:p>
        </w:tc>
      </w:tr>
    </w:tbl>
    <w:p>
      <w:pPr>
        <w:pStyle w:val="BodyText"/>
        <w:rPr>
          <w:rFonts w:ascii="Arial"/>
          <w:b/>
        </w:rPr>
      </w:pPr>
    </w:p>
    <w:p>
      <w:pPr>
        <w:pStyle w:val="BodyText"/>
        <w:spacing w:before="10"/>
        <w:rPr>
          <w:rFonts w:ascii="Arial"/>
          <w:b/>
          <w:sz w:val="18"/>
        </w:rPr>
      </w:pPr>
    </w:p>
    <w:p>
      <w:pPr>
        <w:spacing w:before="0"/>
        <w:ind w:left="120" w:right="0" w:firstLine="0"/>
        <w:jc w:val="left"/>
        <w:rPr>
          <w:rFonts w:ascii="Arial"/>
          <w:b/>
          <w:sz w:val="20"/>
        </w:rPr>
      </w:pPr>
      <w:r>
        <w:rPr>
          <w:rFonts w:ascii="Arial"/>
          <w:b/>
          <w:sz w:val="20"/>
        </w:rPr>
        <w:t>Table U-11: Storm Water Conveyance Facilities (length in Units of Miles)</w:t>
      </w:r>
    </w:p>
    <w:p>
      <w:pPr>
        <w:pStyle w:val="BodyText"/>
        <w:spacing w:before="5" w:after="1"/>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3"/>
        <w:gridCol w:w="2004"/>
        <w:gridCol w:w="1951"/>
        <w:gridCol w:w="1757"/>
        <w:gridCol w:w="1687"/>
      </w:tblGrid>
      <w:tr>
        <w:trPr>
          <w:trHeight w:val="808" w:hRule="atLeast"/>
        </w:trPr>
        <w:tc>
          <w:tcPr>
            <w:tcW w:w="1843" w:type="dxa"/>
            <w:shd w:val="clear" w:color="auto" w:fill="B8CCE3"/>
          </w:tcPr>
          <w:p>
            <w:pPr>
              <w:pStyle w:val="TableParagraph"/>
              <w:spacing w:before="119"/>
              <w:rPr>
                <w:b/>
                <w:sz w:val="22"/>
              </w:rPr>
            </w:pPr>
            <w:r>
              <w:rPr>
                <w:b/>
                <w:sz w:val="22"/>
              </w:rPr>
              <w:t>Gravity Pipe</w:t>
            </w:r>
          </w:p>
        </w:tc>
        <w:tc>
          <w:tcPr>
            <w:tcW w:w="2004" w:type="dxa"/>
            <w:shd w:val="clear" w:color="auto" w:fill="B8CCE3"/>
          </w:tcPr>
          <w:p>
            <w:pPr>
              <w:pStyle w:val="TableParagraph"/>
              <w:spacing w:before="119"/>
              <w:rPr>
                <w:b/>
                <w:sz w:val="22"/>
              </w:rPr>
            </w:pPr>
            <w:r>
              <w:rPr>
                <w:b/>
                <w:sz w:val="22"/>
              </w:rPr>
              <w:t>Force Main</w:t>
            </w:r>
          </w:p>
        </w:tc>
        <w:tc>
          <w:tcPr>
            <w:tcW w:w="1951" w:type="dxa"/>
            <w:shd w:val="clear" w:color="auto" w:fill="B8CCE3"/>
          </w:tcPr>
          <w:p>
            <w:pPr>
              <w:pStyle w:val="TableParagraph"/>
              <w:spacing w:line="266" w:lineRule="auto" w:before="119"/>
              <w:ind w:right="199"/>
              <w:rPr>
                <w:b/>
                <w:sz w:val="22"/>
              </w:rPr>
            </w:pPr>
            <w:r>
              <w:rPr>
                <w:b/>
                <w:sz w:val="22"/>
              </w:rPr>
              <w:t>Perforated Pipe and Underdrain</w:t>
            </w:r>
          </w:p>
        </w:tc>
        <w:tc>
          <w:tcPr>
            <w:tcW w:w="1757" w:type="dxa"/>
            <w:shd w:val="clear" w:color="auto" w:fill="B8CCE3"/>
          </w:tcPr>
          <w:p>
            <w:pPr>
              <w:pStyle w:val="TableParagraph"/>
              <w:spacing w:before="119"/>
              <w:ind w:left="108"/>
              <w:rPr>
                <w:b/>
                <w:sz w:val="22"/>
              </w:rPr>
            </w:pPr>
            <w:r>
              <w:rPr>
                <w:b/>
                <w:sz w:val="22"/>
              </w:rPr>
              <w:t>Culvert</w:t>
            </w:r>
          </w:p>
        </w:tc>
        <w:tc>
          <w:tcPr>
            <w:tcW w:w="1687" w:type="dxa"/>
            <w:shd w:val="clear" w:color="auto" w:fill="B8CCE3"/>
          </w:tcPr>
          <w:p>
            <w:pPr>
              <w:pStyle w:val="TableParagraph"/>
              <w:spacing w:before="119"/>
              <w:ind w:left="108"/>
              <w:rPr>
                <w:b/>
                <w:sz w:val="22"/>
              </w:rPr>
            </w:pPr>
            <w:r>
              <w:rPr>
                <w:b/>
                <w:sz w:val="22"/>
              </w:rPr>
              <w:t>Open Chanel</w:t>
            </w:r>
          </w:p>
        </w:tc>
      </w:tr>
      <w:tr>
        <w:trPr>
          <w:trHeight w:val="318" w:hRule="atLeast"/>
        </w:trPr>
        <w:tc>
          <w:tcPr>
            <w:tcW w:w="1843" w:type="dxa"/>
          </w:tcPr>
          <w:p>
            <w:pPr>
              <w:pStyle w:val="TableParagraph"/>
              <w:spacing w:line="239" w:lineRule="exact"/>
              <w:rPr>
                <w:sz w:val="22"/>
              </w:rPr>
            </w:pPr>
            <w:r>
              <w:rPr>
                <w:sz w:val="22"/>
              </w:rPr>
              <w:t>127.3</w:t>
            </w:r>
          </w:p>
        </w:tc>
        <w:tc>
          <w:tcPr>
            <w:tcW w:w="2004" w:type="dxa"/>
          </w:tcPr>
          <w:p>
            <w:pPr>
              <w:pStyle w:val="TableParagraph"/>
              <w:spacing w:line="239" w:lineRule="exact"/>
              <w:ind w:left="251"/>
              <w:rPr>
                <w:sz w:val="22"/>
              </w:rPr>
            </w:pPr>
            <w:r>
              <w:rPr>
                <w:sz w:val="22"/>
              </w:rPr>
              <w:t>0.7</w:t>
            </w:r>
          </w:p>
        </w:tc>
        <w:tc>
          <w:tcPr>
            <w:tcW w:w="1951" w:type="dxa"/>
          </w:tcPr>
          <w:p>
            <w:pPr>
              <w:pStyle w:val="TableParagraph"/>
              <w:spacing w:line="239" w:lineRule="exact"/>
              <w:ind w:left="252"/>
              <w:rPr>
                <w:sz w:val="22"/>
              </w:rPr>
            </w:pPr>
            <w:r>
              <w:rPr>
                <w:sz w:val="22"/>
              </w:rPr>
              <w:t>2.6</w:t>
            </w:r>
          </w:p>
        </w:tc>
        <w:tc>
          <w:tcPr>
            <w:tcW w:w="1757" w:type="dxa"/>
          </w:tcPr>
          <w:p>
            <w:pPr>
              <w:pStyle w:val="TableParagraph"/>
              <w:spacing w:line="239" w:lineRule="exact"/>
              <w:ind w:left="252"/>
              <w:rPr>
                <w:sz w:val="22"/>
              </w:rPr>
            </w:pPr>
            <w:r>
              <w:rPr>
                <w:sz w:val="22"/>
              </w:rPr>
              <w:t>3.2</w:t>
            </w:r>
          </w:p>
        </w:tc>
        <w:tc>
          <w:tcPr>
            <w:tcW w:w="1687" w:type="dxa"/>
          </w:tcPr>
          <w:p>
            <w:pPr>
              <w:pStyle w:val="TableParagraph"/>
              <w:spacing w:line="239" w:lineRule="exact"/>
              <w:ind w:left="156"/>
              <w:rPr>
                <w:sz w:val="22"/>
              </w:rPr>
            </w:pPr>
            <w:r>
              <w:rPr>
                <w:sz w:val="22"/>
              </w:rPr>
              <w:t>11.5</w:t>
            </w:r>
          </w:p>
        </w:tc>
      </w:tr>
    </w:tbl>
    <w:p>
      <w:pPr>
        <w:pStyle w:val="BodyText"/>
        <w:spacing w:before="119"/>
        <w:ind w:left="119" w:right="235"/>
      </w:pPr>
      <w:r>
        <w:rPr/>
        <w:t>The storm water system includes public and privately owned seven pump stations throughout the City as indicated in Table U-12 below.</w:t>
      </w:r>
    </w:p>
    <w:p>
      <w:pPr>
        <w:spacing w:after="0"/>
        <w:sectPr>
          <w:pgSz w:w="12240" w:h="15840"/>
          <w:pgMar w:header="0" w:footer="1052" w:top="1420" w:bottom="1320" w:left="1320" w:right="1200"/>
        </w:sectPr>
      </w:pPr>
    </w:p>
    <w:p>
      <w:pPr>
        <w:pStyle w:val="BodyText"/>
        <w:spacing w:before="9"/>
        <w:rPr>
          <w:sz w:val="16"/>
        </w:rPr>
      </w:pPr>
    </w:p>
    <w:p>
      <w:pPr>
        <w:spacing w:before="93"/>
        <w:ind w:left="120" w:right="0" w:firstLine="0"/>
        <w:jc w:val="both"/>
        <w:rPr>
          <w:rFonts w:ascii="Arial"/>
          <w:b/>
          <w:sz w:val="20"/>
        </w:rPr>
      </w:pPr>
      <w:r>
        <w:rPr>
          <w:rFonts w:ascii="Arial"/>
          <w:b/>
          <w:sz w:val="20"/>
        </w:rPr>
        <w:t>Table U-12: Storm Water System Pumps</w:t>
      </w:r>
    </w:p>
    <w:p>
      <w:pPr>
        <w:pStyle w:val="BodyText"/>
        <w:spacing w:before="6"/>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60"/>
        <w:gridCol w:w="1980"/>
        <w:gridCol w:w="1800"/>
      </w:tblGrid>
      <w:tr>
        <w:trPr>
          <w:trHeight w:val="806" w:hRule="atLeast"/>
        </w:trPr>
        <w:tc>
          <w:tcPr>
            <w:tcW w:w="3960" w:type="dxa"/>
            <w:shd w:val="clear" w:color="auto" w:fill="B8CCE3"/>
          </w:tcPr>
          <w:p>
            <w:pPr>
              <w:pStyle w:val="TableParagraph"/>
              <w:spacing w:before="119"/>
              <w:rPr>
                <w:b/>
                <w:sz w:val="22"/>
              </w:rPr>
            </w:pPr>
            <w:r>
              <w:rPr>
                <w:b/>
                <w:sz w:val="22"/>
              </w:rPr>
              <w:t>Name</w:t>
            </w:r>
          </w:p>
        </w:tc>
        <w:tc>
          <w:tcPr>
            <w:tcW w:w="1980" w:type="dxa"/>
            <w:shd w:val="clear" w:color="auto" w:fill="B8CCE3"/>
          </w:tcPr>
          <w:p>
            <w:pPr>
              <w:pStyle w:val="TableParagraph"/>
              <w:spacing w:before="119"/>
              <w:rPr>
                <w:b/>
                <w:sz w:val="22"/>
              </w:rPr>
            </w:pPr>
            <w:r>
              <w:rPr>
                <w:b/>
                <w:sz w:val="22"/>
              </w:rPr>
              <w:t>Owner</w:t>
            </w:r>
          </w:p>
        </w:tc>
        <w:tc>
          <w:tcPr>
            <w:tcW w:w="1800" w:type="dxa"/>
            <w:shd w:val="clear" w:color="auto" w:fill="B8CCE3"/>
          </w:tcPr>
          <w:p>
            <w:pPr>
              <w:pStyle w:val="TableParagraph"/>
              <w:spacing w:line="404" w:lineRule="exact" w:before="5"/>
              <w:ind w:right="800"/>
              <w:rPr>
                <w:b/>
                <w:sz w:val="22"/>
              </w:rPr>
            </w:pPr>
            <w:r>
              <w:rPr>
                <w:b/>
                <w:sz w:val="22"/>
              </w:rPr>
              <w:t>Capacity (GPM)</w:t>
            </w:r>
          </w:p>
        </w:tc>
      </w:tr>
      <w:tr>
        <w:trPr>
          <w:trHeight w:val="311" w:hRule="atLeast"/>
        </w:trPr>
        <w:tc>
          <w:tcPr>
            <w:tcW w:w="3960" w:type="dxa"/>
          </w:tcPr>
          <w:p>
            <w:pPr>
              <w:pStyle w:val="TableParagraph"/>
              <w:spacing w:line="239" w:lineRule="exact" w:before="52"/>
              <w:rPr>
                <w:sz w:val="22"/>
              </w:rPr>
            </w:pPr>
            <w:r>
              <w:rPr>
                <w:sz w:val="22"/>
              </w:rPr>
              <w:t>Carriage Pump Station</w:t>
            </w:r>
          </w:p>
        </w:tc>
        <w:tc>
          <w:tcPr>
            <w:tcW w:w="1980" w:type="dxa"/>
          </w:tcPr>
          <w:p>
            <w:pPr>
              <w:pStyle w:val="TableParagraph"/>
              <w:spacing w:line="239" w:lineRule="exact" w:before="52"/>
              <w:rPr>
                <w:sz w:val="22"/>
              </w:rPr>
            </w:pPr>
            <w:r>
              <w:rPr>
                <w:sz w:val="22"/>
              </w:rPr>
              <w:t>City</w:t>
            </w:r>
          </w:p>
        </w:tc>
        <w:tc>
          <w:tcPr>
            <w:tcW w:w="1800" w:type="dxa"/>
          </w:tcPr>
          <w:p>
            <w:pPr>
              <w:pStyle w:val="TableParagraph"/>
              <w:spacing w:line="239" w:lineRule="exact" w:before="52"/>
              <w:rPr>
                <w:sz w:val="22"/>
              </w:rPr>
            </w:pPr>
            <w:r>
              <w:rPr>
                <w:sz w:val="22"/>
              </w:rPr>
              <w:t>1,045</w:t>
            </w:r>
          </w:p>
        </w:tc>
      </w:tr>
      <w:tr>
        <w:trPr>
          <w:trHeight w:val="318" w:hRule="atLeast"/>
        </w:trPr>
        <w:tc>
          <w:tcPr>
            <w:tcW w:w="3960" w:type="dxa"/>
          </w:tcPr>
          <w:p>
            <w:pPr>
              <w:pStyle w:val="TableParagraph"/>
              <w:spacing w:line="239" w:lineRule="exact"/>
              <w:rPr>
                <w:sz w:val="22"/>
              </w:rPr>
            </w:pPr>
            <w:r>
              <w:rPr>
                <w:sz w:val="22"/>
              </w:rPr>
              <w:t>McMurray Pump Station</w:t>
            </w:r>
          </w:p>
        </w:tc>
        <w:tc>
          <w:tcPr>
            <w:tcW w:w="1980" w:type="dxa"/>
          </w:tcPr>
          <w:p>
            <w:pPr>
              <w:pStyle w:val="TableParagraph"/>
              <w:spacing w:line="239" w:lineRule="exact"/>
              <w:rPr>
                <w:sz w:val="22"/>
              </w:rPr>
            </w:pPr>
            <w:r>
              <w:rPr>
                <w:sz w:val="22"/>
              </w:rPr>
              <w:t>City</w:t>
            </w:r>
          </w:p>
        </w:tc>
        <w:tc>
          <w:tcPr>
            <w:tcW w:w="1800" w:type="dxa"/>
          </w:tcPr>
          <w:p>
            <w:pPr>
              <w:pStyle w:val="TableParagraph"/>
              <w:spacing w:line="239" w:lineRule="exact"/>
              <w:rPr>
                <w:sz w:val="22"/>
              </w:rPr>
            </w:pPr>
            <w:r>
              <w:rPr>
                <w:sz w:val="22"/>
              </w:rPr>
              <w:t>5,790</w:t>
            </w:r>
          </w:p>
        </w:tc>
      </w:tr>
      <w:tr>
        <w:trPr>
          <w:trHeight w:val="316" w:hRule="atLeast"/>
        </w:trPr>
        <w:tc>
          <w:tcPr>
            <w:tcW w:w="3960" w:type="dxa"/>
          </w:tcPr>
          <w:p>
            <w:pPr>
              <w:pStyle w:val="TableParagraph"/>
              <w:spacing w:line="237" w:lineRule="exact"/>
              <w:rPr>
                <w:sz w:val="22"/>
              </w:rPr>
            </w:pPr>
            <w:r>
              <w:rPr>
                <w:sz w:val="22"/>
              </w:rPr>
              <w:t>Berkshire</w:t>
            </w:r>
          </w:p>
        </w:tc>
        <w:tc>
          <w:tcPr>
            <w:tcW w:w="1980" w:type="dxa"/>
          </w:tcPr>
          <w:p>
            <w:pPr>
              <w:pStyle w:val="TableParagraph"/>
              <w:spacing w:line="237" w:lineRule="exact"/>
              <w:rPr>
                <w:sz w:val="22"/>
              </w:rPr>
            </w:pPr>
            <w:r>
              <w:rPr>
                <w:sz w:val="22"/>
              </w:rPr>
              <w:t>City</w:t>
            </w:r>
          </w:p>
        </w:tc>
        <w:tc>
          <w:tcPr>
            <w:tcW w:w="1800" w:type="dxa"/>
          </w:tcPr>
          <w:p>
            <w:pPr>
              <w:pStyle w:val="TableParagraph"/>
              <w:spacing w:line="237" w:lineRule="exact"/>
              <w:rPr>
                <w:sz w:val="22"/>
              </w:rPr>
            </w:pPr>
            <w:r>
              <w:rPr>
                <w:sz w:val="22"/>
              </w:rPr>
              <w:t>Unknown</w:t>
            </w:r>
          </w:p>
        </w:tc>
      </w:tr>
      <w:tr>
        <w:trPr>
          <w:trHeight w:val="318" w:hRule="atLeast"/>
        </w:trPr>
        <w:tc>
          <w:tcPr>
            <w:tcW w:w="3960" w:type="dxa"/>
          </w:tcPr>
          <w:p>
            <w:pPr>
              <w:pStyle w:val="TableParagraph"/>
              <w:spacing w:line="239" w:lineRule="exact"/>
              <w:rPr>
                <w:sz w:val="22"/>
              </w:rPr>
            </w:pPr>
            <w:r>
              <w:rPr>
                <w:sz w:val="22"/>
              </w:rPr>
              <w:t>Corps of Engineers Pump Station</w:t>
            </w:r>
          </w:p>
        </w:tc>
        <w:tc>
          <w:tcPr>
            <w:tcW w:w="1980" w:type="dxa"/>
          </w:tcPr>
          <w:p>
            <w:pPr>
              <w:pStyle w:val="TableParagraph"/>
              <w:spacing w:line="239" w:lineRule="exact"/>
              <w:rPr>
                <w:sz w:val="22"/>
              </w:rPr>
            </w:pPr>
            <w:r>
              <w:rPr>
                <w:sz w:val="22"/>
              </w:rPr>
              <w:t>USACE</w:t>
            </w:r>
          </w:p>
        </w:tc>
        <w:tc>
          <w:tcPr>
            <w:tcW w:w="1800" w:type="dxa"/>
          </w:tcPr>
          <w:p>
            <w:pPr>
              <w:pStyle w:val="TableParagraph"/>
              <w:spacing w:line="239" w:lineRule="exact"/>
              <w:rPr>
                <w:sz w:val="22"/>
              </w:rPr>
            </w:pPr>
            <w:r>
              <w:rPr>
                <w:sz w:val="22"/>
              </w:rPr>
              <w:t>Unknown</w:t>
            </w:r>
          </w:p>
        </w:tc>
      </w:tr>
      <w:tr>
        <w:trPr>
          <w:trHeight w:val="316" w:hRule="atLeast"/>
        </w:trPr>
        <w:tc>
          <w:tcPr>
            <w:tcW w:w="3960" w:type="dxa"/>
          </w:tcPr>
          <w:p>
            <w:pPr>
              <w:pStyle w:val="TableParagraph"/>
              <w:spacing w:line="237" w:lineRule="exact"/>
              <w:rPr>
                <w:sz w:val="22"/>
              </w:rPr>
            </w:pPr>
            <w:r>
              <w:rPr>
                <w:sz w:val="22"/>
              </w:rPr>
              <w:t>Horn Rapids Triangle Pump Station</w:t>
            </w:r>
          </w:p>
        </w:tc>
        <w:tc>
          <w:tcPr>
            <w:tcW w:w="1980" w:type="dxa"/>
          </w:tcPr>
          <w:p>
            <w:pPr>
              <w:pStyle w:val="TableParagraph"/>
              <w:spacing w:line="237" w:lineRule="exact"/>
              <w:rPr>
                <w:sz w:val="22"/>
              </w:rPr>
            </w:pPr>
            <w:r>
              <w:rPr>
                <w:sz w:val="22"/>
              </w:rPr>
              <w:t>City</w:t>
            </w:r>
          </w:p>
        </w:tc>
        <w:tc>
          <w:tcPr>
            <w:tcW w:w="1800" w:type="dxa"/>
          </w:tcPr>
          <w:p>
            <w:pPr>
              <w:pStyle w:val="TableParagraph"/>
              <w:spacing w:line="237" w:lineRule="exact"/>
              <w:rPr>
                <w:sz w:val="22"/>
              </w:rPr>
            </w:pPr>
            <w:r>
              <w:rPr>
                <w:sz w:val="22"/>
              </w:rPr>
              <w:t>Unknown</w:t>
            </w:r>
          </w:p>
        </w:tc>
      </w:tr>
      <w:tr>
        <w:trPr>
          <w:trHeight w:val="318" w:hRule="atLeast"/>
        </w:trPr>
        <w:tc>
          <w:tcPr>
            <w:tcW w:w="3960" w:type="dxa"/>
          </w:tcPr>
          <w:p>
            <w:pPr>
              <w:pStyle w:val="TableParagraph"/>
              <w:spacing w:line="237" w:lineRule="exact" w:before="62"/>
              <w:rPr>
                <w:sz w:val="22"/>
              </w:rPr>
            </w:pPr>
            <w:r>
              <w:rPr>
                <w:sz w:val="22"/>
              </w:rPr>
              <w:t>Lawless Pump Station</w:t>
            </w:r>
          </w:p>
        </w:tc>
        <w:tc>
          <w:tcPr>
            <w:tcW w:w="1980" w:type="dxa"/>
          </w:tcPr>
          <w:p>
            <w:pPr>
              <w:pStyle w:val="TableParagraph"/>
              <w:spacing w:line="237" w:lineRule="exact" w:before="62"/>
              <w:rPr>
                <w:sz w:val="22"/>
              </w:rPr>
            </w:pPr>
            <w:r>
              <w:rPr>
                <w:sz w:val="22"/>
              </w:rPr>
              <w:t>Private</w:t>
            </w:r>
          </w:p>
        </w:tc>
        <w:tc>
          <w:tcPr>
            <w:tcW w:w="1800" w:type="dxa"/>
          </w:tcPr>
          <w:p>
            <w:pPr>
              <w:pStyle w:val="TableParagraph"/>
              <w:spacing w:line="237" w:lineRule="exact" w:before="62"/>
              <w:rPr>
                <w:sz w:val="22"/>
              </w:rPr>
            </w:pPr>
            <w:r>
              <w:rPr>
                <w:sz w:val="22"/>
              </w:rPr>
              <w:t>Unknown</w:t>
            </w:r>
          </w:p>
        </w:tc>
      </w:tr>
      <w:tr>
        <w:trPr>
          <w:trHeight w:val="318" w:hRule="atLeast"/>
        </w:trPr>
        <w:tc>
          <w:tcPr>
            <w:tcW w:w="3960" w:type="dxa"/>
          </w:tcPr>
          <w:p>
            <w:pPr>
              <w:pStyle w:val="TableParagraph"/>
              <w:spacing w:line="239" w:lineRule="exact"/>
              <w:rPr>
                <w:sz w:val="22"/>
              </w:rPr>
            </w:pPr>
            <w:r>
              <w:rPr>
                <w:sz w:val="22"/>
              </w:rPr>
              <w:t>Wellsian Pump Station</w:t>
            </w:r>
          </w:p>
        </w:tc>
        <w:tc>
          <w:tcPr>
            <w:tcW w:w="1980" w:type="dxa"/>
          </w:tcPr>
          <w:p>
            <w:pPr>
              <w:pStyle w:val="TableParagraph"/>
              <w:spacing w:line="239" w:lineRule="exact"/>
              <w:rPr>
                <w:sz w:val="22"/>
              </w:rPr>
            </w:pPr>
            <w:r>
              <w:rPr>
                <w:sz w:val="22"/>
              </w:rPr>
              <w:t>Private</w:t>
            </w:r>
          </w:p>
        </w:tc>
        <w:tc>
          <w:tcPr>
            <w:tcW w:w="1800" w:type="dxa"/>
          </w:tcPr>
          <w:p>
            <w:pPr>
              <w:pStyle w:val="TableParagraph"/>
              <w:spacing w:line="239" w:lineRule="exact"/>
              <w:rPr>
                <w:sz w:val="22"/>
              </w:rPr>
            </w:pPr>
            <w:r>
              <w:rPr>
                <w:sz w:val="22"/>
              </w:rPr>
              <w:t>Unknown</w:t>
            </w:r>
          </w:p>
        </w:tc>
      </w:tr>
    </w:tbl>
    <w:p>
      <w:pPr>
        <w:pStyle w:val="BodyText"/>
        <w:spacing w:before="119"/>
        <w:ind w:left="120" w:right="234" w:hanging="1"/>
        <w:jc w:val="both"/>
      </w:pPr>
      <w:r>
        <w:rPr/>
        <w:t>Some</w:t>
      </w:r>
      <w:r>
        <w:rPr>
          <w:spacing w:val="-4"/>
        </w:rPr>
        <w:t> </w:t>
      </w:r>
      <w:r>
        <w:rPr/>
        <w:t>storm</w:t>
      </w:r>
      <w:r>
        <w:rPr>
          <w:spacing w:val="-3"/>
        </w:rPr>
        <w:t> </w:t>
      </w:r>
      <w:r>
        <w:rPr/>
        <w:t>water</w:t>
      </w:r>
      <w:r>
        <w:rPr>
          <w:spacing w:val="-5"/>
        </w:rPr>
        <w:t> </w:t>
      </w:r>
      <w:r>
        <w:rPr/>
        <w:t>runoff</w:t>
      </w:r>
      <w:r>
        <w:rPr>
          <w:spacing w:val="-4"/>
        </w:rPr>
        <w:t> </w:t>
      </w:r>
      <w:r>
        <w:rPr/>
        <w:t>generated</w:t>
      </w:r>
      <w:r>
        <w:rPr>
          <w:spacing w:val="-3"/>
        </w:rPr>
        <w:t> </w:t>
      </w:r>
      <w:r>
        <w:rPr/>
        <w:t>within</w:t>
      </w:r>
      <w:r>
        <w:rPr>
          <w:spacing w:val="-5"/>
        </w:rPr>
        <w:t> </w:t>
      </w:r>
      <w:r>
        <w:rPr/>
        <w:t>the</w:t>
      </w:r>
      <w:r>
        <w:rPr>
          <w:spacing w:val="-6"/>
        </w:rPr>
        <w:t> </w:t>
      </w:r>
      <w:r>
        <w:rPr/>
        <w:t>City</w:t>
      </w:r>
      <w:r>
        <w:rPr>
          <w:spacing w:val="-7"/>
        </w:rPr>
        <w:t> </w:t>
      </w:r>
      <w:r>
        <w:rPr/>
        <w:t>is</w:t>
      </w:r>
      <w:r>
        <w:rPr>
          <w:spacing w:val="-2"/>
        </w:rPr>
        <w:t> </w:t>
      </w:r>
      <w:r>
        <w:rPr/>
        <w:t>infiltrated</w:t>
      </w:r>
      <w:r>
        <w:rPr>
          <w:spacing w:val="-5"/>
        </w:rPr>
        <w:t> </w:t>
      </w:r>
      <w:r>
        <w:rPr/>
        <w:t>via</w:t>
      </w:r>
      <w:r>
        <w:rPr>
          <w:spacing w:val="-4"/>
        </w:rPr>
        <w:t> </w:t>
      </w:r>
      <w:r>
        <w:rPr/>
        <w:t>the</w:t>
      </w:r>
      <w:r>
        <w:rPr>
          <w:spacing w:val="-4"/>
        </w:rPr>
        <w:t> </w:t>
      </w:r>
      <w:r>
        <w:rPr/>
        <w:t>City’s</w:t>
      </w:r>
      <w:r>
        <w:rPr>
          <w:spacing w:val="-5"/>
        </w:rPr>
        <w:t> </w:t>
      </w:r>
      <w:r>
        <w:rPr/>
        <w:t>underground</w:t>
      </w:r>
      <w:r>
        <w:rPr>
          <w:spacing w:val="-7"/>
        </w:rPr>
        <w:t> </w:t>
      </w:r>
      <w:r>
        <w:rPr/>
        <w:t>injection control facilities. There are over 280 UIC facilities in the City. The City’s regional detention/ water quality facilities include 22 ponds, 2 bioretention cells, 6 underground storm chambers, and 21 swales. Stormwater runoff that does not infiltrate within the service area is conveyed to surface receiving</w:t>
      </w:r>
      <w:r>
        <w:rPr>
          <w:spacing w:val="-6"/>
        </w:rPr>
        <w:t> </w:t>
      </w:r>
      <w:r>
        <w:rPr/>
        <w:t>waters</w:t>
      </w:r>
      <w:r>
        <w:rPr>
          <w:spacing w:val="-6"/>
        </w:rPr>
        <w:t> </w:t>
      </w:r>
      <w:r>
        <w:rPr/>
        <w:t>via</w:t>
      </w:r>
      <w:r>
        <w:rPr>
          <w:spacing w:val="-7"/>
        </w:rPr>
        <w:t> </w:t>
      </w:r>
      <w:r>
        <w:rPr/>
        <w:t>regional</w:t>
      </w:r>
      <w:r>
        <w:rPr>
          <w:spacing w:val="-8"/>
        </w:rPr>
        <w:t> </w:t>
      </w:r>
      <w:r>
        <w:rPr/>
        <w:t>outfalls</w:t>
      </w:r>
      <w:r>
        <w:rPr>
          <w:spacing w:val="-6"/>
        </w:rPr>
        <w:t> </w:t>
      </w:r>
      <w:r>
        <w:rPr/>
        <w:t>that</w:t>
      </w:r>
      <w:r>
        <w:rPr>
          <w:spacing w:val="-7"/>
        </w:rPr>
        <w:t> </w:t>
      </w:r>
      <w:r>
        <w:rPr/>
        <w:t>discharge</w:t>
      </w:r>
      <w:r>
        <w:rPr>
          <w:spacing w:val="-9"/>
        </w:rPr>
        <w:t> </w:t>
      </w:r>
      <w:r>
        <w:rPr/>
        <w:t>to</w:t>
      </w:r>
      <w:r>
        <w:rPr>
          <w:spacing w:val="-7"/>
        </w:rPr>
        <w:t> </w:t>
      </w:r>
      <w:r>
        <w:rPr/>
        <w:t>the</w:t>
      </w:r>
      <w:r>
        <w:rPr>
          <w:spacing w:val="-6"/>
        </w:rPr>
        <w:t> </w:t>
      </w:r>
      <w:r>
        <w:rPr/>
        <w:t>Columbia</w:t>
      </w:r>
      <w:r>
        <w:rPr>
          <w:spacing w:val="-7"/>
        </w:rPr>
        <w:t> </w:t>
      </w:r>
      <w:r>
        <w:rPr/>
        <w:t>River,</w:t>
      </w:r>
      <w:r>
        <w:rPr>
          <w:spacing w:val="-8"/>
        </w:rPr>
        <w:t> </w:t>
      </w:r>
      <w:r>
        <w:rPr/>
        <w:t>the</w:t>
      </w:r>
      <w:r>
        <w:rPr>
          <w:spacing w:val="-9"/>
        </w:rPr>
        <w:t> </w:t>
      </w:r>
      <w:r>
        <w:rPr/>
        <w:t>Yakima</w:t>
      </w:r>
      <w:r>
        <w:rPr>
          <w:spacing w:val="-7"/>
        </w:rPr>
        <w:t> </w:t>
      </w:r>
      <w:r>
        <w:rPr/>
        <w:t>River,</w:t>
      </w:r>
      <w:r>
        <w:rPr>
          <w:spacing w:val="-7"/>
        </w:rPr>
        <w:t> </w:t>
      </w:r>
      <w:r>
        <w:rPr/>
        <w:t>and</w:t>
      </w:r>
      <w:r>
        <w:rPr>
          <w:spacing w:val="-8"/>
        </w:rPr>
        <w:t> </w:t>
      </w:r>
      <w:r>
        <w:rPr/>
        <w:t>the Amon Wasteway. There are 11 outfalls discharging to the Columbia River, two discharging to the Yakima River, and eight discharging to the Amon</w:t>
      </w:r>
      <w:r>
        <w:rPr>
          <w:spacing w:val="-9"/>
        </w:rPr>
        <w:t> </w:t>
      </w:r>
      <w:r>
        <w:rPr/>
        <w:t>Wasteway.</w:t>
      </w:r>
    </w:p>
    <w:p>
      <w:pPr>
        <w:pStyle w:val="BodyText"/>
        <w:spacing w:before="120"/>
        <w:ind w:left="120" w:right="233"/>
        <w:jc w:val="both"/>
      </w:pPr>
      <w:r>
        <w:rPr/>
        <w:t>The</w:t>
      </w:r>
      <w:r>
        <w:rPr>
          <w:spacing w:val="-12"/>
        </w:rPr>
        <w:t> </w:t>
      </w:r>
      <w:r>
        <w:rPr/>
        <w:t>City’s</w:t>
      </w:r>
      <w:r>
        <w:rPr>
          <w:spacing w:val="-9"/>
        </w:rPr>
        <w:t> </w:t>
      </w:r>
      <w:r>
        <w:rPr/>
        <w:t>2016</w:t>
      </w:r>
      <w:r>
        <w:rPr>
          <w:spacing w:val="-9"/>
        </w:rPr>
        <w:t> </w:t>
      </w:r>
      <w:r>
        <w:rPr/>
        <w:t>Stormwater</w:t>
      </w:r>
      <w:r>
        <w:rPr>
          <w:spacing w:val="-10"/>
        </w:rPr>
        <w:t> </w:t>
      </w:r>
      <w:r>
        <w:rPr/>
        <w:t>Management</w:t>
      </w:r>
      <w:r>
        <w:rPr>
          <w:spacing w:val="-10"/>
        </w:rPr>
        <w:t> </w:t>
      </w:r>
      <w:r>
        <w:rPr/>
        <w:t>Plan</w:t>
      </w:r>
      <w:r>
        <w:rPr>
          <w:spacing w:val="-10"/>
        </w:rPr>
        <w:t> </w:t>
      </w:r>
      <w:r>
        <w:rPr/>
        <w:t>provides</w:t>
      </w:r>
      <w:r>
        <w:rPr>
          <w:spacing w:val="-9"/>
        </w:rPr>
        <w:t> </w:t>
      </w:r>
      <w:r>
        <w:rPr/>
        <w:t>detailed</w:t>
      </w:r>
      <w:r>
        <w:rPr>
          <w:spacing w:val="-12"/>
        </w:rPr>
        <w:t> </w:t>
      </w:r>
      <w:r>
        <w:rPr/>
        <w:t>information</w:t>
      </w:r>
      <w:r>
        <w:rPr>
          <w:spacing w:val="-13"/>
        </w:rPr>
        <w:t> </w:t>
      </w:r>
      <w:r>
        <w:rPr/>
        <w:t>on</w:t>
      </w:r>
      <w:r>
        <w:rPr>
          <w:spacing w:val="-10"/>
        </w:rPr>
        <w:t> </w:t>
      </w:r>
      <w:r>
        <w:rPr/>
        <w:t>the</w:t>
      </w:r>
      <w:r>
        <w:rPr>
          <w:spacing w:val="-12"/>
        </w:rPr>
        <w:t> </w:t>
      </w:r>
      <w:r>
        <w:rPr/>
        <w:t>system</w:t>
      </w:r>
      <w:r>
        <w:rPr>
          <w:spacing w:val="-11"/>
        </w:rPr>
        <w:t> </w:t>
      </w:r>
      <w:r>
        <w:rPr/>
        <w:t>facilities. The Management Plan also provides guidance for the City’s maintaining the requirements of the Phase II Eastern Washington Municipal Stormwater Permit (Phase II Permit), received from the Department of Ecology. This Permit regulates operation of the City’s Municipal Separated Storm Sewer System</w:t>
      </w:r>
      <w:r>
        <w:rPr>
          <w:spacing w:val="-4"/>
        </w:rPr>
        <w:t> </w:t>
      </w:r>
      <w:r>
        <w:rPr/>
        <w:t>(MS4).</w:t>
      </w:r>
    </w:p>
    <w:p>
      <w:pPr>
        <w:spacing w:before="201"/>
        <w:ind w:left="120" w:right="0" w:firstLine="0"/>
        <w:jc w:val="both"/>
        <w:rPr>
          <w:b/>
          <w:sz w:val="24"/>
        </w:rPr>
      </w:pPr>
      <w:bookmarkStart w:name="FUTURE DEFICIENCIES and RECOMMENDATIONS" w:id="196"/>
      <w:bookmarkEnd w:id="196"/>
      <w:r>
        <w:rPr/>
      </w:r>
      <w:r>
        <w:rPr>
          <w:b/>
          <w:sz w:val="24"/>
        </w:rPr>
        <w:t>FUTURE DEFICIENCIES AND RECOMMENDATIONS</w:t>
      </w:r>
    </w:p>
    <w:p>
      <w:pPr>
        <w:pStyle w:val="BodyText"/>
        <w:spacing w:before="119"/>
        <w:ind w:left="120" w:right="149" w:hanging="1"/>
      </w:pPr>
      <w:r>
        <w:rPr/>
        <w:t>The City strives to maintain the level of service of the storm water system by addressing existing and potential issues. Improvements are identified with the intent of reducing:</w:t>
      </w:r>
    </w:p>
    <w:p>
      <w:pPr>
        <w:pStyle w:val="ListParagraph"/>
        <w:numPr>
          <w:ilvl w:val="1"/>
          <w:numId w:val="10"/>
        </w:numPr>
        <w:tabs>
          <w:tab w:pos="840" w:val="left" w:leader="none"/>
          <w:tab w:pos="841" w:val="left" w:leader="none"/>
        </w:tabs>
        <w:spacing w:line="240" w:lineRule="auto" w:before="60" w:after="0"/>
        <w:ind w:left="840" w:right="0" w:hanging="361"/>
        <w:jc w:val="left"/>
        <w:rPr>
          <w:sz w:val="22"/>
        </w:rPr>
      </w:pPr>
      <w:r>
        <w:rPr>
          <w:sz w:val="22"/>
        </w:rPr>
        <w:t>Existing conveyance capacity and flooding</w:t>
      </w:r>
      <w:r>
        <w:rPr>
          <w:spacing w:val="-7"/>
          <w:sz w:val="22"/>
        </w:rPr>
        <w:t> </w:t>
      </w:r>
      <w:r>
        <w:rPr>
          <w:sz w:val="22"/>
        </w:rPr>
        <w:t>issues;</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Potential future conveyance capacity and flooding</w:t>
      </w:r>
      <w:r>
        <w:rPr>
          <w:spacing w:val="-9"/>
          <w:sz w:val="22"/>
        </w:rPr>
        <w:t> </w:t>
      </w:r>
      <w:r>
        <w:rPr>
          <w:sz w:val="22"/>
        </w:rPr>
        <w:t>issues;</w:t>
      </w:r>
    </w:p>
    <w:p>
      <w:pPr>
        <w:pStyle w:val="ListParagraph"/>
        <w:numPr>
          <w:ilvl w:val="1"/>
          <w:numId w:val="10"/>
        </w:numPr>
        <w:tabs>
          <w:tab w:pos="840" w:val="left" w:leader="none"/>
          <w:tab w:pos="841" w:val="left" w:leader="none"/>
        </w:tabs>
        <w:spacing w:line="240" w:lineRule="auto" w:before="62" w:after="0"/>
        <w:ind w:left="840" w:right="0" w:hanging="361"/>
        <w:jc w:val="left"/>
        <w:rPr>
          <w:sz w:val="22"/>
        </w:rPr>
      </w:pPr>
      <w:r>
        <w:rPr>
          <w:sz w:val="22"/>
        </w:rPr>
        <w:t>Pollutant loading to receiving water bodies;</w:t>
      </w:r>
      <w:r>
        <w:rPr>
          <w:spacing w:val="-6"/>
          <w:sz w:val="22"/>
        </w:rPr>
        <w:t> </w:t>
      </w:r>
      <w:r>
        <w:rPr>
          <w:sz w:val="22"/>
        </w:rPr>
        <w:t>and</w:t>
      </w:r>
    </w:p>
    <w:p>
      <w:pPr>
        <w:pStyle w:val="ListParagraph"/>
        <w:numPr>
          <w:ilvl w:val="1"/>
          <w:numId w:val="10"/>
        </w:numPr>
        <w:tabs>
          <w:tab w:pos="840" w:val="left" w:leader="none"/>
          <w:tab w:pos="841" w:val="left" w:leader="none"/>
        </w:tabs>
        <w:spacing w:line="240" w:lineRule="auto" w:before="58" w:after="0"/>
        <w:ind w:left="840" w:right="0" w:hanging="361"/>
        <w:jc w:val="left"/>
        <w:rPr>
          <w:sz w:val="22"/>
        </w:rPr>
      </w:pPr>
      <w:r>
        <w:rPr>
          <w:sz w:val="22"/>
        </w:rPr>
        <w:t>Chronic system maintenance</w:t>
      </w:r>
      <w:r>
        <w:rPr>
          <w:spacing w:val="-6"/>
          <w:sz w:val="22"/>
        </w:rPr>
        <w:t> </w:t>
      </w:r>
      <w:r>
        <w:rPr>
          <w:sz w:val="22"/>
        </w:rPr>
        <w:t>needs.</w:t>
      </w:r>
    </w:p>
    <w:p>
      <w:pPr>
        <w:pStyle w:val="BodyText"/>
        <w:spacing w:before="122"/>
        <w:ind w:left="120"/>
      </w:pPr>
      <w:r>
        <w:rPr/>
        <w:t>Identification</w:t>
      </w:r>
      <w:r>
        <w:rPr>
          <w:spacing w:val="-9"/>
        </w:rPr>
        <w:t> </w:t>
      </w:r>
      <w:r>
        <w:rPr/>
        <w:t>of</w:t>
      </w:r>
      <w:r>
        <w:rPr>
          <w:spacing w:val="-9"/>
        </w:rPr>
        <w:t> </w:t>
      </w:r>
      <w:r>
        <w:rPr/>
        <w:t>capital</w:t>
      </w:r>
      <w:r>
        <w:rPr>
          <w:spacing w:val="-7"/>
        </w:rPr>
        <w:t> </w:t>
      </w:r>
      <w:r>
        <w:rPr/>
        <w:t>projects</w:t>
      </w:r>
      <w:r>
        <w:rPr>
          <w:spacing w:val="-8"/>
        </w:rPr>
        <w:t> </w:t>
      </w:r>
      <w:r>
        <w:rPr/>
        <w:t>are</w:t>
      </w:r>
      <w:r>
        <w:rPr>
          <w:spacing w:val="-6"/>
        </w:rPr>
        <w:t> </w:t>
      </w:r>
      <w:r>
        <w:rPr/>
        <w:t>based</w:t>
      </w:r>
      <w:r>
        <w:rPr>
          <w:spacing w:val="-9"/>
        </w:rPr>
        <w:t> </w:t>
      </w:r>
      <w:r>
        <w:rPr/>
        <w:t>on</w:t>
      </w:r>
      <w:r>
        <w:rPr>
          <w:spacing w:val="-9"/>
        </w:rPr>
        <w:t> </w:t>
      </w:r>
      <w:r>
        <w:rPr/>
        <w:t>the</w:t>
      </w:r>
      <w:r>
        <w:rPr>
          <w:spacing w:val="-6"/>
        </w:rPr>
        <w:t> </w:t>
      </w:r>
      <w:r>
        <w:rPr/>
        <w:t>criteria</w:t>
      </w:r>
      <w:r>
        <w:rPr>
          <w:spacing w:val="-9"/>
        </w:rPr>
        <w:t> </w:t>
      </w:r>
      <w:r>
        <w:rPr/>
        <w:t>such</w:t>
      </w:r>
      <w:r>
        <w:rPr>
          <w:spacing w:val="-9"/>
        </w:rPr>
        <w:t> </w:t>
      </w:r>
      <w:r>
        <w:rPr/>
        <w:t>as</w:t>
      </w:r>
      <w:r>
        <w:rPr>
          <w:spacing w:val="-8"/>
        </w:rPr>
        <w:t> </w:t>
      </w:r>
      <w:r>
        <w:rPr/>
        <w:t>projects</w:t>
      </w:r>
      <w:r>
        <w:rPr>
          <w:spacing w:val="-6"/>
        </w:rPr>
        <w:t> </w:t>
      </w:r>
      <w:r>
        <w:rPr/>
        <w:t>previously</w:t>
      </w:r>
      <w:r>
        <w:rPr>
          <w:spacing w:val="-8"/>
        </w:rPr>
        <w:t> </w:t>
      </w:r>
      <w:r>
        <w:rPr/>
        <w:t>identified</w:t>
      </w:r>
      <w:r>
        <w:rPr>
          <w:spacing w:val="-10"/>
        </w:rPr>
        <w:t> </w:t>
      </w:r>
      <w:r>
        <w:rPr/>
        <w:t>in</w:t>
      </w:r>
      <w:r>
        <w:rPr>
          <w:spacing w:val="-8"/>
        </w:rPr>
        <w:t> </w:t>
      </w:r>
      <w:r>
        <w:rPr/>
        <w:t>the management plan but not yet constructed, chronic maintenance issues identified by staff,</w:t>
      </w:r>
      <w:r>
        <w:rPr>
          <w:spacing w:val="-23"/>
        </w:rPr>
        <w:t> </w:t>
      </w:r>
      <w:r>
        <w:rPr/>
        <w:t>etc.</w:t>
      </w:r>
    </w:p>
    <w:p>
      <w:pPr>
        <w:pStyle w:val="BodyText"/>
        <w:spacing w:before="120"/>
        <w:ind w:left="120"/>
      </w:pPr>
      <w:r>
        <w:rPr/>
        <w:t>The 2016 Stormwater Management Plan categorizes capital projects into one of four types based on the primary objective of the project:</w:t>
      </w:r>
    </w:p>
    <w:p>
      <w:pPr>
        <w:pStyle w:val="ListParagraph"/>
        <w:numPr>
          <w:ilvl w:val="1"/>
          <w:numId w:val="10"/>
        </w:numPr>
        <w:tabs>
          <w:tab w:pos="840" w:val="left" w:leader="none"/>
          <w:tab w:pos="841" w:val="left" w:leader="none"/>
        </w:tabs>
        <w:spacing w:line="240" w:lineRule="auto" w:before="60" w:after="0"/>
        <w:ind w:left="840" w:right="235" w:hanging="361"/>
        <w:jc w:val="left"/>
        <w:rPr>
          <w:sz w:val="22"/>
        </w:rPr>
      </w:pPr>
      <w:r>
        <w:rPr>
          <w:sz w:val="22"/>
        </w:rPr>
        <w:t>Flood risk (FR) – Projects that primarily address hydraulic deficiencies to help reduce flooding or surcharging of the</w:t>
      </w:r>
      <w:r>
        <w:rPr>
          <w:spacing w:val="-8"/>
          <w:sz w:val="22"/>
        </w:rPr>
        <w:t> </w:t>
      </w:r>
      <w:r>
        <w:rPr>
          <w:sz w:val="22"/>
        </w:rPr>
        <w:t>system.</w:t>
      </w:r>
    </w:p>
    <w:p>
      <w:pPr>
        <w:pStyle w:val="ListParagraph"/>
        <w:numPr>
          <w:ilvl w:val="1"/>
          <w:numId w:val="10"/>
        </w:numPr>
        <w:tabs>
          <w:tab w:pos="840" w:val="left" w:leader="none"/>
          <w:tab w:pos="841" w:val="left" w:leader="none"/>
        </w:tabs>
        <w:spacing w:line="240" w:lineRule="auto" w:before="60" w:after="0"/>
        <w:ind w:left="840" w:right="234" w:hanging="361"/>
        <w:jc w:val="left"/>
        <w:rPr>
          <w:sz w:val="22"/>
        </w:rPr>
      </w:pPr>
      <w:r>
        <w:rPr>
          <w:sz w:val="22"/>
        </w:rPr>
        <w:t>Renewal and replacement (RR) – Projects that primarily repair or replace existing system components to help restore the original design</w:t>
      </w:r>
      <w:r>
        <w:rPr>
          <w:spacing w:val="-9"/>
          <w:sz w:val="22"/>
        </w:rPr>
        <w:t> </w:t>
      </w:r>
      <w:r>
        <w:rPr>
          <w:sz w:val="22"/>
        </w:rPr>
        <w:t>function.</w:t>
      </w:r>
    </w:p>
    <w:p>
      <w:pPr>
        <w:pStyle w:val="ListParagraph"/>
        <w:numPr>
          <w:ilvl w:val="1"/>
          <w:numId w:val="10"/>
        </w:numPr>
        <w:tabs>
          <w:tab w:pos="840" w:val="left" w:leader="none"/>
          <w:tab w:pos="841" w:val="left" w:leader="none"/>
        </w:tabs>
        <w:spacing w:line="240" w:lineRule="auto" w:before="60" w:after="0"/>
        <w:ind w:left="840" w:right="236" w:hanging="361"/>
        <w:jc w:val="left"/>
        <w:rPr>
          <w:sz w:val="22"/>
        </w:rPr>
      </w:pPr>
      <w:r>
        <w:rPr>
          <w:sz w:val="22"/>
        </w:rPr>
        <w:t>Water quality retrofit (WQ) – Projects that primarily address water quality through treatment of stormwater runoff prior to discharging to receiving</w:t>
      </w:r>
      <w:r>
        <w:rPr>
          <w:spacing w:val="-11"/>
          <w:sz w:val="22"/>
        </w:rPr>
        <w:t> </w:t>
      </w:r>
      <w:r>
        <w:rPr>
          <w:sz w:val="22"/>
        </w:rPr>
        <w:t>waters.</w:t>
      </w:r>
    </w:p>
    <w:p>
      <w:pPr>
        <w:spacing w:after="0" w:line="240" w:lineRule="auto"/>
        <w:jc w:val="left"/>
        <w:rPr>
          <w:sz w:val="22"/>
        </w:rPr>
        <w:sectPr>
          <w:pgSz w:w="12240" w:h="15840"/>
          <w:pgMar w:header="0" w:footer="1052" w:top="1500" w:bottom="1320" w:left="1320" w:right="1200"/>
        </w:sectPr>
      </w:pPr>
    </w:p>
    <w:p>
      <w:pPr>
        <w:pStyle w:val="ListParagraph"/>
        <w:numPr>
          <w:ilvl w:val="1"/>
          <w:numId w:val="10"/>
        </w:numPr>
        <w:tabs>
          <w:tab w:pos="841" w:val="left" w:leader="none"/>
        </w:tabs>
        <w:spacing w:line="240" w:lineRule="auto" w:before="80" w:after="0"/>
        <w:ind w:left="840" w:right="235" w:hanging="361"/>
        <w:jc w:val="both"/>
        <w:rPr>
          <w:sz w:val="22"/>
        </w:rPr>
      </w:pPr>
      <w:r>
        <w:rPr>
          <w:sz w:val="22"/>
        </w:rPr>
        <w:t>Development Driven (DD) – Projects that may be built based on future development. These projects are assumed to be partially paid for by developers. See Section 8 for detailed documentation on funding</w:t>
      </w:r>
      <w:r>
        <w:rPr>
          <w:spacing w:val="-5"/>
          <w:sz w:val="22"/>
        </w:rPr>
        <w:t> </w:t>
      </w:r>
      <w:r>
        <w:rPr>
          <w:sz w:val="22"/>
        </w:rPr>
        <w:t>assumptions.</w:t>
      </w:r>
    </w:p>
    <w:p>
      <w:pPr>
        <w:pStyle w:val="BodyText"/>
        <w:spacing w:before="119"/>
        <w:ind w:left="120"/>
        <w:jc w:val="both"/>
      </w:pPr>
      <w:r>
        <w:rPr/>
        <w:t>The 2017 CIP identifies the priority projects and associated financing in Tables U-13 and U-14.</w:t>
      </w:r>
    </w:p>
    <w:p>
      <w:pPr>
        <w:spacing w:before="121"/>
        <w:ind w:left="120" w:right="0" w:firstLine="0"/>
        <w:jc w:val="both"/>
        <w:rPr>
          <w:rFonts w:ascii="Arial"/>
          <w:b/>
          <w:sz w:val="20"/>
        </w:rPr>
      </w:pPr>
      <w:r>
        <w:rPr>
          <w:rFonts w:ascii="Arial"/>
          <w:b/>
          <w:sz w:val="20"/>
        </w:rPr>
        <w:t>Table U-13: Storm Water Management Facilities Financing 2017-2030</w:t>
      </w:r>
    </w:p>
    <w:p>
      <w:pPr>
        <w:pStyle w:val="BodyText"/>
        <w:spacing w:before="5"/>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96"/>
        <w:gridCol w:w="1879"/>
        <w:gridCol w:w="1867"/>
      </w:tblGrid>
      <w:tr>
        <w:trPr>
          <w:trHeight w:val="402" w:hRule="atLeast"/>
        </w:trPr>
        <w:tc>
          <w:tcPr>
            <w:tcW w:w="5496" w:type="dxa"/>
            <w:shd w:val="clear" w:color="auto" w:fill="B8CCE3"/>
          </w:tcPr>
          <w:p>
            <w:pPr>
              <w:pStyle w:val="TableParagraph"/>
              <w:spacing w:before="119"/>
              <w:rPr>
                <w:b/>
                <w:sz w:val="22"/>
              </w:rPr>
            </w:pPr>
            <w:r>
              <w:rPr>
                <w:b/>
                <w:sz w:val="22"/>
              </w:rPr>
              <w:t>Facilities</w:t>
            </w:r>
          </w:p>
        </w:tc>
        <w:tc>
          <w:tcPr>
            <w:tcW w:w="1879" w:type="dxa"/>
            <w:shd w:val="clear" w:color="auto" w:fill="B8CCE3"/>
          </w:tcPr>
          <w:p>
            <w:pPr>
              <w:pStyle w:val="TableParagraph"/>
              <w:spacing w:before="119"/>
              <w:rPr>
                <w:b/>
                <w:sz w:val="22"/>
              </w:rPr>
            </w:pPr>
            <w:r>
              <w:rPr>
                <w:b/>
                <w:sz w:val="22"/>
              </w:rPr>
              <w:t>Total Cost</w:t>
            </w:r>
          </w:p>
        </w:tc>
        <w:tc>
          <w:tcPr>
            <w:tcW w:w="1867" w:type="dxa"/>
            <w:shd w:val="clear" w:color="auto" w:fill="B8CCE3"/>
          </w:tcPr>
          <w:p>
            <w:pPr>
              <w:pStyle w:val="TableParagraph"/>
              <w:spacing w:before="119"/>
              <w:rPr>
                <w:b/>
                <w:sz w:val="22"/>
              </w:rPr>
            </w:pPr>
            <w:r>
              <w:rPr>
                <w:b/>
                <w:sz w:val="22"/>
              </w:rPr>
              <w:t>Time-frame</w:t>
            </w:r>
          </w:p>
        </w:tc>
      </w:tr>
      <w:tr>
        <w:trPr>
          <w:trHeight w:val="318" w:hRule="atLeast"/>
        </w:trPr>
        <w:tc>
          <w:tcPr>
            <w:tcW w:w="5496" w:type="dxa"/>
          </w:tcPr>
          <w:p>
            <w:pPr>
              <w:pStyle w:val="TableParagraph"/>
              <w:spacing w:line="239" w:lineRule="exact"/>
              <w:rPr>
                <w:sz w:val="22"/>
              </w:rPr>
            </w:pPr>
            <w:r>
              <w:rPr>
                <w:sz w:val="22"/>
              </w:rPr>
              <w:t>Leslie Road Storm Drain Replacement</w:t>
            </w:r>
          </w:p>
        </w:tc>
        <w:tc>
          <w:tcPr>
            <w:tcW w:w="1879" w:type="dxa"/>
          </w:tcPr>
          <w:p>
            <w:pPr>
              <w:pStyle w:val="TableParagraph"/>
              <w:spacing w:line="239" w:lineRule="exact"/>
              <w:ind w:left="299"/>
              <w:rPr>
                <w:sz w:val="22"/>
              </w:rPr>
            </w:pPr>
            <w:r>
              <w:rPr>
                <w:sz w:val="22"/>
              </w:rPr>
              <w:t>$839,000</w:t>
            </w:r>
          </w:p>
        </w:tc>
        <w:tc>
          <w:tcPr>
            <w:tcW w:w="1867" w:type="dxa"/>
          </w:tcPr>
          <w:p>
            <w:pPr>
              <w:pStyle w:val="TableParagraph"/>
              <w:spacing w:line="239" w:lineRule="exact"/>
              <w:rPr>
                <w:sz w:val="22"/>
              </w:rPr>
            </w:pPr>
            <w:r>
              <w:rPr>
                <w:sz w:val="22"/>
              </w:rPr>
              <w:t>2018</w:t>
            </w:r>
          </w:p>
        </w:tc>
      </w:tr>
      <w:tr>
        <w:trPr>
          <w:trHeight w:val="316" w:hRule="atLeast"/>
        </w:trPr>
        <w:tc>
          <w:tcPr>
            <w:tcW w:w="5496" w:type="dxa"/>
          </w:tcPr>
          <w:p>
            <w:pPr>
              <w:pStyle w:val="TableParagraph"/>
              <w:spacing w:line="237" w:lineRule="exact"/>
              <w:rPr>
                <w:sz w:val="22"/>
              </w:rPr>
            </w:pPr>
            <w:r>
              <w:rPr>
                <w:sz w:val="22"/>
              </w:rPr>
              <w:t>Storm Water Rehabilitation &amp; Replacement</w:t>
            </w:r>
          </w:p>
        </w:tc>
        <w:tc>
          <w:tcPr>
            <w:tcW w:w="1879" w:type="dxa"/>
          </w:tcPr>
          <w:p>
            <w:pPr>
              <w:pStyle w:val="TableParagraph"/>
              <w:spacing w:line="237" w:lineRule="exact"/>
              <w:ind w:left="155"/>
              <w:rPr>
                <w:sz w:val="22"/>
              </w:rPr>
            </w:pPr>
            <w:r>
              <w:rPr>
                <w:sz w:val="22"/>
              </w:rPr>
              <w:t>$2,616,090</w:t>
            </w:r>
          </w:p>
        </w:tc>
        <w:tc>
          <w:tcPr>
            <w:tcW w:w="1867" w:type="dxa"/>
          </w:tcPr>
          <w:p>
            <w:pPr>
              <w:pStyle w:val="TableParagraph"/>
              <w:spacing w:line="237" w:lineRule="exact"/>
              <w:rPr>
                <w:sz w:val="22"/>
              </w:rPr>
            </w:pPr>
            <w:r>
              <w:rPr>
                <w:sz w:val="22"/>
              </w:rPr>
              <w:t>2015-2022</w:t>
            </w:r>
          </w:p>
        </w:tc>
      </w:tr>
      <w:tr>
        <w:trPr>
          <w:trHeight w:val="318" w:hRule="atLeast"/>
        </w:trPr>
        <w:tc>
          <w:tcPr>
            <w:tcW w:w="5496" w:type="dxa"/>
          </w:tcPr>
          <w:p>
            <w:pPr>
              <w:pStyle w:val="TableParagraph"/>
              <w:spacing w:line="237" w:lineRule="exact" w:before="62"/>
              <w:rPr>
                <w:sz w:val="22"/>
              </w:rPr>
            </w:pPr>
            <w:r>
              <w:rPr>
                <w:sz w:val="22"/>
              </w:rPr>
              <w:t>Water Quality Retrofit Program</w:t>
            </w:r>
          </w:p>
        </w:tc>
        <w:tc>
          <w:tcPr>
            <w:tcW w:w="1879" w:type="dxa"/>
          </w:tcPr>
          <w:p>
            <w:pPr>
              <w:pStyle w:val="TableParagraph"/>
              <w:spacing w:line="237" w:lineRule="exact" w:before="62"/>
              <w:ind w:left="155"/>
              <w:rPr>
                <w:sz w:val="22"/>
              </w:rPr>
            </w:pPr>
            <w:r>
              <w:rPr>
                <w:sz w:val="22"/>
              </w:rPr>
              <w:t>$2,618,717</w:t>
            </w:r>
          </w:p>
        </w:tc>
        <w:tc>
          <w:tcPr>
            <w:tcW w:w="1867" w:type="dxa"/>
          </w:tcPr>
          <w:p>
            <w:pPr>
              <w:pStyle w:val="TableParagraph"/>
              <w:spacing w:line="237" w:lineRule="exact" w:before="62"/>
              <w:rPr>
                <w:sz w:val="22"/>
              </w:rPr>
            </w:pPr>
            <w:r>
              <w:rPr>
                <w:sz w:val="22"/>
              </w:rPr>
              <w:t>2015-2022</w:t>
            </w:r>
          </w:p>
        </w:tc>
      </w:tr>
      <w:tr>
        <w:trPr>
          <w:trHeight w:val="318" w:hRule="atLeast"/>
        </w:trPr>
        <w:tc>
          <w:tcPr>
            <w:tcW w:w="5496" w:type="dxa"/>
          </w:tcPr>
          <w:p>
            <w:pPr>
              <w:pStyle w:val="TableParagraph"/>
              <w:spacing w:line="239" w:lineRule="exact"/>
              <w:rPr>
                <w:b/>
                <w:sz w:val="22"/>
              </w:rPr>
            </w:pPr>
            <w:r>
              <w:rPr>
                <w:b/>
                <w:sz w:val="22"/>
              </w:rPr>
              <w:t>Total</w:t>
            </w:r>
          </w:p>
        </w:tc>
        <w:tc>
          <w:tcPr>
            <w:tcW w:w="1879" w:type="dxa"/>
          </w:tcPr>
          <w:p>
            <w:pPr>
              <w:pStyle w:val="TableParagraph"/>
              <w:spacing w:line="239" w:lineRule="exact"/>
              <w:rPr>
                <w:b/>
                <w:sz w:val="22"/>
              </w:rPr>
            </w:pPr>
            <w:r>
              <w:rPr>
                <w:b/>
                <w:sz w:val="22"/>
              </w:rPr>
              <w:t>$6,073,807</w:t>
            </w:r>
          </w:p>
        </w:tc>
        <w:tc>
          <w:tcPr>
            <w:tcW w:w="1867" w:type="dxa"/>
          </w:tcPr>
          <w:p>
            <w:pPr>
              <w:pStyle w:val="TableParagraph"/>
              <w:spacing w:line="239" w:lineRule="exact"/>
              <w:rPr>
                <w:b/>
                <w:sz w:val="22"/>
              </w:rPr>
            </w:pPr>
            <w:r>
              <w:rPr>
                <w:b/>
                <w:sz w:val="22"/>
              </w:rPr>
              <w:t>2017-2022</w:t>
            </w:r>
          </w:p>
        </w:tc>
      </w:tr>
    </w:tbl>
    <w:p>
      <w:pPr>
        <w:pStyle w:val="BodyText"/>
        <w:rPr>
          <w:rFonts w:ascii="Arial"/>
          <w:b/>
        </w:rPr>
      </w:pPr>
    </w:p>
    <w:p>
      <w:pPr>
        <w:pStyle w:val="BodyText"/>
        <w:spacing w:before="1"/>
        <w:rPr>
          <w:rFonts w:ascii="Arial"/>
          <w:b/>
          <w:sz w:val="21"/>
        </w:rPr>
      </w:pPr>
    </w:p>
    <w:p>
      <w:pPr>
        <w:spacing w:before="1"/>
        <w:ind w:left="120" w:right="0" w:firstLine="0"/>
        <w:jc w:val="both"/>
        <w:rPr>
          <w:rFonts w:ascii="Arial"/>
          <w:b/>
          <w:sz w:val="20"/>
        </w:rPr>
      </w:pPr>
      <w:r>
        <w:rPr>
          <w:rFonts w:ascii="Arial"/>
          <w:b/>
          <w:sz w:val="20"/>
        </w:rPr>
        <w:t>Table U-14: Storm Water Capital Improvement Funding Sources 2017-2030</w:t>
      </w:r>
    </w:p>
    <w:p>
      <w:pPr>
        <w:pStyle w:val="BodyText"/>
        <w:spacing w:before="5"/>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96"/>
        <w:gridCol w:w="1879"/>
        <w:gridCol w:w="1867"/>
      </w:tblGrid>
      <w:tr>
        <w:trPr>
          <w:trHeight w:val="402" w:hRule="atLeast"/>
        </w:trPr>
        <w:tc>
          <w:tcPr>
            <w:tcW w:w="5496" w:type="dxa"/>
            <w:shd w:val="clear" w:color="auto" w:fill="B8CCE3"/>
          </w:tcPr>
          <w:p>
            <w:pPr>
              <w:pStyle w:val="TableParagraph"/>
              <w:spacing w:before="119"/>
              <w:rPr>
                <w:b/>
                <w:sz w:val="22"/>
              </w:rPr>
            </w:pPr>
            <w:r>
              <w:rPr>
                <w:b/>
                <w:sz w:val="22"/>
              </w:rPr>
              <w:t>Funding Source</w:t>
            </w:r>
          </w:p>
        </w:tc>
        <w:tc>
          <w:tcPr>
            <w:tcW w:w="1879" w:type="dxa"/>
            <w:shd w:val="clear" w:color="auto" w:fill="B8CCE3"/>
          </w:tcPr>
          <w:p>
            <w:pPr>
              <w:pStyle w:val="TableParagraph"/>
              <w:spacing w:before="119"/>
              <w:ind w:left="54" w:right="606"/>
              <w:jc w:val="center"/>
              <w:rPr>
                <w:b/>
                <w:sz w:val="22"/>
              </w:rPr>
            </w:pPr>
            <w:r>
              <w:rPr>
                <w:b/>
                <w:sz w:val="22"/>
              </w:rPr>
              <w:t>Total Fund</w:t>
            </w:r>
          </w:p>
        </w:tc>
        <w:tc>
          <w:tcPr>
            <w:tcW w:w="1867" w:type="dxa"/>
            <w:shd w:val="clear" w:color="auto" w:fill="B8CCE3"/>
          </w:tcPr>
          <w:p>
            <w:pPr>
              <w:pStyle w:val="TableParagraph"/>
              <w:spacing w:before="119"/>
              <w:rPr>
                <w:b/>
                <w:sz w:val="22"/>
              </w:rPr>
            </w:pPr>
            <w:r>
              <w:rPr>
                <w:b/>
                <w:sz w:val="22"/>
              </w:rPr>
              <w:t>Time-frame</w:t>
            </w:r>
          </w:p>
        </w:tc>
      </w:tr>
      <w:tr>
        <w:trPr>
          <w:trHeight w:val="318" w:hRule="atLeast"/>
        </w:trPr>
        <w:tc>
          <w:tcPr>
            <w:tcW w:w="5496" w:type="dxa"/>
          </w:tcPr>
          <w:p>
            <w:pPr>
              <w:pStyle w:val="TableParagraph"/>
              <w:spacing w:line="237" w:lineRule="exact" w:before="62"/>
              <w:rPr>
                <w:sz w:val="22"/>
              </w:rPr>
            </w:pPr>
            <w:r>
              <w:rPr>
                <w:sz w:val="22"/>
              </w:rPr>
              <w:t>Grant – WA State Department of Ecology</w:t>
            </w:r>
          </w:p>
        </w:tc>
        <w:tc>
          <w:tcPr>
            <w:tcW w:w="1879" w:type="dxa"/>
          </w:tcPr>
          <w:p>
            <w:pPr>
              <w:pStyle w:val="TableParagraph"/>
              <w:spacing w:line="237" w:lineRule="exact" w:before="62"/>
              <w:ind w:left="88" w:right="561"/>
              <w:jc w:val="center"/>
              <w:rPr>
                <w:sz w:val="22"/>
              </w:rPr>
            </w:pPr>
            <w:r>
              <w:rPr>
                <w:sz w:val="22"/>
              </w:rPr>
              <w:t>$759,717</w:t>
            </w:r>
          </w:p>
        </w:tc>
        <w:tc>
          <w:tcPr>
            <w:tcW w:w="1867" w:type="dxa"/>
          </w:tcPr>
          <w:p>
            <w:pPr>
              <w:pStyle w:val="TableParagraph"/>
              <w:spacing w:line="237" w:lineRule="exact" w:before="62"/>
              <w:rPr>
                <w:sz w:val="22"/>
              </w:rPr>
            </w:pPr>
            <w:r>
              <w:rPr>
                <w:sz w:val="22"/>
              </w:rPr>
              <w:t>2015-2016</w:t>
            </w:r>
          </w:p>
        </w:tc>
      </w:tr>
      <w:tr>
        <w:trPr>
          <w:trHeight w:val="318" w:hRule="atLeast"/>
        </w:trPr>
        <w:tc>
          <w:tcPr>
            <w:tcW w:w="5496" w:type="dxa"/>
          </w:tcPr>
          <w:p>
            <w:pPr>
              <w:pStyle w:val="TableParagraph"/>
              <w:spacing w:line="239" w:lineRule="exact"/>
              <w:rPr>
                <w:sz w:val="22"/>
              </w:rPr>
            </w:pPr>
            <w:r>
              <w:rPr>
                <w:sz w:val="22"/>
              </w:rPr>
              <w:t>Grant Funds (Unsecured)</w:t>
            </w:r>
          </w:p>
        </w:tc>
        <w:tc>
          <w:tcPr>
            <w:tcW w:w="1879" w:type="dxa"/>
          </w:tcPr>
          <w:p>
            <w:pPr>
              <w:pStyle w:val="TableParagraph"/>
              <w:spacing w:line="239" w:lineRule="exact"/>
              <w:ind w:left="11" w:right="606"/>
              <w:jc w:val="center"/>
              <w:rPr>
                <w:sz w:val="22"/>
              </w:rPr>
            </w:pPr>
            <w:r>
              <w:rPr>
                <w:sz w:val="22"/>
              </w:rPr>
              <w:t>$1,285,500</w:t>
            </w:r>
          </w:p>
        </w:tc>
        <w:tc>
          <w:tcPr>
            <w:tcW w:w="1867" w:type="dxa"/>
          </w:tcPr>
          <w:p>
            <w:pPr>
              <w:pStyle w:val="TableParagraph"/>
              <w:spacing w:line="239" w:lineRule="exact"/>
              <w:rPr>
                <w:sz w:val="22"/>
              </w:rPr>
            </w:pPr>
            <w:r>
              <w:rPr>
                <w:sz w:val="22"/>
              </w:rPr>
              <w:t>2017-2022</w:t>
            </w:r>
          </w:p>
        </w:tc>
      </w:tr>
      <w:tr>
        <w:trPr>
          <w:trHeight w:val="316" w:hRule="atLeast"/>
        </w:trPr>
        <w:tc>
          <w:tcPr>
            <w:tcW w:w="5496" w:type="dxa"/>
          </w:tcPr>
          <w:p>
            <w:pPr>
              <w:pStyle w:val="TableParagraph"/>
              <w:spacing w:line="237" w:lineRule="exact"/>
              <w:rPr>
                <w:sz w:val="22"/>
              </w:rPr>
            </w:pPr>
            <w:r>
              <w:rPr>
                <w:sz w:val="22"/>
              </w:rPr>
              <w:t>Rate Revenue</w:t>
            </w:r>
          </w:p>
        </w:tc>
        <w:tc>
          <w:tcPr>
            <w:tcW w:w="1879" w:type="dxa"/>
          </w:tcPr>
          <w:p>
            <w:pPr>
              <w:pStyle w:val="TableParagraph"/>
              <w:spacing w:line="237" w:lineRule="exact"/>
              <w:ind w:left="11" w:right="606"/>
              <w:jc w:val="center"/>
              <w:rPr>
                <w:sz w:val="22"/>
              </w:rPr>
            </w:pPr>
            <w:r>
              <w:rPr>
                <w:sz w:val="22"/>
              </w:rPr>
              <w:t>$4,028,590</w:t>
            </w:r>
          </w:p>
        </w:tc>
        <w:tc>
          <w:tcPr>
            <w:tcW w:w="1867" w:type="dxa"/>
          </w:tcPr>
          <w:p>
            <w:pPr>
              <w:pStyle w:val="TableParagraph"/>
              <w:spacing w:line="237" w:lineRule="exact"/>
              <w:rPr>
                <w:sz w:val="22"/>
              </w:rPr>
            </w:pPr>
            <w:r>
              <w:rPr>
                <w:sz w:val="22"/>
              </w:rPr>
              <w:t>2015-2022</w:t>
            </w:r>
          </w:p>
        </w:tc>
      </w:tr>
      <w:tr>
        <w:trPr>
          <w:trHeight w:val="318" w:hRule="atLeast"/>
        </w:trPr>
        <w:tc>
          <w:tcPr>
            <w:tcW w:w="5496" w:type="dxa"/>
          </w:tcPr>
          <w:p>
            <w:pPr>
              <w:pStyle w:val="TableParagraph"/>
              <w:spacing w:line="237" w:lineRule="exact" w:before="62"/>
              <w:rPr>
                <w:b/>
                <w:sz w:val="22"/>
              </w:rPr>
            </w:pPr>
            <w:r>
              <w:rPr>
                <w:b/>
                <w:sz w:val="22"/>
              </w:rPr>
              <w:t>Total</w:t>
            </w:r>
          </w:p>
        </w:tc>
        <w:tc>
          <w:tcPr>
            <w:tcW w:w="1879" w:type="dxa"/>
          </w:tcPr>
          <w:p>
            <w:pPr>
              <w:pStyle w:val="TableParagraph"/>
              <w:spacing w:line="237" w:lineRule="exact" w:before="62"/>
              <w:ind w:left="88" w:right="606"/>
              <w:jc w:val="center"/>
              <w:rPr>
                <w:b/>
                <w:sz w:val="22"/>
              </w:rPr>
            </w:pPr>
            <w:r>
              <w:rPr>
                <w:b/>
                <w:sz w:val="22"/>
              </w:rPr>
              <w:t>$6,073,807</w:t>
            </w:r>
          </w:p>
        </w:tc>
        <w:tc>
          <w:tcPr>
            <w:tcW w:w="1867" w:type="dxa"/>
          </w:tcPr>
          <w:p>
            <w:pPr>
              <w:pStyle w:val="TableParagraph"/>
              <w:spacing w:line="237" w:lineRule="exact" w:before="62"/>
              <w:rPr>
                <w:b/>
                <w:sz w:val="22"/>
              </w:rPr>
            </w:pPr>
            <w:r>
              <w:rPr>
                <w:b/>
                <w:sz w:val="22"/>
              </w:rPr>
              <w:t>2017-2022</w:t>
            </w:r>
          </w:p>
        </w:tc>
      </w:tr>
    </w:tbl>
    <w:p>
      <w:pPr>
        <w:spacing w:after="0" w:line="237" w:lineRule="exact"/>
        <w:rPr>
          <w:sz w:val="22"/>
        </w:rPr>
        <w:sectPr>
          <w:pgSz w:w="12240" w:h="15840"/>
          <w:pgMar w:header="0" w:footer="1052" w:top="1360" w:bottom="1320" w:left="1320" w:right="1200"/>
        </w:sectPr>
      </w:pPr>
    </w:p>
    <w:p>
      <w:pPr>
        <w:spacing w:before="79"/>
        <w:ind w:left="120" w:right="0" w:firstLine="0"/>
        <w:jc w:val="left"/>
        <w:rPr>
          <w:rFonts w:ascii="Arial"/>
          <w:b/>
          <w:sz w:val="20"/>
        </w:rPr>
      </w:pPr>
      <w:bookmarkStart w:name="_bookmark73" w:id="197"/>
      <w:bookmarkEnd w:id="197"/>
      <w:r>
        <w:rPr/>
      </w:r>
      <w:r>
        <w:rPr>
          <w:rFonts w:ascii="Arial"/>
          <w:b/>
          <w:sz w:val="20"/>
        </w:rPr>
        <w:t>Figure U4: Storm Water</w:t>
      </w:r>
    </w:p>
    <w:p>
      <w:pPr>
        <w:spacing w:after="0"/>
        <w:jc w:val="left"/>
        <w:rPr>
          <w:rFonts w:ascii="Arial"/>
          <w:sz w:val="20"/>
        </w:rPr>
        <w:sectPr>
          <w:pgSz w:w="12240" w:h="15840"/>
          <w:pgMar w:header="0" w:footer="1052" w:top="1360" w:bottom="1320" w:left="1320" w:right="1200"/>
        </w:sectPr>
      </w:pPr>
    </w:p>
    <w:p>
      <w:pPr>
        <w:pStyle w:val="Heading7"/>
        <w:jc w:val="both"/>
      </w:pPr>
      <w:bookmarkStart w:name="Section Five" w:id="198"/>
      <w:bookmarkEnd w:id="198"/>
      <w:r>
        <w:rPr/>
      </w:r>
      <w:bookmarkStart w:name="_bookmark74" w:id="199"/>
      <w:bookmarkEnd w:id="199"/>
      <w:r>
        <w:rPr/>
      </w:r>
      <w:r>
        <w:rPr>
          <w:color w:val="4F81BC"/>
        </w:rPr>
        <w:t>SECTION FIVE</w:t>
      </w:r>
    </w:p>
    <w:p>
      <w:pPr>
        <w:pStyle w:val="Heading6"/>
        <w:ind w:left="119"/>
        <w:jc w:val="both"/>
      </w:pPr>
      <w:bookmarkStart w:name="Solid Waste Management" w:id="200"/>
      <w:bookmarkEnd w:id="200"/>
      <w:r>
        <w:rPr>
          <w:b w:val="0"/>
        </w:rPr>
      </w:r>
      <w:bookmarkStart w:name="GENERAL LOCATIONS AND CAPACITY" w:id="201"/>
      <w:bookmarkEnd w:id="201"/>
      <w:r>
        <w:rPr>
          <w:b w:val="0"/>
        </w:rPr>
      </w:r>
      <w:bookmarkStart w:name="_bookmark75" w:id="202"/>
      <w:bookmarkEnd w:id="202"/>
      <w:r>
        <w:rPr>
          <w:b w:val="0"/>
        </w:rPr>
      </w:r>
      <w:r>
        <w:rPr/>
        <w:t>SOLID WASTE MANAGEMENT</w:t>
      </w:r>
    </w:p>
    <w:p>
      <w:pPr>
        <w:spacing w:before="202"/>
        <w:ind w:left="120" w:right="0" w:firstLine="0"/>
        <w:jc w:val="both"/>
        <w:rPr>
          <w:b/>
          <w:sz w:val="24"/>
        </w:rPr>
      </w:pPr>
      <w:r>
        <w:rPr>
          <w:b/>
          <w:sz w:val="24"/>
        </w:rPr>
        <w:t>GENERAL LOCATIONS AND CAPACITY</w:t>
      </w:r>
    </w:p>
    <w:p>
      <w:pPr>
        <w:pStyle w:val="BodyText"/>
        <w:spacing w:before="120"/>
        <w:ind w:left="120" w:right="232"/>
        <w:jc w:val="both"/>
      </w:pPr>
      <w:r>
        <w:rPr/>
        <w:t>State RCW 70.95.030 defines solid waste or waste as “all putrescible and non-putrescible solid and semisolid wastes including, but not limited to, garbage, rubbish, ashes, industrial wastes, swill, sewage sludge, demolition and construction wastes, abandoned vehicles or parts thereof, and recyclable materials.” Each municipality may fulfill its solid waste management responsibilities in one of three ways:</w:t>
      </w:r>
    </w:p>
    <w:p>
      <w:pPr>
        <w:pStyle w:val="ListParagraph"/>
        <w:numPr>
          <w:ilvl w:val="0"/>
          <w:numId w:val="11"/>
        </w:numPr>
        <w:tabs>
          <w:tab w:pos="841" w:val="left" w:leader="none"/>
        </w:tabs>
        <w:spacing w:line="240" w:lineRule="auto" w:before="119" w:after="0"/>
        <w:ind w:left="840" w:right="234" w:hanging="361"/>
        <w:jc w:val="left"/>
        <w:rPr>
          <w:sz w:val="22"/>
        </w:rPr>
      </w:pPr>
      <w:r>
        <w:rPr>
          <w:sz w:val="22"/>
        </w:rPr>
        <w:t>Prepare</w:t>
      </w:r>
      <w:r>
        <w:rPr>
          <w:spacing w:val="-10"/>
          <w:sz w:val="22"/>
        </w:rPr>
        <w:t> </w:t>
      </w:r>
      <w:r>
        <w:rPr>
          <w:sz w:val="22"/>
        </w:rPr>
        <w:t>its</w:t>
      </w:r>
      <w:r>
        <w:rPr>
          <w:spacing w:val="-5"/>
          <w:sz w:val="22"/>
        </w:rPr>
        <w:t> </w:t>
      </w:r>
      <w:r>
        <w:rPr>
          <w:sz w:val="22"/>
        </w:rPr>
        <w:t>own</w:t>
      </w:r>
      <w:r>
        <w:rPr>
          <w:spacing w:val="-10"/>
          <w:sz w:val="22"/>
        </w:rPr>
        <w:t> </w:t>
      </w:r>
      <w:r>
        <w:rPr>
          <w:sz w:val="22"/>
        </w:rPr>
        <w:t>solid</w:t>
      </w:r>
      <w:r>
        <w:rPr>
          <w:spacing w:val="-7"/>
          <w:sz w:val="22"/>
        </w:rPr>
        <w:t> </w:t>
      </w:r>
      <w:r>
        <w:rPr>
          <w:sz w:val="22"/>
        </w:rPr>
        <w:t>waste</w:t>
      </w:r>
      <w:r>
        <w:rPr>
          <w:spacing w:val="-6"/>
          <w:sz w:val="22"/>
        </w:rPr>
        <w:t> </w:t>
      </w:r>
      <w:r>
        <w:rPr>
          <w:sz w:val="22"/>
        </w:rPr>
        <w:t>management</w:t>
      </w:r>
      <w:r>
        <w:rPr>
          <w:spacing w:val="-7"/>
          <w:sz w:val="22"/>
        </w:rPr>
        <w:t> </w:t>
      </w:r>
      <w:r>
        <w:rPr>
          <w:sz w:val="22"/>
        </w:rPr>
        <w:t>plan</w:t>
      </w:r>
      <w:r>
        <w:rPr>
          <w:spacing w:val="-8"/>
          <w:sz w:val="22"/>
        </w:rPr>
        <w:t> </w:t>
      </w:r>
      <w:r>
        <w:rPr>
          <w:sz w:val="22"/>
        </w:rPr>
        <w:t>for</w:t>
      </w:r>
      <w:r>
        <w:rPr>
          <w:spacing w:val="-9"/>
          <w:sz w:val="22"/>
        </w:rPr>
        <w:t> </w:t>
      </w:r>
      <w:r>
        <w:rPr>
          <w:sz w:val="22"/>
        </w:rPr>
        <w:t>integration</w:t>
      </w:r>
      <w:r>
        <w:rPr>
          <w:spacing w:val="-10"/>
          <w:sz w:val="22"/>
        </w:rPr>
        <w:t> </w:t>
      </w:r>
      <w:r>
        <w:rPr>
          <w:sz w:val="22"/>
        </w:rPr>
        <w:t>into</w:t>
      </w:r>
      <w:r>
        <w:rPr>
          <w:spacing w:val="-6"/>
          <w:sz w:val="22"/>
        </w:rPr>
        <w:t> </w:t>
      </w:r>
      <w:r>
        <w:rPr>
          <w:sz w:val="22"/>
        </w:rPr>
        <w:t>the</w:t>
      </w:r>
      <w:r>
        <w:rPr>
          <w:spacing w:val="-9"/>
          <w:sz w:val="22"/>
        </w:rPr>
        <w:t> </w:t>
      </w:r>
      <w:r>
        <w:rPr>
          <w:sz w:val="22"/>
        </w:rPr>
        <w:t>county</w:t>
      </w:r>
      <w:r>
        <w:rPr>
          <w:spacing w:val="-8"/>
          <w:sz w:val="22"/>
        </w:rPr>
        <w:t> </w:t>
      </w:r>
      <w:r>
        <w:rPr>
          <w:sz w:val="22"/>
        </w:rPr>
        <w:t>comprehensive solid waste</w:t>
      </w:r>
      <w:r>
        <w:rPr>
          <w:spacing w:val="-2"/>
          <w:sz w:val="22"/>
        </w:rPr>
        <w:t> </w:t>
      </w:r>
      <w:r>
        <w:rPr>
          <w:sz w:val="22"/>
        </w:rPr>
        <w:t>plan;</w:t>
      </w:r>
    </w:p>
    <w:p>
      <w:pPr>
        <w:pStyle w:val="ListParagraph"/>
        <w:numPr>
          <w:ilvl w:val="0"/>
          <w:numId w:val="11"/>
        </w:numPr>
        <w:tabs>
          <w:tab w:pos="841" w:val="left" w:leader="none"/>
        </w:tabs>
        <w:spacing w:line="240" w:lineRule="auto" w:before="120" w:after="0"/>
        <w:ind w:left="840" w:right="234" w:hanging="361"/>
        <w:jc w:val="left"/>
        <w:rPr>
          <w:sz w:val="22"/>
        </w:rPr>
      </w:pPr>
      <w:r>
        <w:rPr>
          <w:sz w:val="22"/>
        </w:rPr>
        <w:t>Participate</w:t>
      </w:r>
      <w:r>
        <w:rPr>
          <w:spacing w:val="-9"/>
          <w:sz w:val="22"/>
        </w:rPr>
        <w:t> </w:t>
      </w:r>
      <w:r>
        <w:rPr>
          <w:sz w:val="22"/>
        </w:rPr>
        <w:t>with</w:t>
      </w:r>
      <w:r>
        <w:rPr>
          <w:spacing w:val="-9"/>
          <w:sz w:val="22"/>
        </w:rPr>
        <w:t> </w:t>
      </w:r>
      <w:r>
        <w:rPr>
          <w:sz w:val="22"/>
        </w:rPr>
        <w:t>the</w:t>
      </w:r>
      <w:r>
        <w:rPr>
          <w:spacing w:val="-11"/>
          <w:sz w:val="22"/>
        </w:rPr>
        <w:t> </w:t>
      </w:r>
      <w:r>
        <w:rPr>
          <w:sz w:val="22"/>
        </w:rPr>
        <w:t>county</w:t>
      </w:r>
      <w:r>
        <w:rPr>
          <w:spacing w:val="-9"/>
          <w:sz w:val="22"/>
        </w:rPr>
        <w:t> </w:t>
      </w:r>
      <w:r>
        <w:rPr>
          <w:sz w:val="22"/>
        </w:rPr>
        <w:t>in</w:t>
      </w:r>
      <w:r>
        <w:rPr>
          <w:spacing w:val="-10"/>
          <w:sz w:val="22"/>
        </w:rPr>
        <w:t> </w:t>
      </w:r>
      <w:r>
        <w:rPr>
          <w:sz w:val="22"/>
        </w:rPr>
        <w:t>preparing</w:t>
      </w:r>
      <w:r>
        <w:rPr>
          <w:spacing w:val="-8"/>
          <w:sz w:val="22"/>
        </w:rPr>
        <w:t> </w:t>
      </w:r>
      <w:r>
        <w:rPr>
          <w:sz w:val="22"/>
        </w:rPr>
        <w:t>a</w:t>
      </w:r>
      <w:r>
        <w:rPr>
          <w:spacing w:val="-8"/>
          <w:sz w:val="22"/>
        </w:rPr>
        <w:t> </w:t>
      </w:r>
      <w:r>
        <w:rPr>
          <w:sz w:val="22"/>
        </w:rPr>
        <w:t>joint</w:t>
      </w:r>
      <w:r>
        <w:rPr>
          <w:spacing w:val="-9"/>
          <w:sz w:val="22"/>
        </w:rPr>
        <w:t> </w:t>
      </w:r>
      <w:r>
        <w:rPr>
          <w:sz w:val="22"/>
        </w:rPr>
        <w:t>city-county</w:t>
      </w:r>
      <w:r>
        <w:rPr>
          <w:spacing w:val="-10"/>
          <w:sz w:val="22"/>
        </w:rPr>
        <w:t> </w:t>
      </w:r>
      <w:r>
        <w:rPr>
          <w:sz w:val="22"/>
        </w:rPr>
        <w:t>plan</w:t>
      </w:r>
      <w:r>
        <w:rPr>
          <w:spacing w:val="-9"/>
          <w:sz w:val="22"/>
        </w:rPr>
        <w:t> </w:t>
      </w:r>
      <w:r>
        <w:rPr>
          <w:sz w:val="22"/>
        </w:rPr>
        <w:t>for</w:t>
      </w:r>
      <w:r>
        <w:rPr>
          <w:spacing w:val="-9"/>
          <w:sz w:val="22"/>
        </w:rPr>
        <w:t> </w:t>
      </w:r>
      <w:r>
        <w:rPr>
          <w:sz w:val="22"/>
        </w:rPr>
        <w:t>solid</w:t>
      </w:r>
      <w:r>
        <w:rPr>
          <w:spacing w:val="-9"/>
          <w:sz w:val="22"/>
        </w:rPr>
        <w:t> </w:t>
      </w:r>
      <w:r>
        <w:rPr>
          <w:sz w:val="22"/>
        </w:rPr>
        <w:t>waste</w:t>
      </w:r>
      <w:r>
        <w:rPr>
          <w:spacing w:val="-8"/>
          <w:sz w:val="22"/>
        </w:rPr>
        <w:t> </w:t>
      </w:r>
      <w:r>
        <w:rPr>
          <w:sz w:val="22"/>
        </w:rPr>
        <w:t>management; or</w:t>
      </w:r>
    </w:p>
    <w:p>
      <w:pPr>
        <w:pStyle w:val="ListParagraph"/>
        <w:numPr>
          <w:ilvl w:val="0"/>
          <w:numId w:val="11"/>
        </w:numPr>
        <w:tabs>
          <w:tab w:pos="841" w:val="left" w:leader="none"/>
        </w:tabs>
        <w:spacing w:line="240" w:lineRule="auto" w:before="120" w:after="0"/>
        <w:ind w:left="840" w:right="232" w:hanging="361"/>
        <w:jc w:val="left"/>
        <w:rPr>
          <w:sz w:val="22"/>
        </w:rPr>
      </w:pPr>
      <w:r>
        <w:rPr>
          <w:sz w:val="22"/>
        </w:rPr>
        <w:t>Authorize</w:t>
      </w:r>
      <w:r>
        <w:rPr>
          <w:spacing w:val="-6"/>
          <w:sz w:val="22"/>
        </w:rPr>
        <w:t> </w:t>
      </w:r>
      <w:r>
        <w:rPr>
          <w:sz w:val="22"/>
        </w:rPr>
        <w:t>the</w:t>
      </w:r>
      <w:r>
        <w:rPr>
          <w:spacing w:val="-8"/>
          <w:sz w:val="22"/>
        </w:rPr>
        <w:t> </w:t>
      </w:r>
      <w:r>
        <w:rPr>
          <w:sz w:val="22"/>
        </w:rPr>
        <w:t>county</w:t>
      </w:r>
      <w:r>
        <w:rPr>
          <w:spacing w:val="-7"/>
          <w:sz w:val="22"/>
        </w:rPr>
        <w:t> </w:t>
      </w:r>
      <w:r>
        <w:rPr>
          <w:sz w:val="22"/>
        </w:rPr>
        <w:t>to</w:t>
      </w:r>
      <w:r>
        <w:rPr>
          <w:spacing w:val="-5"/>
          <w:sz w:val="22"/>
        </w:rPr>
        <w:t> </w:t>
      </w:r>
      <w:r>
        <w:rPr>
          <w:sz w:val="22"/>
        </w:rPr>
        <w:t>prepare</w:t>
      </w:r>
      <w:r>
        <w:rPr>
          <w:spacing w:val="-5"/>
          <w:sz w:val="22"/>
        </w:rPr>
        <w:t> </w:t>
      </w:r>
      <w:r>
        <w:rPr>
          <w:sz w:val="22"/>
        </w:rPr>
        <w:t>a</w:t>
      </w:r>
      <w:r>
        <w:rPr>
          <w:spacing w:val="-6"/>
          <w:sz w:val="22"/>
        </w:rPr>
        <w:t> </w:t>
      </w:r>
      <w:r>
        <w:rPr>
          <w:sz w:val="22"/>
        </w:rPr>
        <w:t>plan</w:t>
      </w:r>
      <w:r>
        <w:rPr>
          <w:spacing w:val="-7"/>
          <w:sz w:val="22"/>
        </w:rPr>
        <w:t> </w:t>
      </w:r>
      <w:r>
        <w:rPr>
          <w:sz w:val="22"/>
        </w:rPr>
        <w:t>for</w:t>
      </w:r>
      <w:r>
        <w:rPr>
          <w:spacing w:val="-6"/>
          <w:sz w:val="22"/>
        </w:rPr>
        <w:t> </w:t>
      </w:r>
      <w:r>
        <w:rPr>
          <w:sz w:val="22"/>
        </w:rPr>
        <w:t>the</w:t>
      </w:r>
      <w:r>
        <w:rPr>
          <w:spacing w:val="-5"/>
          <w:sz w:val="22"/>
        </w:rPr>
        <w:t> </w:t>
      </w:r>
      <w:r>
        <w:rPr>
          <w:sz w:val="22"/>
        </w:rPr>
        <w:t>City’s</w:t>
      </w:r>
      <w:r>
        <w:rPr>
          <w:spacing w:val="-5"/>
          <w:sz w:val="22"/>
        </w:rPr>
        <w:t> </w:t>
      </w:r>
      <w:r>
        <w:rPr>
          <w:sz w:val="22"/>
        </w:rPr>
        <w:t>solid</w:t>
      </w:r>
      <w:r>
        <w:rPr>
          <w:spacing w:val="-6"/>
          <w:sz w:val="22"/>
        </w:rPr>
        <w:t> </w:t>
      </w:r>
      <w:r>
        <w:rPr>
          <w:sz w:val="22"/>
        </w:rPr>
        <w:t>waste</w:t>
      </w:r>
      <w:r>
        <w:rPr>
          <w:spacing w:val="-5"/>
          <w:sz w:val="22"/>
        </w:rPr>
        <w:t> </w:t>
      </w:r>
      <w:r>
        <w:rPr>
          <w:sz w:val="22"/>
        </w:rPr>
        <w:t>management</w:t>
      </w:r>
      <w:r>
        <w:rPr>
          <w:spacing w:val="-6"/>
          <w:sz w:val="22"/>
        </w:rPr>
        <w:t> </w:t>
      </w:r>
      <w:r>
        <w:rPr>
          <w:sz w:val="22"/>
        </w:rPr>
        <w:t>for</w:t>
      </w:r>
      <w:r>
        <w:rPr>
          <w:spacing w:val="-6"/>
          <w:sz w:val="22"/>
        </w:rPr>
        <w:t> </w:t>
      </w:r>
      <w:r>
        <w:rPr>
          <w:sz w:val="22"/>
        </w:rPr>
        <w:t>inclusion</w:t>
      </w:r>
      <w:r>
        <w:rPr>
          <w:spacing w:val="-7"/>
          <w:sz w:val="22"/>
        </w:rPr>
        <w:t> </w:t>
      </w:r>
      <w:r>
        <w:rPr>
          <w:sz w:val="22"/>
        </w:rPr>
        <w:t>in the county comprehensive</w:t>
      </w:r>
      <w:r>
        <w:rPr>
          <w:spacing w:val="-5"/>
          <w:sz w:val="22"/>
        </w:rPr>
        <w:t> </w:t>
      </w:r>
      <w:r>
        <w:rPr>
          <w:sz w:val="22"/>
        </w:rPr>
        <w:t>plan.</w:t>
      </w:r>
    </w:p>
    <w:p>
      <w:pPr>
        <w:pStyle w:val="BodyText"/>
        <w:spacing w:before="121"/>
        <w:ind w:left="120" w:right="234"/>
        <w:jc w:val="both"/>
      </w:pPr>
      <w:r>
        <w:rPr/>
        <w:t>The</w:t>
      </w:r>
      <w:r>
        <w:rPr>
          <w:spacing w:val="-17"/>
        </w:rPr>
        <w:t> </w:t>
      </w:r>
      <w:r>
        <w:rPr/>
        <w:t>City</w:t>
      </w:r>
      <w:r>
        <w:rPr>
          <w:spacing w:val="-15"/>
        </w:rPr>
        <w:t> </w:t>
      </w:r>
      <w:r>
        <w:rPr/>
        <w:t>of</w:t>
      </w:r>
      <w:r>
        <w:rPr>
          <w:spacing w:val="-14"/>
        </w:rPr>
        <w:t> </w:t>
      </w:r>
      <w:r>
        <w:rPr/>
        <w:t>Richland</w:t>
      </w:r>
      <w:r>
        <w:rPr>
          <w:spacing w:val="-14"/>
        </w:rPr>
        <w:t> </w:t>
      </w:r>
      <w:r>
        <w:rPr/>
        <w:t>has</w:t>
      </w:r>
      <w:r>
        <w:rPr>
          <w:spacing w:val="-13"/>
        </w:rPr>
        <w:t> </w:t>
      </w:r>
      <w:r>
        <w:rPr/>
        <w:t>chosen</w:t>
      </w:r>
      <w:r>
        <w:rPr>
          <w:spacing w:val="-15"/>
        </w:rPr>
        <w:t> </w:t>
      </w:r>
      <w:r>
        <w:rPr/>
        <w:t>the</w:t>
      </w:r>
      <w:r>
        <w:rPr>
          <w:spacing w:val="-14"/>
        </w:rPr>
        <w:t> </w:t>
      </w:r>
      <w:r>
        <w:rPr/>
        <w:t>first</w:t>
      </w:r>
      <w:r>
        <w:rPr>
          <w:spacing w:val="-14"/>
        </w:rPr>
        <w:t> </w:t>
      </w:r>
      <w:r>
        <w:rPr/>
        <w:t>option.</w:t>
      </w:r>
      <w:r>
        <w:rPr>
          <w:spacing w:val="-14"/>
        </w:rPr>
        <w:t> </w:t>
      </w:r>
      <w:r>
        <w:rPr/>
        <w:t>RCW</w:t>
      </w:r>
      <w:r>
        <w:rPr>
          <w:spacing w:val="-14"/>
        </w:rPr>
        <w:t> </w:t>
      </w:r>
      <w:r>
        <w:rPr/>
        <w:t>70.95.080(3)(a)</w:t>
      </w:r>
      <w:r>
        <w:rPr>
          <w:spacing w:val="-14"/>
        </w:rPr>
        <w:t> </w:t>
      </w:r>
      <w:r>
        <w:rPr/>
        <w:t>defines</w:t>
      </w:r>
      <w:r>
        <w:rPr>
          <w:spacing w:val="-13"/>
        </w:rPr>
        <w:t> </w:t>
      </w:r>
      <w:r>
        <w:rPr/>
        <w:t>that</w:t>
      </w:r>
      <w:r>
        <w:rPr>
          <w:spacing w:val="-14"/>
        </w:rPr>
        <w:t> </w:t>
      </w:r>
      <w:r>
        <w:rPr/>
        <w:t>option</w:t>
      </w:r>
      <w:r>
        <w:rPr>
          <w:spacing w:val="-15"/>
        </w:rPr>
        <w:t> </w:t>
      </w:r>
      <w:r>
        <w:rPr/>
        <w:t>as:</w:t>
      </w:r>
      <w:r>
        <w:rPr>
          <w:spacing w:val="-14"/>
        </w:rPr>
        <w:t> </w:t>
      </w:r>
      <w:r>
        <w:rPr/>
        <w:t>“Prepare and deliver to the county auditor of the county in which it is located its plan for its own solid waste management for integration into the comprehensive county</w:t>
      </w:r>
      <w:r>
        <w:rPr>
          <w:spacing w:val="-14"/>
        </w:rPr>
        <w:t> </w:t>
      </w:r>
      <w:r>
        <w:rPr/>
        <w:t>plan”.</w:t>
      </w:r>
    </w:p>
    <w:p>
      <w:pPr>
        <w:pStyle w:val="BodyText"/>
        <w:spacing w:before="121"/>
        <w:ind w:left="120" w:right="233"/>
        <w:jc w:val="both"/>
      </w:pPr>
      <w:r>
        <w:rPr/>
        <w:t>In 2009, the City chose to develop their own solid waste management plan as a tool to guide the continued</w:t>
      </w:r>
      <w:r>
        <w:rPr>
          <w:spacing w:val="-6"/>
        </w:rPr>
        <w:t> </w:t>
      </w:r>
      <w:r>
        <w:rPr/>
        <w:t>development</w:t>
      </w:r>
      <w:r>
        <w:rPr>
          <w:spacing w:val="-7"/>
        </w:rPr>
        <w:t> </w:t>
      </w:r>
      <w:r>
        <w:rPr/>
        <w:t>of</w:t>
      </w:r>
      <w:r>
        <w:rPr>
          <w:spacing w:val="-6"/>
        </w:rPr>
        <w:t> </w:t>
      </w:r>
      <w:r>
        <w:rPr/>
        <w:t>their</w:t>
      </w:r>
      <w:r>
        <w:rPr>
          <w:spacing w:val="-5"/>
        </w:rPr>
        <w:t> </w:t>
      </w:r>
      <w:r>
        <w:rPr/>
        <w:t>collection</w:t>
      </w:r>
      <w:r>
        <w:rPr>
          <w:spacing w:val="-5"/>
        </w:rPr>
        <w:t> </w:t>
      </w:r>
      <w:r>
        <w:rPr/>
        <w:t>system</w:t>
      </w:r>
      <w:r>
        <w:rPr>
          <w:spacing w:val="-3"/>
        </w:rPr>
        <w:t> </w:t>
      </w:r>
      <w:r>
        <w:rPr/>
        <w:t>and</w:t>
      </w:r>
      <w:r>
        <w:rPr>
          <w:spacing w:val="-5"/>
        </w:rPr>
        <w:t> </w:t>
      </w:r>
      <w:r>
        <w:rPr/>
        <w:t>landfill.</w:t>
      </w:r>
      <w:r>
        <w:rPr>
          <w:spacing w:val="-6"/>
        </w:rPr>
        <w:t> </w:t>
      </w:r>
      <w:r>
        <w:rPr/>
        <w:t>The</w:t>
      </w:r>
      <w:r>
        <w:rPr>
          <w:spacing w:val="-4"/>
        </w:rPr>
        <w:t> </w:t>
      </w:r>
      <w:r>
        <w:rPr/>
        <w:t>City’s</w:t>
      </w:r>
      <w:r>
        <w:rPr>
          <w:spacing w:val="-4"/>
        </w:rPr>
        <w:t> </w:t>
      </w:r>
      <w:r>
        <w:rPr/>
        <w:t>Plan</w:t>
      </w:r>
      <w:r>
        <w:rPr>
          <w:spacing w:val="-10"/>
        </w:rPr>
        <w:t> </w:t>
      </w:r>
      <w:r>
        <w:rPr/>
        <w:t>was</w:t>
      </w:r>
      <w:r>
        <w:rPr>
          <w:spacing w:val="-3"/>
        </w:rPr>
        <w:t> </w:t>
      </w:r>
      <w:r>
        <w:rPr/>
        <w:t>updated</w:t>
      </w:r>
      <w:r>
        <w:rPr>
          <w:spacing w:val="-7"/>
        </w:rPr>
        <w:t> </w:t>
      </w:r>
      <w:r>
        <w:rPr/>
        <w:t>in</w:t>
      </w:r>
      <w:r>
        <w:rPr>
          <w:spacing w:val="-5"/>
        </w:rPr>
        <w:t> </w:t>
      </w:r>
      <w:r>
        <w:rPr/>
        <w:t>August 2011. This updated Plan was prepared in accordance with the Department of Ecology’s “Guidelines for</w:t>
      </w:r>
      <w:r>
        <w:rPr>
          <w:spacing w:val="-13"/>
        </w:rPr>
        <w:t> </w:t>
      </w:r>
      <w:r>
        <w:rPr/>
        <w:t>Development</w:t>
      </w:r>
      <w:r>
        <w:rPr>
          <w:spacing w:val="-13"/>
        </w:rPr>
        <w:t> </w:t>
      </w:r>
      <w:r>
        <w:rPr/>
        <w:t>of</w:t>
      </w:r>
      <w:r>
        <w:rPr>
          <w:spacing w:val="-11"/>
        </w:rPr>
        <w:t> </w:t>
      </w:r>
      <w:r>
        <w:rPr/>
        <w:t>Local</w:t>
      </w:r>
      <w:r>
        <w:rPr>
          <w:spacing w:val="-15"/>
        </w:rPr>
        <w:t> </w:t>
      </w:r>
      <w:r>
        <w:rPr/>
        <w:t>Comprehensive</w:t>
      </w:r>
      <w:r>
        <w:rPr>
          <w:spacing w:val="-11"/>
        </w:rPr>
        <w:t> </w:t>
      </w:r>
      <w:r>
        <w:rPr/>
        <w:t>Solid</w:t>
      </w:r>
      <w:r>
        <w:rPr>
          <w:spacing w:val="-15"/>
        </w:rPr>
        <w:t> </w:t>
      </w:r>
      <w:r>
        <w:rPr/>
        <w:t>Waste</w:t>
      </w:r>
      <w:r>
        <w:rPr>
          <w:spacing w:val="-12"/>
        </w:rPr>
        <w:t> </w:t>
      </w:r>
      <w:r>
        <w:rPr/>
        <w:t>Management</w:t>
      </w:r>
      <w:r>
        <w:rPr>
          <w:spacing w:val="-12"/>
        </w:rPr>
        <w:t> </w:t>
      </w:r>
      <w:r>
        <w:rPr/>
        <w:t>Plans</w:t>
      </w:r>
      <w:r>
        <w:rPr>
          <w:spacing w:val="-11"/>
        </w:rPr>
        <w:t> </w:t>
      </w:r>
      <w:r>
        <w:rPr/>
        <w:t>and</w:t>
      </w:r>
      <w:r>
        <w:rPr>
          <w:spacing w:val="-14"/>
        </w:rPr>
        <w:t> </w:t>
      </w:r>
      <w:r>
        <w:rPr/>
        <w:t>Plan</w:t>
      </w:r>
      <w:r>
        <w:rPr>
          <w:spacing w:val="-13"/>
        </w:rPr>
        <w:t> </w:t>
      </w:r>
      <w:r>
        <w:rPr/>
        <w:t>Revision”,</w:t>
      </w:r>
      <w:r>
        <w:rPr>
          <w:spacing w:val="-12"/>
        </w:rPr>
        <w:t> </w:t>
      </w:r>
      <w:r>
        <w:rPr/>
        <w:t>January 2010. The City’s Plan was submitted for inclusion in Benton County’s 2013 update of its Solid Waste and Moderate Risk Waste Plan. The County’s 2013 Plan was subsequently approved by the Washington State Department of Ecology. The Department of Ecology’s action formalized the completion of the City’s planning responsibilities under RCW</w:t>
      </w:r>
      <w:r>
        <w:rPr>
          <w:spacing w:val="-9"/>
        </w:rPr>
        <w:t> </w:t>
      </w:r>
      <w:r>
        <w:rPr/>
        <w:t>70.95.030.</w:t>
      </w:r>
    </w:p>
    <w:p>
      <w:pPr>
        <w:pStyle w:val="BodyText"/>
        <w:spacing w:before="118"/>
        <w:ind w:left="120" w:right="233"/>
        <w:jc w:val="both"/>
      </w:pPr>
      <w:r>
        <w:rPr/>
        <w:t>The City’s Solid Waste Management includes these goal statements as guiding principles for its solid waste services:</w:t>
      </w:r>
    </w:p>
    <w:p>
      <w:pPr>
        <w:pStyle w:val="ListParagraph"/>
        <w:numPr>
          <w:ilvl w:val="1"/>
          <w:numId w:val="10"/>
        </w:numPr>
        <w:tabs>
          <w:tab w:pos="841" w:val="left" w:leader="none"/>
          <w:tab w:pos="842" w:val="left" w:leader="none"/>
        </w:tabs>
        <w:spacing w:line="240" w:lineRule="auto" w:before="61" w:after="0"/>
        <w:ind w:left="841" w:right="234" w:hanging="361"/>
        <w:jc w:val="left"/>
        <w:rPr>
          <w:sz w:val="22"/>
        </w:rPr>
      </w:pPr>
      <w:r>
        <w:rPr>
          <w:sz w:val="22"/>
        </w:rPr>
        <w:t>Goal 1: Manage solid waste in compliance with State and local regulations to promote and protect human and environmental health and</w:t>
      </w:r>
      <w:r>
        <w:rPr>
          <w:spacing w:val="-9"/>
          <w:sz w:val="22"/>
        </w:rPr>
        <w:t> </w:t>
      </w:r>
      <w:r>
        <w:rPr>
          <w:sz w:val="22"/>
        </w:rPr>
        <w:t>safety.</w:t>
      </w:r>
    </w:p>
    <w:p>
      <w:pPr>
        <w:pStyle w:val="ListParagraph"/>
        <w:numPr>
          <w:ilvl w:val="1"/>
          <w:numId w:val="10"/>
        </w:numPr>
        <w:tabs>
          <w:tab w:pos="841" w:val="left" w:leader="none"/>
          <w:tab w:pos="842" w:val="left" w:leader="none"/>
        </w:tabs>
        <w:spacing w:line="240" w:lineRule="auto" w:before="60" w:after="0"/>
        <w:ind w:left="841" w:right="236" w:hanging="361"/>
        <w:jc w:val="left"/>
        <w:rPr>
          <w:sz w:val="22"/>
        </w:rPr>
      </w:pPr>
      <w:r>
        <w:rPr>
          <w:sz w:val="22"/>
        </w:rPr>
        <w:t>Goal 2: Optimize the solid waste management system to provide for long-term stability in a cost-effective</w:t>
      </w:r>
      <w:r>
        <w:rPr>
          <w:spacing w:val="-4"/>
          <w:sz w:val="22"/>
        </w:rPr>
        <w:t> </w:t>
      </w:r>
      <w:r>
        <w:rPr>
          <w:sz w:val="22"/>
        </w:rPr>
        <w:t>manner.</w:t>
      </w:r>
    </w:p>
    <w:p>
      <w:pPr>
        <w:pStyle w:val="ListParagraph"/>
        <w:numPr>
          <w:ilvl w:val="1"/>
          <w:numId w:val="10"/>
        </w:numPr>
        <w:tabs>
          <w:tab w:pos="841" w:val="left" w:leader="none"/>
          <w:tab w:pos="842" w:val="left" w:leader="none"/>
        </w:tabs>
        <w:spacing w:line="240" w:lineRule="auto" w:before="60" w:after="0"/>
        <w:ind w:left="841" w:right="0" w:hanging="361"/>
        <w:jc w:val="left"/>
        <w:rPr>
          <w:sz w:val="22"/>
        </w:rPr>
      </w:pPr>
      <w:r>
        <w:rPr>
          <w:sz w:val="22"/>
        </w:rPr>
        <w:t>Goal 3: Provide solid waste programs with emphasis on customer service and</w:t>
      </w:r>
      <w:r>
        <w:rPr>
          <w:spacing w:val="-23"/>
          <w:sz w:val="22"/>
        </w:rPr>
        <w:t> </w:t>
      </w:r>
      <w:r>
        <w:rPr>
          <w:sz w:val="22"/>
        </w:rPr>
        <w:t>satisfaction.</w:t>
      </w:r>
    </w:p>
    <w:p>
      <w:pPr>
        <w:pStyle w:val="ListParagraph"/>
        <w:numPr>
          <w:ilvl w:val="1"/>
          <w:numId w:val="10"/>
        </w:numPr>
        <w:tabs>
          <w:tab w:pos="841" w:val="left" w:leader="none"/>
          <w:tab w:pos="842" w:val="left" w:leader="none"/>
        </w:tabs>
        <w:spacing w:line="240" w:lineRule="auto" w:before="61" w:after="0"/>
        <w:ind w:left="841" w:right="233" w:hanging="361"/>
        <w:jc w:val="left"/>
        <w:rPr>
          <w:sz w:val="22"/>
        </w:rPr>
      </w:pPr>
      <w:r>
        <w:rPr>
          <w:sz w:val="22"/>
        </w:rPr>
        <w:t>Goal 4: Identify the types of recyclables and establish programs to efficiently and effectively recycle and market these</w:t>
      </w:r>
      <w:r>
        <w:rPr>
          <w:spacing w:val="-7"/>
          <w:sz w:val="22"/>
        </w:rPr>
        <w:t> </w:t>
      </w:r>
      <w:r>
        <w:rPr>
          <w:sz w:val="22"/>
        </w:rPr>
        <w:t>materials.</w:t>
      </w:r>
    </w:p>
    <w:p>
      <w:pPr>
        <w:pStyle w:val="ListParagraph"/>
        <w:numPr>
          <w:ilvl w:val="1"/>
          <w:numId w:val="10"/>
        </w:numPr>
        <w:tabs>
          <w:tab w:pos="841" w:val="left" w:leader="none"/>
          <w:tab w:pos="843" w:val="left" w:leader="none"/>
        </w:tabs>
        <w:spacing w:line="240" w:lineRule="auto" w:before="58" w:after="0"/>
        <w:ind w:left="841" w:right="233" w:hanging="360"/>
        <w:jc w:val="left"/>
        <w:rPr>
          <w:sz w:val="22"/>
        </w:rPr>
      </w:pPr>
      <w:r>
        <w:rPr>
          <w:sz w:val="22"/>
        </w:rPr>
        <w:t>Goal 5: Promote programs and balance incentives and disincentives to encourage reduction, reuse, and</w:t>
      </w:r>
      <w:r>
        <w:rPr>
          <w:spacing w:val="-3"/>
          <w:sz w:val="22"/>
        </w:rPr>
        <w:t> </w:t>
      </w:r>
      <w:r>
        <w:rPr>
          <w:sz w:val="22"/>
        </w:rPr>
        <w:t>recycling.</w:t>
      </w:r>
    </w:p>
    <w:p>
      <w:pPr>
        <w:pStyle w:val="ListParagraph"/>
        <w:numPr>
          <w:ilvl w:val="1"/>
          <w:numId w:val="10"/>
        </w:numPr>
        <w:tabs>
          <w:tab w:pos="841" w:val="left" w:leader="none"/>
          <w:tab w:pos="843" w:val="left" w:leader="none"/>
        </w:tabs>
        <w:spacing w:line="240" w:lineRule="auto" w:before="60" w:after="0"/>
        <w:ind w:left="842" w:right="234" w:hanging="361"/>
        <w:jc w:val="left"/>
        <w:rPr>
          <w:sz w:val="22"/>
        </w:rPr>
      </w:pPr>
      <w:r>
        <w:rPr>
          <w:sz w:val="22"/>
        </w:rPr>
        <w:t>Goal 6: Educate businesses and the public on opportunities available for waste reduction, reuse, and</w:t>
      </w:r>
      <w:r>
        <w:rPr>
          <w:spacing w:val="-3"/>
          <w:sz w:val="22"/>
        </w:rPr>
        <w:t> </w:t>
      </w:r>
      <w:r>
        <w:rPr>
          <w:sz w:val="22"/>
        </w:rPr>
        <w:t>recycling.</w:t>
      </w:r>
    </w:p>
    <w:p>
      <w:pPr>
        <w:pStyle w:val="ListParagraph"/>
        <w:numPr>
          <w:ilvl w:val="1"/>
          <w:numId w:val="10"/>
        </w:numPr>
        <w:tabs>
          <w:tab w:pos="842" w:val="left" w:leader="none"/>
          <w:tab w:pos="843" w:val="left" w:leader="none"/>
        </w:tabs>
        <w:spacing w:line="240" w:lineRule="auto" w:before="61" w:after="0"/>
        <w:ind w:left="842" w:right="232" w:hanging="361"/>
        <w:jc w:val="left"/>
        <w:rPr>
          <w:sz w:val="22"/>
        </w:rPr>
      </w:pPr>
      <w:r>
        <w:rPr>
          <w:sz w:val="22"/>
        </w:rPr>
        <w:t>Goal 7: Encourage and support the research and development of new technologies for solid waste management and</w:t>
      </w:r>
      <w:r>
        <w:rPr>
          <w:spacing w:val="-6"/>
          <w:sz w:val="22"/>
        </w:rPr>
        <w:t> </w:t>
      </w:r>
      <w:r>
        <w:rPr>
          <w:sz w:val="22"/>
        </w:rPr>
        <w:t>recycling.</w:t>
      </w:r>
    </w:p>
    <w:p>
      <w:pPr>
        <w:spacing w:after="0" w:line="240" w:lineRule="auto"/>
        <w:jc w:val="left"/>
        <w:rPr>
          <w:sz w:val="22"/>
        </w:rPr>
        <w:sectPr>
          <w:pgSz w:w="12240" w:h="15840"/>
          <w:pgMar w:header="0" w:footer="1052" w:top="1420" w:bottom="1320" w:left="1320" w:right="1200"/>
        </w:sectPr>
      </w:pPr>
    </w:p>
    <w:p>
      <w:pPr>
        <w:spacing w:before="80"/>
        <w:ind w:left="120" w:right="0" w:firstLine="0"/>
        <w:jc w:val="both"/>
        <w:rPr>
          <w:b/>
          <w:sz w:val="22"/>
        </w:rPr>
      </w:pPr>
      <w:bookmarkStart w:name="Solid Waste Collection and Disposal" w:id="203"/>
      <w:bookmarkEnd w:id="203"/>
      <w:r>
        <w:rPr/>
      </w:r>
      <w:r>
        <w:rPr>
          <w:b/>
          <w:color w:val="C0504D"/>
          <w:sz w:val="22"/>
        </w:rPr>
        <w:t>Solid Waste Collection and Disposal</w:t>
      </w:r>
    </w:p>
    <w:p>
      <w:pPr>
        <w:pStyle w:val="BodyText"/>
        <w:spacing w:before="119"/>
        <w:ind w:left="120" w:right="233"/>
        <w:jc w:val="both"/>
      </w:pPr>
      <w:r>
        <w:rPr/>
        <w:t>The City of Richland Solid Waste Division provides municipal solid waste collection and disposal services</w:t>
      </w:r>
      <w:r>
        <w:rPr>
          <w:spacing w:val="-6"/>
        </w:rPr>
        <w:t> </w:t>
      </w:r>
      <w:r>
        <w:rPr/>
        <w:t>to</w:t>
      </w:r>
      <w:r>
        <w:rPr>
          <w:spacing w:val="-5"/>
        </w:rPr>
        <w:t> </w:t>
      </w:r>
      <w:r>
        <w:rPr/>
        <w:t>residences</w:t>
      </w:r>
      <w:r>
        <w:rPr>
          <w:spacing w:val="-5"/>
        </w:rPr>
        <w:t> </w:t>
      </w:r>
      <w:r>
        <w:rPr/>
        <w:t>and</w:t>
      </w:r>
      <w:r>
        <w:rPr>
          <w:spacing w:val="-9"/>
        </w:rPr>
        <w:t> </w:t>
      </w:r>
      <w:r>
        <w:rPr/>
        <w:t>businesses</w:t>
      </w:r>
      <w:r>
        <w:rPr>
          <w:spacing w:val="-5"/>
        </w:rPr>
        <w:t> </w:t>
      </w:r>
      <w:r>
        <w:rPr/>
        <w:t>within</w:t>
      </w:r>
      <w:r>
        <w:rPr>
          <w:spacing w:val="-7"/>
        </w:rPr>
        <w:t> </w:t>
      </w:r>
      <w:r>
        <w:rPr/>
        <w:t>the</w:t>
      </w:r>
      <w:r>
        <w:rPr>
          <w:spacing w:val="-7"/>
        </w:rPr>
        <w:t> </w:t>
      </w:r>
      <w:r>
        <w:rPr/>
        <w:t>City</w:t>
      </w:r>
      <w:r>
        <w:rPr>
          <w:spacing w:val="-7"/>
        </w:rPr>
        <w:t> </w:t>
      </w:r>
      <w:r>
        <w:rPr/>
        <w:t>limits.</w:t>
      </w:r>
      <w:r>
        <w:rPr>
          <w:spacing w:val="-6"/>
        </w:rPr>
        <w:t> </w:t>
      </w:r>
      <w:r>
        <w:rPr/>
        <w:t>Solid</w:t>
      </w:r>
      <w:r>
        <w:rPr>
          <w:spacing w:val="-6"/>
        </w:rPr>
        <w:t> </w:t>
      </w:r>
      <w:r>
        <w:rPr/>
        <w:t>Waste</w:t>
      </w:r>
      <w:r>
        <w:rPr>
          <w:spacing w:val="-6"/>
        </w:rPr>
        <w:t> </w:t>
      </w:r>
      <w:r>
        <w:rPr/>
        <w:t>Collection</w:t>
      </w:r>
      <w:r>
        <w:rPr>
          <w:spacing w:val="-7"/>
        </w:rPr>
        <w:t> </w:t>
      </w:r>
      <w:r>
        <w:rPr/>
        <w:t>services</w:t>
      </w:r>
      <w:r>
        <w:rPr>
          <w:spacing w:val="-5"/>
        </w:rPr>
        <w:t> </w:t>
      </w:r>
      <w:r>
        <w:rPr/>
        <w:t>for</w:t>
      </w:r>
      <w:r>
        <w:rPr>
          <w:spacing w:val="-6"/>
        </w:rPr>
        <w:t> </w:t>
      </w:r>
      <w:r>
        <w:rPr/>
        <w:t>lands outside the City limits is provided by private waste haulers licensed through the Washington State Utilities and Transportation Commission. This City’s landfill accepts waste from the surrounding areas on an individual load basis. The City has no disposal contracts with private haulers or other government</w:t>
      </w:r>
      <w:r>
        <w:rPr>
          <w:spacing w:val="-2"/>
        </w:rPr>
        <w:t> </w:t>
      </w:r>
      <w:r>
        <w:rPr/>
        <w:t>agencies.</w:t>
      </w:r>
    </w:p>
    <w:p>
      <w:pPr>
        <w:pStyle w:val="BodyText"/>
        <w:spacing w:before="120"/>
        <w:ind w:left="120" w:right="232"/>
        <w:jc w:val="both"/>
      </w:pPr>
      <w:r>
        <w:rPr/>
        <w:t>Solid waste collection services for the City of Richland are provided by the City’s Public Works Department, except in newly annexed areas. The Department administers user-fee-funded refuse collection services, and bills its customers through the City Administrative Services Department. Solid waste collection in Richland is available five days a week. Industrial and commercial pickup is provided by the City of Richland. Commercial waste pickup can range from one to five times a week.</w:t>
      </w:r>
    </w:p>
    <w:p>
      <w:pPr>
        <w:pStyle w:val="BodyText"/>
        <w:spacing w:before="122"/>
        <w:ind w:left="120" w:right="235"/>
        <w:jc w:val="both"/>
      </w:pPr>
      <w:r>
        <w:rPr/>
        <w:t>Collection services within newly annexed areas are provided by private solid waste hauling companies operating under contracts with the City. The contracts, which are required by State law, provide for a ten-year transition period during which the private solid waste haulers continue services in keeping with their State-authorized permits. The haulers do not align their services with the City’s Solid Waste Management Plan. At the expiration of the contracts the City may choose to extend the contracts or assume service to the area customers. When the City elects to assume these service areas, it will provide services consistent with the Solid Waste Management Plan and its adopted rate structure.</w:t>
      </w:r>
    </w:p>
    <w:p>
      <w:pPr>
        <w:pStyle w:val="BodyText"/>
        <w:spacing w:before="118"/>
        <w:ind w:left="120" w:right="235" w:hanging="1"/>
        <w:jc w:val="both"/>
      </w:pPr>
      <w:r>
        <w:rPr/>
        <w:t>About 26 percent of solid waste is recycled in Richland based on the 2015 data of generation, recycling, and disposal as shown in the table below:</w:t>
      </w:r>
    </w:p>
    <w:p>
      <w:pPr>
        <w:spacing w:before="120"/>
        <w:ind w:left="840" w:right="0" w:firstLine="0"/>
        <w:jc w:val="left"/>
        <w:rPr>
          <w:rFonts w:ascii="Arial"/>
          <w:b/>
          <w:sz w:val="20"/>
        </w:rPr>
      </w:pPr>
      <w:r>
        <w:rPr>
          <w:rFonts w:ascii="Arial"/>
          <w:b/>
          <w:sz w:val="20"/>
        </w:rPr>
        <w:t>Table U-15: Solid Waste Generation</w:t>
      </w:r>
    </w:p>
    <w:p>
      <w:pPr>
        <w:pStyle w:val="BodyText"/>
        <w:spacing w:before="5"/>
        <w:rPr>
          <w:rFonts w:ascii="Arial"/>
          <w:b/>
          <w:sz w:val="10"/>
        </w:rPr>
      </w:pPr>
    </w:p>
    <w:tbl>
      <w:tblPr>
        <w:tblW w:w="0" w:type="auto"/>
        <w:jc w:val="left"/>
        <w:tblInd w:w="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80"/>
        <w:gridCol w:w="2431"/>
        <w:gridCol w:w="1620"/>
      </w:tblGrid>
      <w:tr>
        <w:trPr>
          <w:trHeight w:val="402" w:hRule="atLeast"/>
        </w:trPr>
        <w:tc>
          <w:tcPr>
            <w:tcW w:w="2880" w:type="dxa"/>
            <w:shd w:val="clear" w:color="auto" w:fill="B8CCE3"/>
          </w:tcPr>
          <w:p>
            <w:pPr>
              <w:pStyle w:val="TableParagraph"/>
              <w:spacing w:before="0"/>
              <w:ind w:left="0"/>
              <w:rPr>
                <w:rFonts w:ascii="Times New Roman"/>
                <w:sz w:val="22"/>
              </w:rPr>
            </w:pPr>
          </w:p>
        </w:tc>
        <w:tc>
          <w:tcPr>
            <w:tcW w:w="2431" w:type="dxa"/>
            <w:shd w:val="clear" w:color="auto" w:fill="B8CCE3"/>
          </w:tcPr>
          <w:p>
            <w:pPr>
              <w:pStyle w:val="TableParagraph"/>
              <w:spacing w:before="119"/>
              <w:rPr>
                <w:b/>
                <w:sz w:val="22"/>
              </w:rPr>
            </w:pPr>
            <w:r>
              <w:rPr>
                <w:b/>
                <w:sz w:val="22"/>
              </w:rPr>
              <w:t>Tons</w:t>
            </w:r>
          </w:p>
        </w:tc>
        <w:tc>
          <w:tcPr>
            <w:tcW w:w="1620" w:type="dxa"/>
            <w:shd w:val="clear" w:color="auto" w:fill="B8CCE3"/>
          </w:tcPr>
          <w:p>
            <w:pPr>
              <w:pStyle w:val="TableParagraph"/>
              <w:spacing w:before="119"/>
              <w:rPr>
                <w:b/>
                <w:sz w:val="22"/>
              </w:rPr>
            </w:pPr>
            <w:r>
              <w:rPr>
                <w:b/>
                <w:w w:val="100"/>
                <w:sz w:val="22"/>
              </w:rPr>
              <w:t>%</w:t>
            </w:r>
          </w:p>
        </w:tc>
      </w:tr>
      <w:tr>
        <w:trPr>
          <w:trHeight w:val="318" w:hRule="atLeast"/>
        </w:trPr>
        <w:tc>
          <w:tcPr>
            <w:tcW w:w="2880" w:type="dxa"/>
          </w:tcPr>
          <w:p>
            <w:pPr>
              <w:pStyle w:val="TableParagraph"/>
              <w:spacing w:line="237" w:lineRule="exact" w:before="62"/>
              <w:rPr>
                <w:sz w:val="22"/>
              </w:rPr>
            </w:pPr>
            <w:r>
              <w:rPr>
                <w:sz w:val="22"/>
              </w:rPr>
              <w:t>Generation</w:t>
            </w:r>
          </w:p>
        </w:tc>
        <w:tc>
          <w:tcPr>
            <w:tcW w:w="2431" w:type="dxa"/>
          </w:tcPr>
          <w:p>
            <w:pPr>
              <w:pStyle w:val="TableParagraph"/>
              <w:spacing w:line="237" w:lineRule="exact" w:before="62"/>
              <w:rPr>
                <w:sz w:val="22"/>
              </w:rPr>
            </w:pPr>
            <w:r>
              <w:rPr>
                <w:sz w:val="22"/>
              </w:rPr>
              <w:t>77,697</w:t>
            </w:r>
          </w:p>
        </w:tc>
        <w:tc>
          <w:tcPr>
            <w:tcW w:w="1620" w:type="dxa"/>
          </w:tcPr>
          <w:p>
            <w:pPr>
              <w:pStyle w:val="TableParagraph"/>
              <w:spacing w:line="237" w:lineRule="exact" w:before="62"/>
              <w:rPr>
                <w:sz w:val="22"/>
              </w:rPr>
            </w:pPr>
            <w:r>
              <w:rPr>
                <w:sz w:val="22"/>
              </w:rPr>
              <w:t>100</w:t>
            </w:r>
          </w:p>
        </w:tc>
      </w:tr>
      <w:tr>
        <w:trPr>
          <w:trHeight w:val="318" w:hRule="atLeast"/>
        </w:trPr>
        <w:tc>
          <w:tcPr>
            <w:tcW w:w="2880" w:type="dxa"/>
          </w:tcPr>
          <w:p>
            <w:pPr>
              <w:pStyle w:val="TableParagraph"/>
              <w:spacing w:line="239" w:lineRule="exact"/>
              <w:rPr>
                <w:sz w:val="22"/>
              </w:rPr>
            </w:pPr>
            <w:r>
              <w:rPr>
                <w:sz w:val="22"/>
              </w:rPr>
              <w:t>Recycling</w:t>
            </w:r>
          </w:p>
        </w:tc>
        <w:tc>
          <w:tcPr>
            <w:tcW w:w="2431" w:type="dxa"/>
          </w:tcPr>
          <w:p>
            <w:pPr>
              <w:pStyle w:val="TableParagraph"/>
              <w:spacing w:line="239" w:lineRule="exact"/>
              <w:rPr>
                <w:sz w:val="22"/>
              </w:rPr>
            </w:pPr>
            <w:r>
              <w:rPr>
                <w:sz w:val="22"/>
              </w:rPr>
              <w:t>22,216</w:t>
            </w:r>
          </w:p>
        </w:tc>
        <w:tc>
          <w:tcPr>
            <w:tcW w:w="1620" w:type="dxa"/>
          </w:tcPr>
          <w:p>
            <w:pPr>
              <w:pStyle w:val="TableParagraph"/>
              <w:spacing w:line="239" w:lineRule="exact"/>
              <w:rPr>
                <w:sz w:val="22"/>
              </w:rPr>
            </w:pPr>
            <w:r>
              <w:rPr>
                <w:sz w:val="22"/>
              </w:rPr>
              <w:t>26</w:t>
            </w:r>
          </w:p>
        </w:tc>
      </w:tr>
      <w:tr>
        <w:trPr>
          <w:trHeight w:val="318" w:hRule="atLeast"/>
        </w:trPr>
        <w:tc>
          <w:tcPr>
            <w:tcW w:w="2880" w:type="dxa"/>
          </w:tcPr>
          <w:p>
            <w:pPr>
              <w:pStyle w:val="TableParagraph"/>
              <w:spacing w:line="239" w:lineRule="exact"/>
              <w:rPr>
                <w:sz w:val="22"/>
              </w:rPr>
            </w:pPr>
            <w:r>
              <w:rPr>
                <w:sz w:val="22"/>
              </w:rPr>
              <w:t>Disposal</w:t>
            </w:r>
          </w:p>
        </w:tc>
        <w:tc>
          <w:tcPr>
            <w:tcW w:w="2431" w:type="dxa"/>
          </w:tcPr>
          <w:p>
            <w:pPr>
              <w:pStyle w:val="TableParagraph"/>
              <w:spacing w:line="239" w:lineRule="exact"/>
              <w:rPr>
                <w:sz w:val="22"/>
              </w:rPr>
            </w:pPr>
            <w:r>
              <w:rPr>
                <w:sz w:val="22"/>
              </w:rPr>
              <w:t>55,481</w:t>
            </w:r>
          </w:p>
        </w:tc>
        <w:tc>
          <w:tcPr>
            <w:tcW w:w="1620" w:type="dxa"/>
          </w:tcPr>
          <w:p>
            <w:pPr>
              <w:pStyle w:val="TableParagraph"/>
              <w:spacing w:line="239" w:lineRule="exact"/>
              <w:rPr>
                <w:sz w:val="22"/>
              </w:rPr>
            </w:pPr>
            <w:r>
              <w:rPr>
                <w:sz w:val="22"/>
              </w:rPr>
              <w:t>74</w:t>
            </w:r>
          </w:p>
        </w:tc>
      </w:tr>
    </w:tbl>
    <w:p>
      <w:pPr>
        <w:pStyle w:val="BodyText"/>
        <w:spacing w:before="119"/>
        <w:ind w:left="119" w:right="234"/>
        <w:jc w:val="both"/>
      </w:pPr>
      <w:r>
        <w:rPr/>
        <w:t>Petroleum-contaminated soils are accepted occasionally at the Richland landfill. They are treated in a separate area on the landfill property and ultimately disposed of in the landfill. Dewatered bio- solids from the City’s wastewater treatment plant are combined with yard waste in a composting process conducted at the Richland landfill. The finished compost material is tested to confirm compliance with U.S. Composting Council quality criteria and marketed to area contractors, nurseries, and local agencies.</w:t>
      </w:r>
    </w:p>
    <w:p>
      <w:pPr>
        <w:pStyle w:val="BodyText"/>
        <w:spacing w:before="119"/>
        <w:ind w:left="120" w:right="236"/>
        <w:jc w:val="both"/>
      </w:pPr>
      <w:r>
        <w:rPr/>
        <w:t>Richland residents can dispose of self-hauled waste at the resident rate. Oil, antifreeze, and automotive batteries are accepted for recycling at the landfill. Benton County operates a household hazardous waste program that accepts many other categories of wastes that are not accepted at the Richland landfill.</w:t>
      </w:r>
    </w:p>
    <w:p>
      <w:pPr>
        <w:pStyle w:val="BodyText"/>
        <w:spacing w:before="120"/>
        <w:ind w:left="120"/>
        <w:jc w:val="both"/>
      </w:pPr>
      <w:r>
        <w:rPr/>
        <w:t>Solid waste collected by service type is shown in table below.</w:t>
      </w:r>
    </w:p>
    <w:p>
      <w:pPr>
        <w:spacing w:after="0"/>
        <w:jc w:val="both"/>
        <w:sectPr>
          <w:pgSz w:w="12240" w:h="15840"/>
          <w:pgMar w:header="0" w:footer="1052" w:top="1360" w:bottom="1320" w:left="1320" w:right="1200"/>
        </w:sectPr>
      </w:pPr>
    </w:p>
    <w:p>
      <w:pPr>
        <w:spacing w:before="79"/>
        <w:ind w:left="964" w:right="0" w:firstLine="0"/>
        <w:jc w:val="left"/>
        <w:rPr>
          <w:rFonts w:ascii="Arial"/>
          <w:b/>
          <w:sz w:val="20"/>
        </w:rPr>
      </w:pPr>
      <w:r>
        <w:rPr>
          <w:rFonts w:ascii="Arial"/>
          <w:b/>
          <w:sz w:val="20"/>
        </w:rPr>
        <w:t>Table U-16: Solid Waste Collection</w:t>
      </w:r>
    </w:p>
    <w:p>
      <w:pPr>
        <w:pStyle w:val="BodyText"/>
        <w:spacing w:before="6"/>
        <w:rPr>
          <w:rFonts w:ascii="Arial"/>
          <w:b/>
          <w:sz w:val="10"/>
        </w:rPr>
      </w:pPr>
    </w:p>
    <w:tbl>
      <w:tblPr>
        <w:tblW w:w="0" w:type="auto"/>
        <w:jc w:val="left"/>
        <w:tblInd w:w="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049"/>
        <w:gridCol w:w="2880"/>
      </w:tblGrid>
      <w:tr>
        <w:trPr>
          <w:trHeight w:val="686" w:hRule="atLeast"/>
        </w:trPr>
        <w:tc>
          <w:tcPr>
            <w:tcW w:w="4049" w:type="dxa"/>
            <w:shd w:val="clear" w:color="auto" w:fill="B8CCE3"/>
          </w:tcPr>
          <w:p>
            <w:pPr>
              <w:pStyle w:val="TableParagraph"/>
              <w:spacing w:before="119"/>
              <w:ind w:left="105"/>
              <w:rPr>
                <w:b/>
                <w:sz w:val="22"/>
              </w:rPr>
            </w:pPr>
            <w:r>
              <w:rPr>
                <w:b/>
                <w:sz w:val="22"/>
              </w:rPr>
              <w:t>Service Type</w:t>
            </w:r>
          </w:p>
        </w:tc>
        <w:tc>
          <w:tcPr>
            <w:tcW w:w="2880" w:type="dxa"/>
            <w:shd w:val="clear" w:color="auto" w:fill="B8CCE3"/>
          </w:tcPr>
          <w:p>
            <w:pPr>
              <w:pStyle w:val="TableParagraph"/>
              <w:spacing w:line="280" w:lineRule="atLeast" w:before="97"/>
              <w:ind w:right="773"/>
              <w:rPr>
                <w:b/>
                <w:sz w:val="22"/>
              </w:rPr>
            </w:pPr>
            <w:r>
              <w:rPr>
                <w:b/>
                <w:sz w:val="22"/>
              </w:rPr>
              <w:t>% of Total Tonnage Collected</w:t>
            </w:r>
          </w:p>
        </w:tc>
      </w:tr>
      <w:tr>
        <w:trPr>
          <w:trHeight w:val="318" w:hRule="atLeast"/>
        </w:trPr>
        <w:tc>
          <w:tcPr>
            <w:tcW w:w="4049" w:type="dxa"/>
          </w:tcPr>
          <w:p>
            <w:pPr>
              <w:pStyle w:val="TableParagraph"/>
              <w:spacing w:line="237" w:lineRule="exact" w:before="62"/>
              <w:ind w:left="105"/>
              <w:rPr>
                <w:sz w:val="22"/>
              </w:rPr>
            </w:pPr>
            <w:r>
              <w:rPr>
                <w:sz w:val="22"/>
              </w:rPr>
              <w:t>Residential</w:t>
            </w:r>
          </w:p>
        </w:tc>
        <w:tc>
          <w:tcPr>
            <w:tcW w:w="2880" w:type="dxa"/>
          </w:tcPr>
          <w:p>
            <w:pPr>
              <w:pStyle w:val="TableParagraph"/>
              <w:spacing w:line="237" w:lineRule="exact" w:before="62"/>
              <w:rPr>
                <w:sz w:val="22"/>
              </w:rPr>
            </w:pPr>
            <w:r>
              <w:rPr>
                <w:sz w:val="22"/>
              </w:rPr>
              <w:t>40%</w:t>
            </w:r>
          </w:p>
        </w:tc>
      </w:tr>
      <w:tr>
        <w:trPr>
          <w:trHeight w:val="318" w:hRule="atLeast"/>
        </w:trPr>
        <w:tc>
          <w:tcPr>
            <w:tcW w:w="4049" w:type="dxa"/>
          </w:tcPr>
          <w:p>
            <w:pPr>
              <w:pStyle w:val="TableParagraph"/>
              <w:spacing w:line="239" w:lineRule="exact"/>
              <w:ind w:left="105"/>
              <w:rPr>
                <w:sz w:val="22"/>
              </w:rPr>
            </w:pPr>
            <w:r>
              <w:rPr>
                <w:sz w:val="22"/>
              </w:rPr>
              <w:t>Commercial</w:t>
            </w:r>
          </w:p>
        </w:tc>
        <w:tc>
          <w:tcPr>
            <w:tcW w:w="2880" w:type="dxa"/>
          </w:tcPr>
          <w:p>
            <w:pPr>
              <w:pStyle w:val="TableParagraph"/>
              <w:spacing w:line="239" w:lineRule="exact"/>
              <w:rPr>
                <w:sz w:val="22"/>
              </w:rPr>
            </w:pPr>
            <w:r>
              <w:rPr>
                <w:sz w:val="22"/>
              </w:rPr>
              <w:t>40%</w:t>
            </w:r>
          </w:p>
        </w:tc>
      </w:tr>
      <w:tr>
        <w:trPr>
          <w:trHeight w:val="316" w:hRule="atLeast"/>
        </w:trPr>
        <w:tc>
          <w:tcPr>
            <w:tcW w:w="4049" w:type="dxa"/>
          </w:tcPr>
          <w:p>
            <w:pPr>
              <w:pStyle w:val="TableParagraph"/>
              <w:spacing w:line="237" w:lineRule="exact"/>
              <w:ind w:left="105"/>
              <w:rPr>
                <w:sz w:val="22"/>
              </w:rPr>
            </w:pPr>
            <w:r>
              <w:rPr>
                <w:sz w:val="22"/>
              </w:rPr>
              <w:t>Dropbox</w:t>
            </w:r>
          </w:p>
        </w:tc>
        <w:tc>
          <w:tcPr>
            <w:tcW w:w="2880" w:type="dxa"/>
          </w:tcPr>
          <w:p>
            <w:pPr>
              <w:pStyle w:val="TableParagraph"/>
              <w:spacing w:line="237" w:lineRule="exact"/>
              <w:rPr>
                <w:sz w:val="22"/>
              </w:rPr>
            </w:pPr>
            <w:r>
              <w:rPr>
                <w:sz w:val="22"/>
              </w:rPr>
              <w:t>20%</w:t>
            </w:r>
          </w:p>
        </w:tc>
      </w:tr>
    </w:tbl>
    <w:p>
      <w:pPr>
        <w:pStyle w:val="BodyText"/>
        <w:spacing w:before="5"/>
        <w:rPr>
          <w:rFonts w:ascii="Arial"/>
          <w:b/>
          <w:sz w:val="17"/>
        </w:rPr>
      </w:pPr>
    </w:p>
    <w:p>
      <w:pPr>
        <w:spacing w:before="1"/>
        <w:ind w:left="120" w:right="0" w:firstLine="0"/>
        <w:jc w:val="both"/>
        <w:rPr>
          <w:b/>
          <w:sz w:val="22"/>
        </w:rPr>
      </w:pPr>
      <w:bookmarkStart w:name="Richland Landfill" w:id="204"/>
      <w:bookmarkEnd w:id="204"/>
      <w:r>
        <w:rPr/>
      </w:r>
      <w:r>
        <w:rPr>
          <w:b/>
          <w:color w:val="C0504D"/>
          <w:sz w:val="22"/>
        </w:rPr>
        <w:t>Richland Landfill</w:t>
      </w:r>
    </w:p>
    <w:p>
      <w:pPr>
        <w:pStyle w:val="BodyText"/>
        <w:spacing w:before="119"/>
        <w:ind w:left="119" w:right="235"/>
        <w:jc w:val="both"/>
      </w:pPr>
      <w:r>
        <w:rPr/>
        <w:t>The City of Richland owns and operates the Richland Landfill (also known as the Horn Rapids Landfill), located on 275 acres of designated landfill space approximately 3.5 miles northwest of the City center on Highway 240 (see Figure CF-3, Facilities Map). Approximately 46 acres are permitted for solid waste disposal. The Benton Franklin Health District has issued a permit in 2017, for use of an additional 90 acres for landfill disposal. Also on the landfill property are a 14-acre composting facility,</w:t>
      </w:r>
      <w:r>
        <w:rPr>
          <w:spacing w:val="-8"/>
        </w:rPr>
        <w:t> </w:t>
      </w:r>
      <w:r>
        <w:rPr/>
        <w:t>a</w:t>
      </w:r>
      <w:r>
        <w:rPr>
          <w:spacing w:val="-8"/>
        </w:rPr>
        <w:t> </w:t>
      </w:r>
      <w:r>
        <w:rPr/>
        <w:t>residential</w:t>
      </w:r>
      <w:r>
        <w:rPr>
          <w:spacing w:val="-7"/>
        </w:rPr>
        <w:t> </w:t>
      </w:r>
      <w:r>
        <w:rPr/>
        <w:t>and</w:t>
      </w:r>
      <w:r>
        <w:rPr>
          <w:spacing w:val="-10"/>
        </w:rPr>
        <w:t> </w:t>
      </w:r>
      <w:r>
        <w:rPr/>
        <w:t>small</w:t>
      </w:r>
      <w:r>
        <w:rPr>
          <w:spacing w:val="-7"/>
        </w:rPr>
        <w:t> </w:t>
      </w:r>
      <w:r>
        <w:rPr/>
        <w:t>commercial</w:t>
      </w:r>
      <w:r>
        <w:rPr>
          <w:spacing w:val="-8"/>
        </w:rPr>
        <w:t> </w:t>
      </w:r>
      <w:r>
        <w:rPr/>
        <w:t>customer</w:t>
      </w:r>
      <w:r>
        <w:rPr>
          <w:spacing w:val="-7"/>
        </w:rPr>
        <w:t> </w:t>
      </w:r>
      <w:r>
        <w:rPr/>
        <w:t>transfer</w:t>
      </w:r>
      <w:r>
        <w:rPr>
          <w:spacing w:val="-8"/>
        </w:rPr>
        <w:t> </w:t>
      </w:r>
      <w:r>
        <w:rPr/>
        <w:t>station,</w:t>
      </w:r>
      <w:r>
        <w:rPr>
          <w:spacing w:val="-7"/>
        </w:rPr>
        <w:t> </w:t>
      </w:r>
      <w:r>
        <w:rPr/>
        <w:t>scalehouse</w:t>
      </w:r>
      <w:r>
        <w:rPr>
          <w:spacing w:val="-7"/>
        </w:rPr>
        <w:t> </w:t>
      </w:r>
      <w:r>
        <w:rPr/>
        <w:t>and</w:t>
      </w:r>
      <w:r>
        <w:rPr>
          <w:spacing w:val="-8"/>
        </w:rPr>
        <w:t> </w:t>
      </w:r>
      <w:r>
        <w:rPr/>
        <w:t>administration building, and an operations and equipment maintenance</w:t>
      </w:r>
      <w:r>
        <w:rPr>
          <w:spacing w:val="-11"/>
        </w:rPr>
        <w:t> </w:t>
      </w:r>
      <w:r>
        <w:rPr/>
        <w:t>building.</w:t>
      </w:r>
    </w:p>
    <w:p>
      <w:pPr>
        <w:pStyle w:val="BodyText"/>
        <w:spacing w:before="121"/>
        <w:ind w:left="119"/>
        <w:jc w:val="both"/>
      </w:pPr>
      <w:r>
        <w:rPr/>
        <w:t>The current capacity of the permitted disposal area will be exhausted by the year 2020.</w:t>
      </w:r>
    </w:p>
    <w:p>
      <w:pPr>
        <w:pStyle w:val="BodyText"/>
        <w:spacing w:before="119"/>
        <w:ind w:left="119" w:right="235"/>
        <w:jc w:val="both"/>
      </w:pPr>
      <w:r>
        <w:rPr/>
        <w:t>The Richland Landfill currently meets minimum functional standards (Chapter 173-351 WAC) and operates under a solid waste disposal permit issued and renewed annually by the Benton Franklin Health District. The site is designed and operated as an arid-climate landfill, and therefore, has </w:t>
      </w:r>
      <w:r>
        <w:rPr>
          <w:spacing w:val="-4"/>
        </w:rPr>
        <w:t>no </w:t>
      </w:r>
      <w:r>
        <w:rPr/>
        <w:t>bottom</w:t>
      </w:r>
      <w:r>
        <w:rPr>
          <w:spacing w:val="-3"/>
        </w:rPr>
        <w:t> </w:t>
      </w:r>
      <w:r>
        <w:rPr/>
        <w:t>liner</w:t>
      </w:r>
      <w:r>
        <w:rPr>
          <w:spacing w:val="-5"/>
        </w:rPr>
        <w:t> </w:t>
      </w:r>
      <w:r>
        <w:rPr/>
        <w:t>or</w:t>
      </w:r>
      <w:r>
        <w:rPr>
          <w:spacing w:val="-4"/>
        </w:rPr>
        <w:t> </w:t>
      </w:r>
      <w:r>
        <w:rPr/>
        <w:t>leachate</w:t>
      </w:r>
      <w:r>
        <w:rPr>
          <w:spacing w:val="-4"/>
        </w:rPr>
        <w:t> </w:t>
      </w:r>
      <w:r>
        <w:rPr/>
        <w:t>collection</w:t>
      </w:r>
      <w:r>
        <w:rPr>
          <w:spacing w:val="-8"/>
        </w:rPr>
        <w:t> </w:t>
      </w:r>
      <w:r>
        <w:rPr/>
        <w:t>system.</w:t>
      </w:r>
      <w:r>
        <w:rPr>
          <w:spacing w:val="-5"/>
        </w:rPr>
        <w:t> </w:t>
      </w:r>
      <w:r>
        <w:rPr/>
        <w:t>Vadose</w:t>
      </w:r>
      <w:r>
        <w:rPr>
          <w:spacing w:val="-4"/>
        </w:rPr>
        <w:t> </w:t>
      </w:r>
      <w:r>
        <w:rPr/>
        <w:t>zone</w:t>
      </w:r>
      <w:r>
        <w:rPr>
          <w:spacing w:val="-3"/>
        </w:rPr>
        <w:t> </w:t>
      </w:r>
      <w:r>
        <w:rPr/>
        <w:t>moisture</w:t>
      </w:r>
      <w:r>
        <w:rPr>
          <w:spacing w:val="-6"/>
        </w:rPr>
        <w:t> </w:t>
      </w:r>
      <w:r>
        <w:rPr/>
        <w:t>monitoring</w:t>
      </w:r>
      <w:r>
        <w:rPr>
          <w:spacing w:val="-5"/>
        </w:rPr>
        <w:t> </w:t>
      </w:r>
      <w:r>
        <w:rPr/>
        <w:t>has</w:t>
      </w:r>
      <w:r>
        <w:rPr>
          <w:spacing w:val="-2"/>
        </w:rPr>
        <w:t> </w:t>
      </w:r>
      <w:r>
        <w:rPr/>
        <w:t>been</w:t>
      </w:r>
      <w:r>
        <w:rPr>
          <w:spacing w:val="-8"/>
        </w:rPr>
        <w:t> </w:t>
      </w:r>
      <w:r>
        <w:rPr/>
        <w:t>implemented within a portion of the current 46 acre fill area for data collection. In the late 1990’s groundwater contamination with volatile organic compounds was detected in several of the landfill’s monitoring wells. The City installed the methane gas extraction / flare stations. The City initially implemented an independent remedial action program in compliance with Washington State Law (RCW 70.105D.040).</w:t>
      </w:r>
      <w:r>
        <w:rPr>
          <w:spacing w:val="-5"/>
        </w:rPr>
        <w:t> </w:t>
      </w:r>
      <w:r>
        <w:rPr/>
        <w:t>In</w:t>
      </w:r>
      <w:r>
        <w:rPr>
          <w:spacing w:val="-9"/>
        </w:rPr>
        <w:t> </w:t>
      </w:r>
      <w:r>
        <w:rPr/>
        <w:t>2017</w:t>
      </w:r>
      <w:r>
        <w:rPr>
          <w:spacing w:val="-4"/>
        </w:rPr>
        <w:t> </w:t>
      </w:r>
      <w:r>
        <w:rPr/>
        <w:t>the</w:t>
      </w:r>
      <w:r>
        <w:rPr>
          <w:spacing w:val="-5"/>
        </w:rPr>
        <w:t> </w:t>
      </w:r>
      <w:r>
        <w:rPr/>
        <w:t>City</w:t>
      </w:r>
      <w:r>
        <w:rPr>
          <w:spacing w:val="-5"/>
        </w:rPr>
        <w:t> </w:t>
      </w:r>
      <w:r>
        <w:rPr/>
        <w:t>entered</w:t>
      </w:r>
      <w:r>
        <w:rPr>
          <w:spacing w:val="-6"/>
        </w:rPr>
        <w:t> </w:t>
      </w:r>
      <w:r>
        <w:rPr/>
        <w:t>into</w:t>
      </w:r>
      <w:r>
        <w:rPr>
          <w:spacing w:val="-5"/>
        </w:rPr>
        <w:t> </w:t>
      </w:r>
      <w:r>
        <w:rPr/>
        <w:t>an</w:t>
      </w:r>
      <w:r>
        <w:rPr>
          <w:spacing w:val="-5"/>
        </w:rPr>
        <w:t> </w:t>
      </w:r>
      <w:r>
        <w:rPr/>
        <w:t>Agreed</w:t>
      </w:r>
      <w:r>
        <w:rPr>
          <w:spacing w:val="-6"/>
        </w:rPr>
        <w:t> </w:t>
      </w:r>
      <w:r>
        <w:rPr/>
        <w:t>Order</w:t>
      </w:r>
      <w:r>
        <w:rPr>
          <w:spacing w:val="-5"/>
        </w:rPr>
        <w:t> </w:t>
      </w:r>
      <w:r>
        <w:rPr/>
        <w:t>with</w:t>
      </w:r>
      <w:r>
        <w:rPr>
          <w:spacing w:val="-5"/>
        </w:rPr>
        <w:t> </w:t>
      </w:r>
      <w:r>
        <w:rPr/>
        <w:t>the</w:t>
      </w:r>
      <w:r>
        <w:rPr>
          <w:spacing w:val="-6"/>
        </w:rPr>
        <w:t> </w:t>
      </w:r>
      <w:r>
        <w:rPr/>
        <w:t>Washington</w:t>
      </w:r>
      <w:r>
        <w:rPr>
          <w:spacing w:val="-9"/>
        </w:rPr>
        <w:t> </w:t>
      </w:r>
      <w:r>
        <w:rPr/>
        <w:t>State</w:t>
      </w:r>
      <w:r>
        <w:rPr>
          <w:spacing w:val="-6"/>
        </w:rPr>
        <w:t> </w:t>
      </w:r>
      <w:r>
        <w:rPr/>
        <w:t>Department</w:t>
      </w:r>
      <w:bookmarkStart w:name="Recycling" w:id="205"/>
      <w:bookmarkEnd w:id="205"/>
      <w:r>
        <w:rPr/>
      </w:r>
      <w:r>
        <w:rPr/>
        <w:t> of Ecology to advance the characterization and remediation of the</w:t>
      </w:r>
      <w:r>
        <w:rPr>
          <w:spacing w:val="-18"/>
        </w:rPr>
        <w:t> </w:t>
      </w:r>
      <w:r>
        <w:rPr/>
        <w:t>contamination.</w:t>
      </w:r>
    </w:p>
    <w:p>
      <w:pPr>
        <w:spacing w:before="200"/>
        <w:ind w:left="119" w:right="0" w:firstLine="0"/>
        <w:jc w:val="left"/>
        <w:rPr>
          <w:b/>
          <w:sz w:val="22"/>
        </w:rPr>
      </w:pPr>
      <w:r>
        <w:rPr>
          <w:b/>
          <w:color w:val="C0504D"/>
          <w:sz w:val="22"/>
        </w:rPr>
        <w:t>Recycling</w:t>
      </w:r>
    </w:p>
    <w:p>
      <w:pPr>
        <w:pStyle w:val="BodyText"/>
        <w:spacing w:before="119"/>
        <w:ind w:left="119" w:right="234"/>
        <w:jc w:val="both"/>
      </w:pPr>
      <w:r>
        <w:rPr/>
        <w:t>The City of Richland offers curbside recycling to its residential and commercial customers. In addition,</w:t>
      </w:r>
      <w:r>
        <w:rPr>
          <w:spacing w:val="-5"/>
        </w:rPr>
        <w:t> </w:t>
      </w:r>
      <w:r>
        <w:rPr/>
        <w:t>the</w:t>
      </w:r>
      <w:r>
        <w:rPr>
          <w:spacing w:val="-5"/>
        </w:rPr>
        <w:t> </w:t>
      </w:r>
      <w:r>
        <w:rPr/>
        <w:t>City</w:t>
      </w:r>
      <w:r>
        <w:rPr>
          <w:spacing w:val="-8"/>
        </w:rPr>
        <w:t> </w:t>
      </w:r>
      <w:r>
        <w:rPr/>
        <w:t>currently</w:t>
      </w:r>
      <w:r>
        <w:rPr>
          <w:spacing w:val="-5"/>
        </w:rPr>
        <w:t> </w:t>
      </w:r>
      <w:r>
        <w:rPr/>
        <w:t>operates</w:t>
      </w:r>
      <w:r>
        <w:rPr>
          <w:spacing w:val="-6"/>
        </w:rPr>
        <w:t> </w:t>
      </w:r>
      <w:r>
        <w:rPr/>
        <w:t>seven</w:t>
      </w:r>
      <w:r>
        <w:rPr>
          <w:spacing w:val="-6"/>
        </w:rPr>
        <w:t> </w:t>
      </w:r>
      <w:r>
        <w:rPr/>
        <w:t>drop-box</w:t>
      </w:r>
      <w:r>
        <w:rPr>
          <w:spacing w:val="-4"/>
        </w:rPr>
        <w:t> </w:t>
      </w:r>
      <w:r>
        <w:rPr/>
        <w:t>recycling</w:t>
      </w:r>
      <w:r>
        <w:rPr>
          <w:spacing w:val="-6"/>
        </w:rPr>
        <w:t> </w:t>
      </w:r>
      <w:r>
        <w:rPr/>
        <w:t>collection</w:t>
      </w:r>
      <w:r>
        <w:rPr>
          <w:spacing w:val="-9"/>
        </w:rPr>
        <w:t> </w:t>
      </w:r>
      <w:r>
        <w:rPr/>
        <w:t>centers</w:t>
      </w:r>
      <w:r>
        <w:rPr>
          <w:spacing w:val="-4"/>
        </w:rPr>
        <w:t> </w:t>
      </w:r>
      <w:r>
        <w:rPr/>
        <w:t>throughout</w:t>
      </w:r>
      <w:r>
        <w:rPr>
          <w:spacing w:val="-5"/>
        </w:rPr>
        <w:t> </w:t>
      </w:r>
      <w:r>
        <w:rPr/>
        <w:t>the</w:t>
      </w:r>
      <w:r>
        <w:rPr>
          <w:spacing w:val="-7"/>
        </w:rPr>
        <w:t> </w:t>
      </w:r>
      <w:r>
        <w:rPr/>
        <w:t>City and delivers the collected recyclable items to Clayton-Ward Recycling in Richland, which prepares the recyclable material and transports it to material processing facilities in the Portland or Seattle areas.</w:t>
      </w:r>
    </w:p>
    <w:p>
      <w:pPr>
        <w:pStyle w:val="BodyText"/>
        <w:spacing w:before="122"/>
        <w:ind w:left="119" w:right="235"/>
        <w:jc w:val="both"/>
      </w:pPr>
      <w:r>
        <w:rPr/>
        <w:t>The recycling centers currently accept scrap paper, plastic beverage containers, tin and aluminum cans, newspaper, telephone directories, magazines, catalogs and calendars, glass jars and bottles, cardboard, and brown paper bags. In 2015, the City collected 1,524 tons in the drop box collection</w:t>
      </w:r>
      <w:bookmarkStart w:name="Composting" w:id="206"/>
      <w:bookmarkEnd w:id="206"/>
      <w:r>
        <w:rPr/>
      </w:r>
      <w:r>
        <w:rPr/>
        <w:t> centers and 1,099 tons through curbside collection.</w:t>
      </w:r>
    </w:p>
    <w:p>
      <w:pPr>
        <w:spacing w:before="199"/>
        <w:ind w:left="119" w:right="0" w:firstLine="0"/>
        <w:jc w:val="left"/>
        <w:rPr>
          <w:b/>
          <w:sz w:val="22"/>
        </w:rPr>
      </w:pPr>
      <w:r>
        <w:rPr>
          <w:b/>
          <w:color w:val="C0504D"/>
          <w:sz w:val="22"/>
        </w:rPr>
        <w:t>Composting</w:t>
      </w:r>
    </w:p>
    <w:p>
      <w:pPr>
        <w:pStyle w:val="BodyText"/>
        <w:spacing w:before="119"/>
        <w:ind w:left="119" w:right="236"/>
        <w:jc w:val="both"/>
      </w:pPr>
      <w:r>
        <w:rPr/>
        <w:t>The Horn Rapids Compost Facility is a treatment facility for bio-solids coming from the City’s Wastewater Treatment Plant, the residential green waste program and green waste self-haul. The compost facility opened in 2010, and accepts residential green yard waste with no charge to the resident. It saves landfill space and provides finished compost material to the public through a number of wholesale customers.</w:t>
      </w:r>
    </w:p>
    <w:p>
      <w:pPr>
        <w:spacing w:after="0"/>
        <w:jc w:val="both"/>
        <w:sectPr>
          <w:pgSz w:w="12240" w:h="15840"/>
          <w:pgMar w:header="0" w:footer="1052" w:top="1480" w:bottom="1320" w:left="1320" w:right="1200"/>
        </w:sectPr>
      </w:pPr>
    </w:p>
    <w:p>
      <w:pPr>
        <w:spacing w:before="80"/>
        <w:ind w:left="120" w:right="0" w:firstLine="0"/>
        <w:jc w:val="both"/>
        <w:rPr>
          <w:b/>
          <w:sz w:val="22"/>
        </w:rPr>
      </w:pPr>
      <w:bookmarkStart w:name="Household Hazardous Waste" w:id="207"/>
      <w:bookmarkEnd w:id="207"/>
      <w:r>
        <w:rPr/>
      </w:r>
      <w:r>
        <w:rPr>
          <w:b/>
          <w:color w:val="C0504D"/>
          <w:sz w:val="22"/>
        </w:rPr>
        <w:t>Household Hazardous Waste</w:t>
      </w:r>
    </w:p>
    <w:p>
      <w:pPr>
        <w:pStyle w:val="BodyText"/>
        <w:spacing w:before="119"/>
        <w:ind w:left="120" w:right="233"/>
        <w:jc w:val="both"/>
      </w:pPr>
      <w:r>
        <w:rPr/>
        <w:t>The Benton County Moderate-Risk Waste Facility is located at a facility on Ely Street in Kennewick and which can collect Household Hazardous Waste and Small Quantity Generator Waste from residents of Benton County. The facility is jointly funded by the Washington Department of Ecology, Benton County, and the Cities of Kennewick, Richland, West Richland, Prosser, and Benton City.</w:t>
      </w:r>
    </w:p>
    <w:p>
      <w:pPr>
        <w:pStyle w:val="BodyText"/>
        <w:spacing w:before="120"/>
        <w:ind w:left="120" w:right="233" w:hanging="1"/>
        <w:jc w:val="both"/>
      </w:pPr>
      <w:r>
        <w:rPr/>
        <w:t>Moderate-risk</w:t>
      </w:r>
      <w:r>
        <w:rPr>
          <w:spacing w:val="-16"/>
        </w:rPr>
        <w:t> </w:t>
      </w:r>
      <w:r>
        <w:rPr/>
        <w:t>waste</w:t>
      </w:r>
      <w:r>
        <w:rPr>
          <w:spacing w:val="-14"/>
        </w:rPr>
        <w:t> </w:t>
      </w:r>
      <w:r>
        <w:rPr/>
        <w:t>includes</w:t>
      </w:r>
      <w:r>
        <w:rPr>
          <w:spacing w:val="-13"/>
        </w:rPr>
        <w:t> </w:t>
      </w:r>
      <w:r>
        <w:rPr/>
        <w:t>material</w:t>
      </w:r>
      <w:r>
        <w:rPr>
          <w:spacing w:val="-14"/>
        </w:rPr>
        <w:t> </w:t>
      </w:r>
      <w:r>
        <w:rPr/>
        <w:t>such</w:t>
      </w:r>
      <w:r>
        <w:rPr>
          <w:spacing w:val="-13"/>
        </w:rPr>
        <w:t> </w:t>
      </w:r>
      <w:r>
        <w:rPr/>
        <w:t>as</w:t>
      </w:r>
      <w:r>
        <w:rPr>
          <w:spacing w:val="-14"/>
        </w:rPr>
        <w:t> </w:t>
      </w:r>
      <w:r>
        <w:rPr/>
        <w:t>waste</w:t>
      </w:r>
      <w:r>
        <w:rPr>
          <w:spacing w:val="-16"/>
        </w:rPr>
        <w:t> </w:t>
      </w:r>
      <w:r>
        <w:rPr/>
        <w:t>oil,</w:t>
      </w:r>
      <w:r>
        <w:rPr>
          <w:spacing w:val="-14"/>
        </w:rPr>
        <w:t> </w:t>
      </w:r>
      <w:r>
        <w:rPr/>
        <w:t>paints,</w:t>
      </w:r>
      <w:r>
        <w:rPr>
          <w:spacing w:val="-14"/>
        </w:rPr>
        <w:t> </w:t>
      </w:r>
      <w:r>
        <w:rPr/>
        <w:t>flammable</w:t>
      </w:r>
      <w:r>
        <w:rPr>
          <w:spacing w:val="-14"/>
        </w:rPr>
        <w:t> </w:t>
      </w:r>
      <w:r>
        <w:rPr/>
        <w:t>materials,</w:t>
      </w:r>
      <w:r>
        <w:rPr>
          <w:spacing w:val="-14"/>
        </w:rPr>
        <w:t> </w:t>
      </w:r>
      <w:r>
        <w:rPr/>
        <w:t>and</w:t>
      </w:r>
      <w:r>
        <w:rPr>
          <w:spacing w:val="-15"/>
        </w:rPr>
        <w:t> </w:t>
      </w:r>
      <w:r>
        <w:rPr/>
        <w:t>anti-freeze. The facility also collects hazardous waste from commercial businesses classified as small quantity generators (SQG). SQGs are conditionally exempt from federal and state regulation when they</w:t>
      </w:r>
      <w:bookmarkStart w:name="LEVEL OF SERVICE" w:id="208"/>
      <w:bookmarkEnd w:id="208"/>
      <w:r>
        <w:rPr/>
      </w:r>
      <w:r>
        <w:rPr/>
        <w:t> generate or accumulate hazardous waste in quantities below a 220 pound per month</w:t>
      </w:r>
      <w:r>
        <w:rPr>
          <w:spacing w:val="-24"/>
        </w:rPr>
        <w:t> </w:t>
      </w:r>
      <w:r>
        <w:rPr/>
        <w:t>threshold.</w:t>
      </w:r>
    </w:p>
    <w:p>
      <w:pPr>
        <w:spacing w:before="202"/>
        <w:ind w:left="120" w:right="0" w:firstLine="0"/>
        <w:jc w:val="left"/>
        <w:rPr>
          <w:b/>
          <w:sz w:val="24"/>
        </w:rPr>
      </w:pPr>
      <w:r>
        <w:rPr>
          <w:b/>
          <w:sz w:val="24"/>
        </w:rPr>
        <w:t>LEVEL OF SERVICE</w:t>
      </w:r>
    </w:p>
    <w:p>
      <w:pPr>
        <w:pStyle w:val="BodyText"/>
        <w:spacing w:before="119"/>
        <w:ind w:left="119" w:right="235"/>
        <w:jc w:val="both"/>
      </w:pPr>
      <w:r>
        <w:rPr/>
        <w:t>According</w:t>
      </w:r>
      <w:r>
        <w:rPr>
          <w:spacing w:val="-13"/>
        </w:rPr>
        <w:t> </w:t>
      </w:r>
      <w:r>
        <w:rPr/>
        <w:t>to</w:t>
      </w:r>
      <w:r>
        <w:rPr>
          <w:spacing w:val="-14"/>
        </w:rPr>
        <w:t> </w:t>
      </w:r>
      <w:r>
        <w:rPr/>
        <w:t>Richland’s</w:t>
      </w:r>
      <w:r>
        <w:rPr>
          <w:spacing w:val="-12"/>
        </w:rPr>
        <w:t> </w:t>
      </w:r>
      <w:r>
        <w:rPr/>
        <w:t>Solid</w:t>
      </w:r>
      <w:r>
        <w:rPr>
          <w:spacing w:val="-14"/>
        </w:rPr>
        <w:t> </w:t>
      </w:r>
      <w:r>
        <w:rPr/>
        <w:t>Waste</w:t>
      </w:r>
      <w:r>
        <w:rPr>
          <w:spacing w:val="-13"/>
        </w:rPr>
        <w:t> </w:t>
      </w:r>
      <w:r>
        <w:rPr/>
        <w:t>Management</w:t>
      </w:r>
      <w:r>
        <w:rPr>
          <w:spacing w:val="-14"/>
        </w:rPr>
        <w:t> </w:t>
      </w:r>
      <w:r>
        <w:rPr/>
        <w:t>Plan,</w:t>
      </w:r>
      <w:r>
        <w:rPr>
          <w:spacing w:val="-14"/>
        </w:rPr>
        <w:t> </w:t>
      </w:r>
      <w:r>
        <w:rPr/>
        <w:t>the</w:t>
      </w:r>
      <w:r>
        <w:rPr>
          <w:spacing w:val="-13"/>
        </w:rPr>
        <w:t> </w:t>
      </w:r>
      <w:r>
        <w:rPr/>
        <w:t>following</w:t>
      </w:r>
      <w:r>
        <w:rPr>
          <w:spacing w:val="-13"/>
        </w:rPr>
        <w:t> </w:t>
      </w:r>
      <w:r>
        <w:rPr/>
        <w:t>solid</w:t>
      </w:r>
      <w:r>
        <w:rPr>
          <w:spacing w:val="-13"/>
        </w:rPr>
        <w:t> </w:t>
      </w:r>
      <w:r>
        <w:rPr/>
        <w:t>waste</w:t>
      </w:r>
      <w:r>
        <w:rPr>
          <w:spacing w:val="-14"/>
        </w:rPr>
        <w:t> </w:t>
      </w:r>
      <w:r>
        <w:rPr/>
        <w:t>management</w:t>
      </w:r>
      <w:r>
        <w:rPr>
          <w:spacing w:val="-13"/>
        </w:rPr>
        <w:t> </w:t>
      </w:r>
      <w:r>
        <w:rPr/>
        <w:t>facility areas will likely require no major capital improvements during the 20-year planning</w:t>
      </w:r>
      <w:r>
        <w:rPr>
          <w:spacing w:val="-19"/>
        </w:rPr>
        <w:t> </w:t>
      </w:r>
      <w:r>
        <w:rPr/>
        <w:t>period:</w:t>
      </w:r>
    </w:p>
    <w:p>
      <w:pPr>
        <w:pStyle w:val="ListParagraph"/>
        <w:numPr>
          <w:ilvl w:val="1"/>
          <w:numId w:val="10"/>
        </w:numPr>
        <w:tabs>
          <w:tab w:pos="841" w:val="left" w:leader="none"/>
        </w:tabs>
        <w:spacing w:line="240" w:lineRule="auto" w:before="60" w:after="0"/>
        <w:ind w:left="840" w:right="234" w:hanging="361"/>
        <w:jc w:val="both"/>
        <w:rPr>
          <w:sz w:val="22"/>
        </w:rPr>
      </w:pPr>
      <w:r>
        <w:rPr>
          <w:sz w:val="22"/>
        </w:rPr>
        <w:t>Domestic and Commercial Waste Collection Services - No current deficiencies are identified in the service provided by the City’s Solid Waste</w:t>
      </w:r>
      <w:r>
        <w:rPr>
          <w:spacing w:val="-15"/>
          <w:sz w:val="22"/>
        </w:rPr>
        <w:t> </w:t>
      </w:r>
      <w:r>
        <w:rPr>
          <w:sz w:val="22"/>
        </w:rPr>
        <w:t>Utility.</w:t>
      </w:r>
    </w:p>
    <w:p>
      <w:pPr>
        <w:pStyle w:val="ListParagraph"/>
        <w:numPr>
          <w:ilvl w:val="1"/>
          <w:numId w:val="10"/>
        </w:numPr>
        <w:tabs>
          <w:tab w:pos="841" w:val="left" w:leader="none"/>
        </w:tabs>
        <w:spacing w:line="240" w:lineRule="auto" w:before="60" w:after="0"/>
        <w:ind w:left="840" w:right="232" w:hanging="361"/>
        <w:jc w:val="both"/>
        <w:rPr>
          <w:sz w:val="22"/>
        </w:rPr>
      </w:pPr>
      <w:r>
        <w:rPr>
          <w:sz w:val="22"/>
        </w:rPr>
        <w:t>The</w:t>
      </w:r>
      <w:r>
        <w:rPr>
          <w:spacing w:val="-4"/>
          <w:sz w:val="22"/>
        </w:rPr>
        <w:t> </w:t>
      </w:r>
      <w:r>
        <w:rPr>
          <w:sz w:val="22"/>
        </w:rPr>
        <w:t>City’s</w:t>
      </w:r>
      <w:r>
        <w:rPr>
          <w:spacing w:val="-3"/>
          <w:sz w:val="22"/>
        </w:rPr>
        <w:t> </w:t>
      </w:r>
      <w:r>
        <w:rPr>
          <w:sz w:val="22"/>
        </w:rPr>
        <w:t>existing</w:t>
      </w:r>
      <w:r>
        <w:rPr>
          <w:spacing w:val="-3"/>
          <w:sz w:val="22"/>
        </w:rPr>
        <w:t> </w:t>
      </w:r>
      <w:r>
        <w:rPr>
          <w:sz w:val="22"/>
        </w:rPr>
        <w:t>curbside</w:t>
      </w:r>
      <w:r>
        <w:rPr>
          <w:spacing w:val="-3"/>
          <w:sz w:val="22"/>
        </w:rPr>
        <w:t> </w:t>
      </w:r>
      <w:r>
        <w:rPr>
          <w:sz w:val="22"/>
        </w:rPr>
        <w:t>and</w:t>
      </w:r>
      <w:r>
        <w:rPr>
          <w:spacing w:val="-5"/>
          <w:sz w:val="22"/>
        </w:rPr>
        <w:t> </w:t>
      </w:r>
      <w:r>
        <w:rPr>
          <w:sz w:val="22"/>
        </w:rPr>
        <w:t>drop</w:t>
      </w:r>
      <w:r>
        <w:rPr>
          <w:spacing w:val="-5"/>
          <w:sz w:val="22"/>
        </w:rPr>
        <w:t> </w:t>
      </w:r>
      <w:r>
        <w:rPr>
          <w:sz w:val="22"/>
        </w:rPr>
        <w:t>boxes</w:t>
      </w:r>
      <w:r>
        <w:rPr>
          <w:spacing w:val="-2"/>
          <w:sz w:val="22"/>
        </w:rPr>
        <w:t> </w:t>
      </w:r>
      <w:r>
        <w:rPr>
          <w:sz w:val="22"/>
        </w:rPr>
        <w:t>recycling</w:t>
      </w:r>
      <w:r>
        <w:rPr>
          <w:spacing w:val="-3"/>
          <w:sz w:val="22"/>
        </w:rPr>
        <w:t> </w:t>
      </w:r>
      <w:r>
        <w:rPr>
          <w:sz w:val="22"/>
        </w:rPr>
        <w:t>program</w:t>
      </w:r>
      <w:r>
        <w:rPr>
          <w:spacing w:val="-3"/>
          <w:sz w:val="22"/>
        </w:rPr>
        <w:t> </w:t>
      </w:r>
      <w:r>
        <w:rPr>
          <w:sz w:val="22"/>
        </w:rPr>
        <w:t>is</w:t>
      </w:r>
      <w:r>
        <w:rPr>
          <w:spacing w:val="-3"/>
          <w:sz w:val="22"/>
        </w:rPr>
        <w:t> </w:t>
      </w:r>
      <w:r>
        <w:rPr>
          <w:sz w:val="22"/>
        </w:rPr>
        <w:t>sufficient</w:t>
      </w:r>
      <w:r>
        <w:rPr>
          <w:spacing w:val="-4"/>
          <w:sz w:val="22"/>
        </w:rPr>
        <w:t> </w:t>
      </w:r>
      <w:r>
        <w:rPr>
          <w:sz w:val="22"/>
        </w:rPr>
        <w:t>to</w:t>
      </w:r>
      <w:r>
        <w:rPr>
          <w:spacing w:val="-4"/>
          <w:sz w:val="22"/>
        </w:rPr>
        <w:t> </w:t>
      </w:r>
      <w:r>
        <w:rPr>
          <w:sz w:val="22"/>
        </w:rPr>
        <w:t>meet</w:t>
      </w:r>
      <w:r>
        <w:rPr>
          <w:spacing w:val="-5"/>
          <w:sz w:val="22"/>
        </w:rPr>
        <w:t> </w:t>
      </w:r>
      <w:r>
        <w:rPr>
          <w:sz w:val="22"/>
        </w:rPr>
        <w:t>customer demands.</w:t>
      </w:r>
      <w:r>
        <w:rPr>
          <w:spacing w:val="-9"/>
          <w:sz w:val="22"/>
        </w:rPr>
        <w:t> </w:t>
      </w:r>
      <w:r>
        <w:rPr>
          <w:sz w:val="22"/>
        </w:rPr>
        <w:t>A</w:t>
      </w:r>
      <w:r>
        <w:rPr>
          <w:spacing w:val="-10"/>
          <w:sz w:val="22"/>
        </w:rPr>
        <w:t> </w:t>
      </w:r>
      <w:r>
        <w:rPr>
          <w:sz w:val="22"/>
        </w:rPr>
        <w:t>minority</w:t>
      </w:r>
      <w:r>
        <w:rPr>
          <w:spacing w:val="-10"/>
          <w:sz w:val="22"/>
        </w:rPr>
        <w:t> </w:t>
      </w:r>
      <w:r>
        <w:rPr>
          <w:sz w:val="22"/>
        </w:rPr>
        <w:t>of</w:t>
      </w:r>
      <w:r>
        <w:rPr>
          <w:spacing w:val="-8"/>
          <w:sz w:val="22"/>
        </w:rPr>
        <w:t> </w:t>
      </w:r>
      <w:r>
        <w:rPr>
          <w:sz w:val="22"/>
        </w:rPr>
        <w:t>residents</w:t>
      </w:r>
      <w:r>
        <w:rPr>
          <w:spacing w:val="-8"/>
          <w:sz w:val="22"/>
        </w:rPr>
        <w:t> </w:t>
      </w:r>
      <w:r>
        <w:rPr>
          <w:sz w:val="22"/>
        </w:rPr>
        <w:t>indicate</w:t>
      </w:r>
      <w:r>
        <w:rPr>
          <w:spacing w:val="-9"/>
          <w:sz w:val="22"/>
        </w:rPr>
        <w:t> </w:t>
      </w:r>
      <w:r>
        <w:rPr>
          <w:sz w:val="22"/>
        </w:rPr>
        <w:t>through</w:t>
      </w:r>
      <w:r>
        <w:rPr>
          <w:spacing w:val="-9"/>
          <w:sz w:val="22"/>
        </w:rPr>
        <w:t> </w:t>
      </w:r>
      <w:r>
        <w:rPr>
          <w:sz w:val="22"/>
        </w:rPr>
        <w:t>surveys</w:t>
      </w:r>
      <w:r>
        <w:rPr>
          <w:spacing w:val="-7"/>
          <w:sz w:val="22"/>
        </w:rPr>
        <w:t> </w:t>
      </w:r>
      <w:r>
        <w:rPr>
          <w:sz w:val="22"/>
        </w:rPr>
        <w:t>that</w:t>
      </w:r>
      <w:r>
        <w:rPr>
          <w:spacing w:val="-9"/>
          <w:sz w:val="22"/>
        </w:rPr>
        <w:t> </w:t>
      </w:r>
      <w:r>
        <w:rPr>
          <w:sz w:val="22"/>
        </w:rPr>
        <w:t>they</w:t>
      </w:r>
      <w:r>
        <w:rPr>
          <w:spacing w:val="-10"/>
          <w:sz w:val="22"/>
        </w:rPr>
        <w:t> </w:t>
      </w:r>
      <w:r>
        <w:rPr>
          <w:sz w:val="22"/>
        </w:rPr>
        <w:t>favor</w:t>
      </w:r>
      <w:r>
        <w:rPr>
          <w:spacing w:val="-8"/>
          <w:sz w:val="22"/>
        </w:rPr>
        <w:t> </w:t>
      </w:r>
      <w:r>
        <w:rPr>
          <w:sz w:val="22"/>
        </w:rPr>
        <w:t>universal</w:t>
      </w:r>
      <w:r>
        <w:rPr>
          <w:spacing w:val="-9"/>
          <w:sz w:val="22"/>
        </w:rPr>
        <w:t> </w:t>
      </w:r>
      <w:r>
        <w:rPr>
          <w:sz w:val="22"/>
        </w:rPr>
        <w:t>curbside recycling.</w:t>
      </w:r>
      <w:r>
        <w:rPr>
          <w:spacing w:val="-9"/>
          <w:sz w:val="22"/>
        </w:rPr>
        <w:t> </w:t>
      </w:r>
      <w:r>
        <w:rPr>
          <w:sz w:val="22"/>
        </w:rPr>
        <w:t>To</w:t>
      </w:r>
      <w:r>
        <w:rPr>
          <w:spacing w:val="-8"/>
          <w:sz w:val="22"/>
        </w:rPr>
        <w:t> </w:t>
      </w:r>
      <w:r>
        <w:rPr>
          <w:sz w:val="22"/>
        </w:rPr>
        <w:t>date</w:t>
      </w:r>
      <w:r>
        <w:rPr>
          <w:spacing w:val="-9"/>
          <w:sz w:val="22"/>
        </w:rPr>
        <w:t> </w:t>
      </w:r>
      <w:r>
        <w:rPr>
          <w:sz w:val="22"/>
        </w:rPr>
        <w:t>the</w:t>
      </w:r>
      <w:r>
        <w:rPr>
          <w:spacing w:val="-10"/>
          <w:sz w:val="22"/>
        </w:rPr>
        <w:t> </w:t>
      </w:r>
      <w:r>
        <w:rPr>
          <w:sz w:val="22"/>
        </w:rPr>
        <w:t>costs</w:t>
      </w:r>
      <w:r>
        <w:rPr>
          <w:spacing w:val="-8"/>
          <w:sz w:val="22"/>
        </w:rPr>
        <w:t> </w:t>
      </w:r>
      <w:r>
        <w:rPr>
          <w:sz w:val="22"/>
        </w:rPr>
        <w:t>of</w:t>
      </w:r>
      <w:r>
        <w:rPr>
          <w:spacing w:val="-8"/>
          <w:sz w:val="22"/>
        </w:rPr>
        <w:t> </w:t>
      </w:r>
      <w:r>
        <w:rPr>
          <w:sz w:val="22"/>
        </w:rPr>
        <w:t>this</w:t>
      </w:r>
      <w:r>
        <w:rPr>
          <w:spacing w:val="-10"/>
          <w:sz w:val="22"/>
        </w:rPr>
        <w:t> </w:t>
      </w:r>
      <w:r>
        <w:rPr>
          <w:sz w:val="22"/>
        </w:rPr>
        <w:t>service</w:t>
      </w:r>
      <w:r>
        <w:rPr>
          <w:spacing w:val="-8"/>
          <w:sz w:val="22"/>
        </w:rPr>
        <w:t> </w:t>
      </w:r>
      <w:r>
        <w:rPr>
          <w:sz w:val="22"/>
        </w:rPr>
        <w:t>expansion</w:t>
      </w:r>
      <w:r>
        <w:rPr>
          <w:spacing w:val="-12"/>
          <w:sz w:val="22"/>
        </w:rPr>
        <w:t> </w:t>
      </w:r>
      <w:r>
        <w:rPr>
          <w:sz w:val="22"/>
        </w:rPr>
        <w:t>and</w:t>
      </w:r>
      <w:r>
        <w:rPr>
          <w:spacing w:val="-8"/>
          <w:sz w:val="22"/>
        </w:rPr>
        <w:t> </w:t>
      </w:r>
      <w:r>
        <w:rPr>
          <w:sz w:val="22"/>
        </w:rPr>
        <w:t>the</w:t>
      </w:r>
      <w:r>
        <w:rPr>
          <w:spacing w:val="-9"/>
          <w:sz w:val="22"/>
        </w:rPr>
        <w:t> </w:t>
      </w:r>
      <w:r>
        <w:rPr>
          <w:sz w:val="22"/>
        </w:rPr>
        <w:t>compulsory</w:t>
      </w:r>
      <w:r>
        <w:rPr>
          <w:spacing w:val="-9"/>
          <w:sz w:val="22"/>
        </w:rPr>
        <w:t> </w:t>
      </w:r>
      <w:r>
        <w:rPr>
          <w:sz w:val="22"/>
        </w:rPr>
        <w:t>nature</w:t>
      </w:r>
      <w:r>
        <w:rPr>
          <w:spacing w:val="-9"/>
          <w:sz w:val="22"/>
        </w:rPr>
        <w:t> </w:t>
      </w:r>
      <w:r>
        <w:rPr>
          <w:sz w:val="22"/>
        </w:rPr>
        <w:t>of</w:t>
      </w:r>
      <w:r>
        <w:rPr>
          <w:spacing w:val="-8"/>
          <w:sz w:val="22"/>
        </w:rPr>
        <w:t> </w:t>
      </w:r>
      <w:r>
        <w:rPr>
          <w:sz w:val="22"/>
        </w:rPr>
        <w:t>it</w:t>
      </w:r>
      <w:r>
        <w:rPr>
          <w:spacing w:val="-9"/>
          <w:sz w:val="22"/>
        </w:rPr>
        <w:t> </w:t>
      </w:r>
      <w:r>
        <w:rPr>
          <w:sz w:val="22"/>
        </w:rPr>
        <w:t>have</w:t>
      </w:r>
      <w:r>
        <w:rPr>
          <w:spacing w:val="-8"/>
          <w:sz w:val="22"/>
        </w:rPr>
        <w:t> </w:t>
      </w:r>
      <w:r>
        <w:rPr>
          <w:sz w:val="22"/>
        </w:rPr>
        <w:t>not</w:t>
      </w:r>
      <w:bookmarkStart w:name="FUTURE DEFICIENCIES" w:id="209"/>
      <w:bookmarkEnd w:id="209"/>
      <w:r>
        <w:rPr>
          <w:sz w:val="22"/>
        </w:rPr>
      </w:r>
      <w:r>
        <w:rPr>
          <w:sz w:val="22"/>
        </w:rPr>
        <w:t> been adopted by the City</w:t>
      </w:r>
      <w:r>
        <w:rPr>
          <w:spacing w:val="-8"/>
          <w:sz w:val="22"/>
        </w:rPr>
        <w:t> </w:t>
      </w:r>
      <w:r>
        <w:rPr>
          <w:sz w:val="22"/>
        </w:rPr>
        <w:t>Council.</w:t>
      </w:r>
    </w:p>
    <w:p>
      <w:pPr>
        <w:spacing w:before="200"/>
        <w:ind w:left="120" w:right="0" w:firstLine="0"/>
        <w:jc w:val="left"/>
        <w:rPr>
          <w:b/>
          <w:sz w:val="24"/>
        </w:rPr>
      </w:pPr>
      <w:r>
        <w:rPr>
          <w:b/>
          <w:sz w:val="24"/>
        </w:rPr>
        <w:t>FUTURE DEFICIENCIES</w:t>
      </w:r>
    </w:p>
    <w:p>
      <w:pPr>
        <w:pStyle w:val="BodyText"/>
        <w:spacing w:before="119"/>
        <w:ind w:left="120" w:right="237"/>
        <w:jc w:val="both"/>
      </w:pPr>
      <w:r>
        <w:rPr/>
        <w:t>Estimates of solid waste generation are based on population projections. Based on Richland’s 2011 Solid Waste Management Plan (Appendix H), annual waste generation is forecast to increase to 80,000 tons in 2031. This forecast utilizes the per capita rate of 6 pounds per person per day and population projections.</w:t>
      </w:r>
    </w:p>
    <w:p>
      <w:pPr>
        <w:pStyle w:val="BodyText"/>
        <w:spacing w:before="121"/>
        <w:ind w:left="120" w:right="234"/>
        <w:jc w:val="both"/>
      </w:pPr>
      <w:r>
        <w:rPr/>
        <w:t>The current capacity in the Landfill will be exhausted sometime in 2020. The City is planning for its future solid waste disposal capacity by exploring two options:</w:t>
      </w:r>
    </w:p>
    <w:p>
      <w:pPr>
        <w:pStyle w:val="ListParagraph"/>
        <w:numPr>
          <w:ilvl w:val="0"/>
          <w:numId w:val="12"/>
        </w:numPr>
        <w:tabs>
          <w:tab w:pos="841" w:val="left" w:leader="none"/>
        </w:tabs>
        <w:spacing w:line="240" w:lineRule="auto" w:before="120" w:after="0"/>
        <w:ind w:left="840" w:right="235" w:hanging="361"/>
        <w:jc w:val="both"/>
        <w:rPr>
          <w:sz w:val="22"/>
        </w:rPr>
      </w:pPr>
      <w:r>
        <w:rPr>
          <w:sz w:val="22"/>
        </w:rPr>
        <w:t>Expand</w:t>
      </w:r>
      <w:r>
        <w:rPr>
          <w:spacing w:val="-7"/>
          <w:sz w:val="22"/>
        </w:rPr>
        <w:t> </w:t>
      </w:r>
      <w:r>
        <w:rPr>
          <w:sz w:val="22"/>
        </w:rPr>
        <w:t>landfill</w:t>
      </w:r>
      <w:r>
        <w:rPr>
          <w:spacing w:val="-6"/>
          <w:sz w:val="22"/>
        </w:rPr>
        <w:t> </w:t>
      </w:r>
      <w:r>
        <w:rPr>
          <w:sz w:val="22"/>
        </w:rPr>
        <w:t>capacity</w:t>
      </w:r>
      <w:r>
        <w:rPr>
          <w:spacing w:val="-8"/>
          <w:sz w:val="22"/>
        </w:rPr>
        <w:t> </w:t>
      </w:r>
      <w:r>
        <w:rPr>
          <w:sz w:val="22"/>
        </w:rPr>
        <w:t>on</w:t>
      </w:r>
      <w:r>
        <w:rPr>
          <w:spacing w:val="-4"/>
          <w:sz w:val="22"/>
        </w:rPr>
        <w:t> </w:t>
      </w:r>
      <w:r>
        <w:rPr>
          <w:sz w:val="22"/>
        </w:rPr>
        <w:t>the</w:t>
      </w:r>
      <w:r>
        <w:rPr>
          <w:spacing w:val="-6"/>
          <w:sz w:val="22"/>
        </w:rPr>
        <w:t> </w:t>
      </w:r>
      <w:r>
        <w:rPr>
          <w:sz w:val="22"/>
        </w:rPr>
        <w:t>current</w:t>
      </w:r>
      <w:r>
        <w:rPr>
          <w:spacing w:val="-6"/>
          <w:sz w:val="22"/>
        </w:rPr>
        <w:t> </w:t>
      </w:r>
      <w:r>
        <w:rPr>
          <w:sz w:val="22"/>
        </w:rPr>
        <w:t>site</w:t>
      </w:r>
      <w:r>
        <w:rPr>
          <w:spacing w:val="-4"/>
          <w:sz w:val="22"/>
        </w:rPr>
        <w:t> </w:t>
      </w:r>
      <w:r>
        <w:rPr>
          <w:sz w:val="22"/>
        </w:rPr>
        <w:t>by</w:t>
      </w:r>
      <w:r>
        <w:rPr>
          <w:spacing w:val="-5"/>
          <w:sz w:val="22"/>
        </w:rPr>
        <w:t> </w:t>
      </w:r>
      <w:r>
        <w:rPr>
          <w:sz w:val="22"/>
        </w:rPr>
        <w:t>building</w:t>
      </w:r>
      <w:r>
        <w:rPr>
          <w:spacing w:val="-4"/>
          <w:sz w:val="22"/>
        </w:rPr>
        <w:t> </w:t>
      </w:r>
      <w:r>
        <w:rPr>
          <w:sz w:val="22"/>
        </w:rPr>
        <w:t>a</w:t>
      </w:r>
      <w:r>
        <w:rPr>
          <w:spacing w:val="-4"/>
          <w:sz w:val="22"/>
        </w:rPr>
        <w:t> </w:t>
      </w:r>
      <w:r>
        <w:rPr>
          <w:sz w:val="22"/>
        </w:rPr>
        <w:t>landfill</w:t>
      </w:r>
      <w:r>
        <w:rPr>
          <w:spacing w:val="-3"/>
          <w:sz w:val="22"/>
        </w:rPr>
        <w:t> </w:t>
      </w:r>
      <w:r>
        <w:rPr>
          <w:sz w:val="22"/>
        </w:rPr>
        <w:t>that</w:t>
      </w:r>
      <w:r>
        <w:rPr>
          <w:spacing w:val="-7"/>
          <w:sz w:val="22"/>
        </w:rPr>
        <w:t> </w:t>
      </w:r>
      <w:r>
        <w:rPr>
          <w:sz w:val="22"/>
        </w:rPr>
        <w:t>meets</w:t>
      </w:r>
      <w:r>
        <w:rPr>
          <w:spacing w:val="-5"/>
          <w:sz w:val="22"/>
        </w:rPr>
        <w:t> </w:t>
      </w:r>
      <w:r>
        <w:rPr>
          <w:sz w:val="22"/>
        </w:rPr>
        <w:t>current</w:t>
      </w:r>
      <w:r>
        <w:rPr>
          <w:spacing w:val="-5"/>
          <w:sz w:val="22"/>
        </w:rPr>
        <w:t> </w:t>
      </w:r>
      <w:r>
        <w:rPr>
          <w:sz w:val="22"/>
        </w:rPr>
        <w:t>state</w:t>
      </w:r>
      <w:r>
        <w:rPr>
          <w:spacing w:val="-3"/>
          <w:sz w:val="22"/>
        </w:rPr>
        <w:t> </w:t>
      </w:r>
      <w:r>
        <w:rPr>
          <w:sz w:val="22"/>
        </w:rPr>
        <w:t>and federal design regulations; as part of preparing for the possible expansion of the landfill, the City has submitted and received a permit from the DOH for expansion of approximately 90 acres. or</w:t>
      </w:r>
    </w:p>
    <w:p>
      <w:pPr>
        <w:pStyle w:val="ListParagraph"/>
        <w:numPr>
          <w:ilvl w:val="0"/>
          <w:numId w:val="12"/>
        </w:numPr>
        <w:tabs>
          <w:tab w:pos="841" w:val="left" w:leader="none"/>
        </w:tabs>
        <w:spacing w:line="240" w:lineRule="auto" w:before="120" w:after="0"/>
        <w:ind w:left="840" w:right="0" w:hanging="361"/>
        <w:jc w:val="both"/>
        <w:rPr>
          <w:sz w:val="22"/>
        </w:rPr>
      </w:pPr>
      <w:r>
        <w:rPr>
          <w:sz w:val="22"/>
        </w:rPr>
        <w:t>Building a transfer station and hauling waste to a large regional</w:t>
      </w:r>
      <w:r>
        <w:rPr>
          <w:spacing w:val="-16"/>
          <w:sz w:val="22"/>
        </w:rPr>
        <w:t> </w:t>
      </w:r>
      <w:r>
        <w:rPr>
          <w:sz w:val="22"/>
        </w:rPr>
        <w:t>landfill.</w:t>
      </w:r>
    </w:p>
    <w:p>
      <w:pPr>
        <w:pStyle w:val="BodyText"/>
        <w:spacing w:before="119"/>
        <w:ind w:left="120" w:right="234"/>
        <w:jc w:val="both"/>
      </w:pPr>
      <w:r>
        <w:rPr/>
        <w:t>A consultant is assisting City staff in preparing information to support this decision. It is expected that</w:t>
      </w:r>
      <w:r>
        <w:rPr>
          <w:spacing w:val="-14"/>
        </w:rPr>
        <w:t> </w:t>
      </w:r>
      <w:r>
        <w:rPr/>
        <w:t>a</w:t>
      </w:r>
      <w:r>
        <w:rPr>
          <w:spacing w:val="-13"/>
        </w:rPr>
        <w:t> </w:t>
      </w:r>
      <w:r>
        <w:rPr/>
        <w:t>decision</w:t>
      </w:r>
      <w:r>
        <w:rPr>
          <w:spacing w:val="-14"/>
        </w:rPr>
        <w:t> </w:t>
      </w:r>
      <w:r>
        <w:rPr/>
        <w:t>will</w:t>
      </w:r>
      <w:r>
        <w:rPr>
          <w:spacing w:val="-14"/>
        </w:rPr>
        <w:t> </w:t>
      </w:r>
      <w:r>
        <w:rPr/>
        <w:t>be</w:t>
      </w:r>
      <w:r>
        <w:rPr>
          <w:spacing w:val="-13"/>
        </w:rPr>
        <w:t> </w:t>
      </w:r>
      <w:r>
        <w:rPr/>
        <w:t>made</w:t>
      </w:r>
      <w:r>
        <w:rPr>
          <w:spacing w:val="-13"/>
        </w:rPr>
        <w:t> </w:t>
      </w:r>
      <w:r>
        <w:rPr/>
        <w:t>in</w:t>
      </w:r>
      <w:r>
        <w:rPr>
          <w:spacing w:val="-14"/>
        </w:rPr>
        <w:t> </w:t>
      </w:r>
      <w:r>
        <w:rPr/>
        <w:t>calendar</w:t>
      </w:r>
      <w:r>
        <w:rPr>
          <w:spacing w:val="-14"/>
        </w:rPr>
        <w:t> </w:t>
      </w:r>
      <w:r>
        <w:rPr/>
        <w:t>year</w:t>
      </w:r>
      <w:r>
        <w:rPr>
          <w:spacing w:val="-13"/>
        </w:rPr>
        <w:t> </w:t>
      </w:r>
      <w:r>
        <w:rPr/>
        <w:t>2017,</w:t>
      </w:r>
      <w:r>
        <w:rPr>
          <w:spacing w:val="-13"/>
        </w:rPr>
        <w:t> </w:t>
      </w:r>
      <w:r>
        <w:rPr/>
        <w:t>after</w:t>
      </w:r>
      <w:r>
        <w:rPr>
          <w:spacing w:val="-14"/>
        </w:rPr>
        <w:t> </w:t>
      </w:r>
      <w:r>
        <w:rPr/>
        <w:t>which</w:t>
      </w:r>
      <w:r>
        <w:rPr>
          <w:spacing w:val="-12"/>
        </w:rPr>
        <w:t> </w:t>
      </w:r>
      <w:r>
        <w:rPr/>
        <w:t>preparations</w:t>
      </w:r>
      <w:r>
        <w:rPr>
          <w:spacing w:val="-12"/>
        </w:rPr>
        <w:t> </w:t>
      </w:r>
      <w:r>
        <w:rPr/>
        <w:t>will</w:t>
      </w:r>
      <w:r>
        <w:rPr>
          <w:spacing w:val="-14"/>
        </w:rPr>
        <w:t> </w:t>
      </w:r>
      <w:r>
        <w:rPr/>
        <w:t>be</w:t>
      </w:r>
      <w:r>
        <w:rPr>
          <w:spacing w:val="-13"/>
        </w:rPr>
        <w:t> </w:t>
      </w:r>
      <w:r>
        <w:rPr/>
        <w:t>made</w:t>
      </w:r>
      <w:r>
        <w:rPr>
          <w:spacing w:val="-13"/>
        </w:rPr>
        <w:t> </w:t>
      </w:r>
      <w:r>
        <w:rPr/>
        <w:t>to</w:t>
      </w:r>
      <w:r>
        <w:rPr>
          <w:spacing w:val="-13"/>
        </w:rPr>
        <w:t> </w:t>
      </w:r>
      <w:r>
        <w:rPr/>
        <w:t>construct the necessary facilities. Regardless of the disposal alternative selected, the City anticipates maintaining its current customer service levels at the Richland</w:t>
      </w:r>
      <w:r>
        <w:rPr>
          <w:spacing w:val="-9"/>
        </w:rPr>
        <w:t> </w:t>
      </w:r>
      <w:r>
        <w:rPr/>
        <w:t>landfill.</w:t>
      </w:r>
    </w:p>
    <w:p>
      <w:pPr>
        <w:spacing w:before="202"/>
        <w:ind w:left="120" w:right="0" w:firstLine="0"/>
        <w:jc w:val="left"/>
        <w:rPr>
          <w:b/>
          <w:sz w:val="24"/>
        </w:rPr>
      </w:pPr>
      <w:bookmarkStart w:name="RECOMMENDATIONS" w:id="210"/>
      <w:bookmarkEnd w:id="210"/>
      <w:r>
        <w:rPr/>
      </w:r>
      <w:r>
        <w:rPr>
          <w:b/>
          <w:sz w:val="24"/>
        </w:rPr>
        <w:t>RECOMMENDATIONS</w:t>
      </w:r>
    </w:p>
    <w:p>
      <w:pPr>
        <w:pStyle w:val="BodyText"/>
        <w:spacing w:before="119"/>
        <w:ind w:left="120"/>
      </w:pPr>
      <w:r>
        <w:rPr/>
        <w:t>It is recommended that the City:</w:t>
      </w:r>
    </w:p>
    <w:p>
      <w:pPr>
        <w:pStyle w:val="ListParagraph"/>
        <w:numPr>
          <w:ilvl w:val="1"/>
          <w:numId w:val="10"/>
        </w:numPr>
        <w:tabs>
          <w:tab w:pos="839" w:val="left" w:leader="none"/>
          <w:tab w:pos="841" w:val="left" w:leader="none"/>
        </w:tabs>
        <w:spacing w:line="240" w:lineRule="auto" w:before="59" w:after="0"/>
        <w:ind w:left="840" w:right="233" w:hanging="361"/>
        <w:jc w:val="left"/>
        <w:rPr>
          <w:sz w:val="22"/>
        </w:rPr>
      </w:pPr>
      <w:r>
        <w:rPr>
          <w:sz w:val="22"/>
        </w:rPr>
        <w:t>Selects a preferred solid waste disposal approach that is cost effective, maintains service levels, and mitigates risk to the City;</w:t>
      </w:r>
      <w:r>
        <w:rPr>
          <w:spacing w:val="-11"/>
          <w:sz w:val="22"/>
        </w:rPr>
        <w:t> </w:t>
      </w:r>
      <w:r>
        <w:rPr>
          <w:sz w:val="22"/>
        </w:rPr>
        <w:t>and</w:t>
      </w:r>
    </w:p>
    <w:p>
      <w:pPr>
        <w:pStyle w:val="ListParagraph"/>
        <w:numPr>
          <w:ilvl w:val="1"/>
          <w:numId w:val="10"/>
        </w:numPr>
        <w:tabs>
          <w:tab w:pos="840" w:val="left" w:leader="none"/>
          <w:tab w:pos="841" w:val="left" w:leader="none"/>
        </w:tabs>
        <w:spacing w:line="240" w:lineRule="auto" w:before="60" w:after="0"/>
        <w:ind w:left="840" w:right="233" w:hanging="361"/>
        <w:jc w:val="left"/>
        <w:rPr>
          <w:sz w:val="22"/>
        </w:rPr>
      </w:pPr>
      <w:r>
        <w:rPr>
          <w:sz w:val="22"/>
        </w:rPr>
        <w:t>Provides and maintains collection services to all City residents consistent with adopted service levels and Solid Waste Management Plan goals and</w:t>
      </w:r>
      <w:r>
        <w:rPr>
          <w:spacing w:val="-13"/>
          <w:sz w:val="22"/>
        </w:rPr>
        <w:t> </w:t>
      </w:r>
      <w:r>
        <w:rPr>
          <w:sz w:val="22"/>
        </w:rPr>
        <w:t>objectives.</w:t>
      </w:r>
    </w:p>
    <w:p>
      <w:pPr>
        <w:spacing w:after="0" w:line="240" w:lineRule="auto"/>
        <w:jc w:val="left"/>
        <w:rPr>
          <w:sz w:val="22"/>
        </w:rPr>
        <w:sectPr>
          <w:pgSz w:w="12240" w:h="15840"/>
          <w:pgMar w:header="0" w:footer="1052" w:top="1360" w:bottom="1320" w:left="1320" w:right="1200"/>
        </w:sectPr>
      </w:pPr>
    </w:p>
    <w:p>
      <w:pPr>
        <w:spacing w:before="79"/>
        <w:ind w:left="120" w:right="0" w:firstLine="0"/>
        <w:jc w:val="left"/>
        <w:rPr>
          <w:rFonts w:ascii="Arial"/>
          <w:b/>
          <w:sz w:val="20"/>
        </w:rPr>
      </w:pPr>
      <w:r>
        <w:rPr>
          <w:rFonts w:ascii="Arial"/>
          <w:b/>
          <w:sz w:val="20"/>
        </w:rPr>
        <w:t>Table U-17: Solid Waste Management Facilities Financing 2014-2030</w:t>
      </w:r>
    </w:p>
    <w:p>
      <w:pPr>
        <w:pStyle w:val="BodyText"/>
        <w:spacing w:before="6"/>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34"/>
        <w:gridCol w:w="1599"/>
        <w:gridCol w:w="2281"/>
        <w:gridCol w:w="2031"/>
      </w:tblGrid>
      <w:tr>
        <w:trPr>
          <w:trHeight w:val="402" w:hRule="atLeast"/>
        </w:trPr>
        <w:tc>
          <w:tcPr>
            <w:tcW w:w="3334" w:type="dxa"/>
            <w:shd w:val="clear" w:color="auto" w:fill="B8CCE3"/>
          </w:tcPr>
          <w:p>
            <w:pPr>
              <w:pStyle w:val="TableParagraph"/>
              <w:spacing w:before="119"/>
              <w:rPr>
                <w:b/>
                <w:sz w:val="22"/>
              </w:rPr>
            </w:pPr>
            <w:r>
              <w:rPr>
                <w:b/>
                <w:sz w:val="22"/>
              </w:rPr>
              <w:t>Facilities</w:t>
            </w:r>
          </w:p>
        </w:tc>
        <w:tc>
          <w:tcPr>
            <w:tcW w:w="1599" w:type="dxa"/>
            <w:shd w:val="clear" w:color="auto" w:fill="B8CCE3"/>
          </w:tcPr>
          <w:p>
            <w:pPr>
              <w:pStyle w:val="TableParagraph"/>
              <w:spacing w:before="119"/>
              <w:rPr>
                <w:b/>
                <w:sz w:val="22"/>
              </w:rPr>
            </w:pPr>
            <w:r>
              <w:rPr>
                <w:b/>
                <w:sz w:val="22"/>
              </w:rPr>
              <w:t>Total Cost</w:t>
            </w:r>
          </w:p>
        </w:tc>
        <w:tc>
          <w:tcPr>
            <w:tcW w:w="2281" w:type="dxa"/>
            <w:shd w:val="clear" w:color="auto" w:fill="B8CCE3"/>
          </w:tcPr>
          <w:p>
            <w:pPr>
              <w:pStyle w:val="TableParagraph"/>
              <w:spacing w:before="119"/>
              <w:ind w:left="106"/>
              <w:rPr>
                <w:b/>
                <w:sz w:val="22"/>
              </w:rPr>
            </w:pPr>
            <w:r>
              <w:rPr>
                <w:b/>
                <w:sz w:val="22"/>
              </w:rPr>
              <w:t>Funding Sources</w:t>
            </w:r>
          </w:p>
        </w:tc>
        <w:tc>
          <w:tcPr>
            <w:tcW w:w="2031" w:type="dxa"/>
            <w:shd w:val="clear" w:color="auto" w:fill="B8CCE3"/>
          </w:tcPr>
          <w:p>
            <w:pPr>
              <w:pStyle w:val="TableParagraph"/>
              <w:spacing w:before="119"/>
              <w:ind w:left="105"/>
              <w:rPr>
                <w:b/>
                <w:sz w:val="22"/>
              </w:rPr>
            </w:pPr>
            <w:r>
              <w:rPr>
                <w:b/>
                <w:sz w:val="22"/>
              </w:rPr>
              <w:t>Time Frame</w:t>
            </w:r>
          </w:p>
        </w:tc>
      </w:tr>
      <w:tr>
        <w:trPr>
          <w:trHeight w:val="318" w:hRule="atLeast"/>
        </w:trPr>
        <w:tc>
          <w:tcPr>
            <w:tcW w:w="3334" w:type="dxa"/>
          </w:tcPr>
          <w:p>
            <w:pPr>
              <w:pStyle w:val="TableParagraph"/>
              <w:spacing w:line="239" w:lineRule="exact"/>
              <w:rPr>
                <w:sz w:val="22"/>
              </w:rPr>
            </w:pPr>
            <w:r>
              <w:rPr>
                <w:sz w:val="22"/>
              </w:rPr>
              <w:t>Disposal Capacity Improvements</w:t>
            </w:r>
          </w:p>
        </w:tc>
        <w:tc>
          <w:tcPr>
            <w:tcW w:w="1599" w:type="dxa"/>
          </w:tcPr>
          <w:p>
            <w:pPr>
              <w:pStyle w:val="TableParagraph"/>
              <w:spacing w:line="239" w:lineRule="exact"/>
              <w:rPr>
                <w:sz w:val="22"/>
              </w:rPr>
            </w:pPr>
            <w:r>
              <w:rPr>
                <w:sz w:val="22"/>
              </w:rPr>
              <w:t>8,003,512</w:t>
            </w:r>
          </w:p>
        </w:tc>
        <w:tc>
          <w:tcPr>
            <w:tcW w:w="2281" w:type="dxa"/>
          </w:tcPr>
          <w:p>
            <w:pPr>
              <w:pStyle w:val="TableParagraph"/>
              <w:spacing w:line="239" w:lineRule="exact"/>
              <w:ind w:left="106"/>
              <w:rPr>
                <w:sz w:val="22"/>
              </w:rPr>
            </w:pPr>
            <w:r>
              <w:rPr>
                <w:sz w:val="22"/>
              </w:rPr>
              <w:t>Bonds – future issue</w:t>
            </w:r>
          </w:p>
        </w:tc>
        <w:tc>
          <w:tcPr>
            <w:tcW w:w="2031" w:type="dxa"/>
          </w:tcPr>
          <w:p>
            <w:pPr>
              <w:pStyle w:val="TableParagraph"/>
              <w:spacing w:line="239" w:lineRule="exact"/>
              <w:ind w:left="105"/>
              <w:rPr>
                <w:sz w:val="22"/>
              </w:rPr>
            </w:pPr>
            <w:r>
              <w:rPr>
                <w:sz w:val="22"/>
              </w:rPr>
              <w:t>2017-2019</w:t>
            </w:r>
          </w:p>
        </w:tc>
      </w:tr>
      <w:tr>
        <w:trPr>
          <w:trHeight w:val="316" w:hRule="atLeast"/>
        </w:trPr>
        <w:tc>
          <w:tcPr>
            <w:tcW w:w="3334" w:type="dxa"/>
          </w:tcPr>
          <w:p>
            <w:pPr>
              <w:pStyle w:val="TableParagraph"/>
              <w:spacing w:line="237" w:lineRule="exact"/>
              <w:rPr>
                <w:sz w:val="22"/>
              </w:rPr>
            </w:pPr>
            <w:r>
              <w:rPr>
                <w:sz w:val="22"/>
              </w:rPr>
              <w:t>Landfill Closure, Phase 2</w:t>
            </w:r>
          </w:p>
        </w:tc>
        <w:tc>
          <w:tcPr>
            <w:tcW w:w="1599" w:type="dxa"/>
          </w:tcPr>
          <w:p>
            <w:pPr>
              <w:pStyle w:val="TableParagraph"/>
              <w:spacing w:line="237" w:lineRule="exact"/>
              <w:rPr>
                <w:sz w:val="22"/>
              </w:rPr>
            </w:pPr>
            <w:r>
              <w:rPr>
                <w:sz w:val="22"/>
              </w:rPr>
              <w:t>3,780,000</w:t>
            </w:r>
          </w:p>
        </w:tc>
        <w:tc>
          <w:tcPr>
            <w:tcW w:w="2281" w:type="dxa"/>
          </w:tcPr>
          <w:p>
            <w:pPr>
              <w:pStyle w:val="TableParagraph"/>
              <w:spacing w:line="237" w:lineRule="exact"/>
              <w:ind w:left="106"/>
              <w:rPr>
                <w:sz w:val="22"/>
              </w:rPr>
            </w:pPr>
            <w:r>
              <w:rPr>
                <w:sz w:val="22"/>
              </w:rPr>
              <w:t>Solid waste fund</w:t>
            </w:r>
          </w:p>
        </w:tc>
        <w:tc>
          <w:tcPr>
            <w:tcW w:w="2031" w:type="dxa"/>
          </w:tcPr>
          <w:p>
            <w:pPr>
              <w:pStyle w:val="TableParagraph"/>
              <w:spacing w:line="237" w:lineRule="exact"/>
              <w:ind w:left="105"/>
              <w:rPr>
                <w:sz w:val="22"/>
              </w:rPr>
            </w:pPr>
            <w:r>
              <w:rPr>
                <w:sz w:val="22"/>
              </w:rPr>
              <w:t>2017-2020</w:t>
            </w:r>
          </w:p>
        </w:tc>
      </w:tr>
      <w:tr>
        <w:trPr>
          <w:trHeight w:val="577" w:hRule="atLeast"/>
        </w:trPr>
        <w:tc>
          <w:tcPr>
            <w:tcW w:w="3334" w:type="dxa"/>
          </w:tcPr>
          <w:p>
            <w:pPr>
              <w:pStyle w:val="TableParagraph"/>
              <w:spacing w:line="256" w:lineRule="exact" w:before="66"/>
              <w:ind w:right="165"/>
              <w:rPr>
                <w:sz w:val="22"/>
              </w:rPr>
            </w:pPr>
            <w:r>
              <w:rPr>
                <w:sz w:val="22"/>
              </w:rPr>
              <w:t>Container Maintenance Facility/ Facility Improvements</w:t>
            </w:r>
          </w:p>
        </w:tc>
        <w:tc>
          <w:tcPr>
            <w:tcW w:w="1599" w:type="dxa"/>
          </w:tcPr>
          <w:p>
            <w:pPr>
              <w:pStyle w:val="TableParagraph"/>
              <w:spacing w:before="62"/>
              <w:rPr>
                <w:sz w:val="22"/>
              </w:rPr>
            </w:pPr>
            <w:r>
              <w:rPr>
                <w:sz w:val="22"/>
              </w:rPr>
              <w:t>$185,000</w:t>
            </w:r>
          </w:p>
        </w:tc>
        <w:tc>
          <w:tcPr>
            <w:tcW w:w="2281" w:type="dxa"/>
          </w:tcPr>
          <w:p>
            <w:pPr>
              <w:pStyle w:val="TableParagraph"/>
              <w:spacing w:before="62"/>
              <w:ind w:left="106"/>
              <w:rPr>
                <w:sz w:val="22"/>
              </w:rPr>
            </w:pPr>
            <w:r>
              <w:rPr>
                <w:sz w:val="22"/>
              </w:rPr>
              <w:t>Rate Revenue</w:t>
            </w:r>
          </w:p>
        </w:tc>
        <w:tc>
          <w:tcPr>
            <w:tcW w:w="2031" w:type="dxa"/>
          </w:tcPr>
          <w:p>
            <w:pPr>
              <w:pStyle w:val="TableParagraph"/>
              <w:spacing w:before="62"/>
              <w:ind w:left="105"/>
              <w:rPr>
                <w:sz w:val="22"/>
              </w:rPr>
            </w:pPr>
            <w:r>
              <w:rPr>
                <w:sz w:val="22"/>
              </w:rPr>
              <w:t>2017-2018</w:t>
            </w:r>
          </w:p>
        </w:tc>
      </w:tr>
    </w:tbl>
    <w:p>
      <w:pPr>
        <w:spacing w:after="0"/>
        <w:rPr>
          <w:sz w:val="22"/>
        </w:rPr>
        <w:sectPr>
          <w:pgSz w:w="12240" w:h="15840"/>
          <w:pgMar w:header="0" w:footer="1052" w:top="1360" w:bottom="1320" w:left="1320" w:right="1200"/>
        </w:sectPr>
      </w:pPr>
    </w:p>
    <w:p>
      <w:pPr>
        <w:spacing w:before="79"/>
        <w:ind w:left="120" w:right="0" w:firstLine="0"/>
        <w:jc w:val="left"/>
        <w:rPr>
          <w:rFonts w:ascii="Arial"/>
          <w:b/>
          <w:sz w:val="20"/>
        </w:rPr>
      </w:pPr>
      <w:bookmarkStart w:name="_bookmark76" w:id="211"/>
      <w:bookmarkEnd w:id="211"/>
      <w:r>
        <w:rPr/>
      </w:r>
      <w:r>
        <w:rPr>
          <w:rFonts w:ascii="Arial"/>
          <w:b/>
          <w:sz w:val="20"/>
        </w:rPr>
        <w:t>Figure U-5: Solid Waste</w:t>
      </w:r>
    </w:p>
    <w:p>
      <w:pPr>
        <w:spacing w:after="0"/>
        <w:jc w:val="left"/>
        <w:rPr>
          <w:rFonts w:ascii="Arial"/>
          <w:sz w:val="20"/>
        </w:rPr>
        <w:sectPr>
          <w:pgSz w:w="12240" w:h="15840"/>
          <w:pgMar w:header="0" w:footer="1052" w:top="1360" w:bottom="1320" w:left="1320" w:right="1200"/>
        </w:sectPr>
      </w:pPr>
    </w:p>
    <w:p>
      <w:pPr>
        <w:pStyle w:val="Heading7"/>
        <w:jc w:val="both"/>
      </w:pPr>
      <w:bookmarkStart w:name="Section Six" w:id="212"/>
      <w:bookmarkEnd w:id="212"/>
      <w:r>
        <w:rPr/>
      </w:r>
      <w:bookmarkStart w:name="_bookmark77" w:id="213"/>
      <w:bookmarkEnd w:id="213"/>
      <w:r>
        <w:rPr/>
      </w:r>
      <w:r>
        <w:rPr>
          <w:color w:val="4F81BC"/>
        </w:rPr>
        <w:t>SECTION SIX</w:t>
      </w:r>
    </w:p>
    <w:p>
      <w:pPr>
        <w:pStyle w:val="Heading6"/>
        <w:ind w:left="119"/>
        <w:jc w:val="both"/>
      </w:pPr>
      <w:bookmarkStart w:name="Energy/Electrical Power" w:id="214"/>
      <w:bookmarkEnd w:id="214"/>
      <w:r>
        <w:rPr>
          <w:b w:val="0"/>
        </w:rPr>
      </w:r>
      <w:bookmarkStart w:name="EXISTING CONDITIONS" w:id="215"/>
      <w:bookmarkEnd w:id="215"/>
      <w:r>
        <w:rPr>
          <w:b w:val="0"/>
        </w:rPr>
      </w:r>
      <w:bookmarkStart w:name="_bookmark78" w:id="216"/>
      <w:bookmarkEnd w:id="216"/>
      <w:r>
        <w:rPr>
          <w:b w:val="0"/>
        </w:rPr>
      </w:r>
      <w:r>
        <w:rPr/>
        <w:t>ENERGY/ELECTRICAL POWER</w:t>
      </w:r>
    </w:p>
    <w:p>
      <w:pPr>
        <w:spacing w:before="202"/>
        <w:ind w:left="120" w:right="0" w:firstLine="0"/>
        <w:jc w:val="both"/>
        <w:rPr>
          <w:b/>
          <w:sz w:val="24"/>
        </w:rPr>
      </w:pPr>
      <w:r>
        <w:rPr>
          <w:b/>
          <w:sz w:val="24"/>
        </w:rPr>
        <w:t>EXISTING CONDITIONS</w:t>
      </w:r>
    </w:p>
    <w:p>
      <w:pPr>
        <w:pStyle w:val="BodyText"/>
        <w:spacing w:before="120"/>
        <w:ind w:left="119" w:right="233"/>
        <w:jc w:val="both"/>
      </w:pPr>
      <w:r>
        <w:rPr/>
        <w:t>Richland’s electrical service is provided primarily by Richland Energy Services (RES) Department. RES provides electric service to over 25,000 residential, commercial, industrial, and irrigation customers</w:t>
      </w:r>
      <w:r>
        <w:rPr>
          <w:spacing w:val="-10"/>
        </w:rPr>
        <w:t> </w:t>
      </w:r>
      <w:r>
        <w:rPr/>
        <w:t>throughout</w:t>
      </w:r>
      <w:r>
        <w:rPr>
          <w:spacing w:val="-11"/>
        </w:rPr>
        <w:t> </w:t>
      </w:r>
      <w:r>
        <w:rPr/>
        <w:t>the</w:t>
      </w:r>
      <w:r>
        <w:rPr>
          <w:spacing w:val="-14"/>
        </w:rPr>
        <w:t> </w:t>
      </w:r>
      <w:r>
        <w:rPr/>
        <w:t>City’s</w:t>
      </w:r>
      <w:r>
        <w:rPr>
          <w:spacing w:val="-10"/>
        </w:rPr>
        <w:t> </w:t>
      </w:r>
      <w:r>
        <w:rPr/>
        <w:t>50-square</w:t>
      </w:r>
      <w:r>
        <w:rPr>
          <w:spacing w:val="-10"/>
        </w:rPr>
        <w:t> </w:t>
      </w:r>
      <w:r>
        <w:rPr/>
        <w:t>mile</w:t>
      </w:r>
      <w:r>
        <w:rPr>
          <w:spacing w:val="-12"/>
        </w:rPr>
        <w:t> </w:t>
      </w:r>
      <w:r>
        <w:rPr/>
        <w:t>service</w:t>
      </w:r>
      <w:r>
        <w:rPr>
          <w:spacing w:val="-10"/>
        </w:rPr>
        <w:t> </w:t>
      </w:r>
      <w:r>
        <w:rPr/>
        <w:t>territory,</w:t>
      </w:r>
      <w:r>
        <w:rPr>
          <w:spacing w:val="-11"/>
        </w:rPr>
        <w:t> </w:t>
      </w:r>
      <w:r>
        <w:rPr/>
        <w:t>using</w:t>
      </w:r>
      <w:r>
        <w:rPr>
          <w:spacing w:val="-9"/>
        </w:rPr>
        <w:t> </w:t>
      </w:r>
      <w:r>
        <w:rPr/>
        <w:t>552</w:t>
      </w:r>
      <w:r>
        <w:rPr>
          <w:spacing w:val="-10"/>
        </w:rPr>
        <w:t> </w:t>
      </w:r>
      <w:r>
        <w:rPr/>
        <w:t>miles</w:t>
      </w:r>
      <w:r>
        <w:rPr>
          <w:spacing w:val="-11"/>
        </w:rPr>
        <w:t> </w:t>
      </w:r>
      <w:r>
        <w:rPr/>
        <w:t>of</w:t>
      </w:r>
      <w:r>
        <w:rPr>
          <w:spacing w:val="-10"/>
        </w:rPr>
        <w:t> </w:t>
      </w:r>
      <w:r>
        <w:rPr/>
        <w:t>primary</w:t>
      </w:r>
      <w:r>
        <w:rPr>
          <w:spacing w:val="-12"/>
        </w:rPr>
        <w:t> </w:t>
      </w:r>
      <w:r>
        <w:rPr/>
        <w:t>line</w:t>
      </w:r>
      <w:r>
        <w:rPr>
          <w:spacing w:val="-10"/>
        </w:rPr>
        <w:t> </w:t>
      </w:r>
      <w:r>
        <w:rPr/>
        <w:t>and eight</w:t>
      </w:r>
      <w:r>
        <w:rPr>
          <w:spacing w:val="-12"/>
        </w:rPr>
        <w:t> </w:t>
      </w:r>
      <w:r>
        <w:rPr/>
        <w:t>substations.</w:t>
      </w:r>
      <w:r>
        <w:rPr>
          <w:spacing w:val="-10"/>
        </w:rPr>
        <w:t> </w:t>
      </w:r>
      <w:r>
        <w:rPr/>
        <w:t>Ownership</w:t>
      </w:r>
      <w:r>
        <w:rPr>
          <w:spacing w:val="-9"/>
        </w:rPr>
        <w:t> </w:t>
      </w:r>
      <w:r>
        <w:rPr/>
        <w:t>and</w:t>
      </w:r>
      <w:r>
        <w:rPr>
          <w:spacing w:val="-12"/>
        </w:rPr>
        <w:t> </w:t>
      </w:r>
      <w:r>
        <w:rPr/>
        <w:t>operation</w:t>
      </w:r>
      <w:r>
        <w:rPr>
          <w:spacing w:val="-10"/>
        </w:rPr>
        <w:t> </w:t>
      </w:r>
      <w:r>
        <w:rPr/>
        <w:t>of</w:t>
      </w:r>
      <w:r>
        <w:rPr>
          <w:spacing w:val="-9"/>
        </w:rPr>
        <w:t> </w:t>
      </w:r>
      <w:r>
        <w:rPr/>
        <w:t>these</w:t>
      </w:r>
      <w:r>
        <w:rPr>
          <w:spacing w:val="-11"/>
        </w:rPr>
        <w:t> </w:t>
      </w:r>
      <w:r>
        <w:rPr/>
        <w:t>facilities</w:t>
      </w:r>
      <w:r>
        <w:rPr>
          <w:spacing w:val="-8"/>
        </w:rPr>
        <w:t> </w:t>
      </w:r>
      <w:r>
        <w:rPr/>
        <w:t>is</w:t>
      </w:r>
      <w:r>
        <w:rPr>
          <w:spacing w:val="-8"/>
        </w:rPr>
        <w:t> </w:t>
      </w:r>
      <w:r>
        <w:rPr/>
        <w:t>shared</w:t>
      </w:r>
      <w:r>
        <w:rPr>
          <w:spacing w:val="-9"/>
        </w:rPr>
        <w:t> </w:t>
      </w:r>
      <w:r>
        <w:rPr/>
        <w:t>by</w:t>
      </w:r>
      <w:r>
        <w:rPr>
          <w:spacing w:val="-10"/>
        </w:rPr>
        <w:t> </w:t>
      </w:r>
      <w:r>
        <w:rPr/>
        <w:t>the</w:t>
      </w:r>
      <w:r>
        <w:rPr>
          <w:spacing w:val="-11"/>
        </w:rPr>
        <w:t> </w:t>
      </w:r>
      <w:r>
        <w:rPr/>
        <w:t>City</w:t>
      </w:r>
      <w:r>
        <w:rPr>
          <w:spacing w:val="-10"/>
        </w:rPr>
        <w:t> </w:t>
      </w:r>
      <w:r>
        <w:rPr/>
        <w:t>and</w:t>
      </w:r>
      <w:r>
        <w:rPr>
          <w:spacing w:val="-9"/>
        </w:rPr>
        <w:t> </w:t>
      </w:r>
      <w:r>
        <w:rPr/>
        <w:t>the</w:t>
      </w:r>
      <w:r>
        <w:rPr>
          <w:spacing w:val="-10"/>
        </w:rPr>
        <w:t> </w:t>
      </w:r>
      <w:r>
        <w:rPr/>
        <w:t>Bonneville Power Administration (BPA). Bulk transmission of electrical power supply to customers in the UGA has</w:t>
      </w:r>
      <w:r>
        <w:rPr>
          <w:spacing w:val="-6"/>
        </w:rPr>
        <w:t> </w:t>
      </w:r>
      <w:r>
        <w:rPr/>
        <w:t>historically</w:t>
      </w:r>
      <w:r>
        <w:rPr>
          <w:spacing w:val="-6"/>
        </w:rPr>
        <w:t> </w:t>
      </w:r>
      <w:r>
        <w:rPr/>
        <w:t>been</w:t>
      </w:r>
      <w:r>
        <w:rPr>
          <w:spacing w:val="-5"/>
        </w:rPr>
        <w:t> </w:t>
      </w:r>
      <w:r>
        <w:rPr/>
        <w:t>provided</w:t>
      </w:r>
      <w:r>
        <w:rPr>
          <w:spacing w:val="-6"/>
        </w:rPr>
        <w:t> </w:t>
      </w:r>
      <w:r>
        <w:rPr/>
        <w:t>from</w:t>
      </w:r>
      <w:r>
        <w:rPr>
          <w:spacing w:val="-4"/>
        </w:rPr>
        <w:t> </w:t>
      </w:r>
      <w:r>
        <w:rPr/>
        <w:t>the</w:t>
      </w:r>
      <w:r>
        <w:rPr>
          <w:spacing w:val="-4"/>
        </w:rPr>
        <w:t> </w:t>
      </w:r>
      <w:r>
        <w:rPr/>
        <w:t>BPA</w:t>
      </w:r>
      <w:r>
        <w:rPr>
          <w:spacing w:val="-6"/>
        </w:rPr>
        <w:t> </w:t>
      </w:r>
      <w:r>
        <w:rPr/>
        <w:t>transmission</w:t>
      </w:r>
      <w:r>
        <w:rPr>
          <w:spacing w:val="-5"/>
        </w:rPr>
        <w:t> </w:t>
      </w:r>
      <w:r>
        <w:rPr/>
        <w:t>grid,</w:t>
      </w:r>
      <w:r>
        <w:rPr>
          <w:spacing w:val="-5"/>
        </w:rPr>
        <w:t> </w:t>
      </w:r>
      <w:r>
        <w:rPr/>
        <w:t>with</w:t>
      </w:r>
      <w:r>
        <w:rPr>
          <w:spacing w:val="-5"/>
        </w:rPr>
        <w:t> </w:t>
      </w:r>
      <w:r>
        <w:rPr/>
        <w:t>the</w:t>
      </w:r>
      <w:r>
        <w:rPr>
          <w:spacing w:val="-4"/>
        </w:rPr>
        <w:t> </w:t>
      </w:r>
      <w:r>
        <w:rPr/>
        <w:t>local</w:t>
      </w:r>
      <w:r>
        <w:rPr>
          <w:spacing w:val="-8"/>
        </w:rPr>
        <w:t> </w:t>
      </w:r>
      <w:r>
        <w:rPr/>
        <w:t>utilities</w:t>
      </w:r>
      <w:r>
        <w:rPr>
          <w:spacing w:val="-4"/>
        </w:rPr>
        <w:t> </w:t>
      </w:r>
      <w:r>
        <w:rPr/>
        <w:t>providing</w:t>
      </w:r>
      <w:r>
        <w:rPr>
          <w:spacing w:val="-3"/>
        </w:rPr>
        <w:t> </w:t>
      </w:r>
      <w:r>
        <w:rPr/>
        <w:t>final pass-through services. BPA is contractually obligated to supply all of the City’s power requirements through 2028.</w:t>
      </w:r>
    </w:p>
    <w:p>
      <w:pPr>
        <w:pStyle w:val="BodyText"/>
        <w:spacing w:before="120"/>
        <w:ind w:left="120" w:right="232"/>
        <w:jc w:val="both"/>
      </w:pPr>
      <w:r>
        <w:rPr/>
        <w:t>Electric</w:t>
      </w:r>
      <w:r>
        <w:rPr>
          <w:spacing w:val="-10"/>
        </w:rPr>
        <w:t> </w:t>
      </w:r>
      <w:r>
        <w:rPr/>
        <w:t>system</w:t>
      </w:r>
      <w:r>
        <w:rPr>
          <w:spacing w:val="-8"/>
        </w:rPr>
        <w:t> </w:t>
      </w:r>
      <w:r>
        <w:rPr/>
        <w:t>planners</w:t>
      </w:r>
      <w:r>
        <w:rPr>
          <w:spacing w:val="-8"/>
        </w:rPr>
        <w:t> </w:t>
      </w:r>
      <w:r>
        <w:rPr/>
        <w:t>design</w:t>
      </w:r>
      <w:r>
        <w:rPr>
          <w:spacing w:val="-10"/>
        </w:rPr>
        <w:t> </w:t>
      </w:r>
      <w:r>
        <w:rPr/>
        <w:t>and</w:t>
      </w:r>
      <w:r>
        <w:rPr>
          <w:spacing w:val="-9"/>
        </w:rPr>
        <w:t> </w:t>
      </w:r>
      <w:r>
        <w:rPr/>
        <w:t>build</w:t>
      </w:r>
      <w:r>
        <w:rPr>
          <w:spacing w:val="-9"/>
        </w:rPr>
        <w:t> </w:t>
      </w:r>
      <w:r>
        <w:rPr/>
        <w:t>facilities</w:t>
      </w:r>
      <w:r>
        <w:rPr>
          <w:spacing w:val="-8"/>
        </w:rPr>
        <w:t> </w:t>
      </w:r>
      <w:r>
        <w:rPr/>
        <w:t>to</w:t>
      </w:r>
      <w:r>
        <w:rPr>
          <w:spacing w:val="-9"/>
        </w:rPr>
        <w:t> </w:t>
      </w:r>
      <w:r>
        <w:rPr/>
        <w:t>follow</w:t>
      </w:r>
      <w:r>
        <w:rPr>
          <w:spacing w:val="-10"/>
        </w:rPr>
        <w:t> </w:t>
      </w:r>
      <w:r>
        <w:rPr/>
        <w:t>population</w:t>
      </w:r>
      <w:r>
        <w:rPr>
          <w:spacing w:val="-10"/>
        </w:rPr>
        <w:t> </w:t>
      </w:r>
      <w:r>
        <w:rPr/>
        <w:t>and</w:t>
      </w:r>
      <w:r>
        <w:rPr>
          <w:spacing w:val="-9"/>
        </w:rPr>
        <w:t> </w:t>
      </w:r>
      <w:r>
        <w:rPr/>
        <w:t>employment</w:t>
      </w:r>
      <w:r>
        <w:rPr>
          <w:spacing w:val="-9"/>
        </w:rPr>
        <w:t> </w:t>
      </w:r>
      <w:r>
        <w:rPr/>
        <w:t>projections for the City and county. The electric load is determined from these plans and projections. An electric system</w:t>
      </w:r>
      <w:r>
        <w:rPr>
          <w:spacing w:val="-8"/>
        </w:rPr>
        <w:t> </w:t>
      </w:r>
      <w:r>
        <w:rPr/>
        <w:t>plan</w:t>
      </w:r>
      <w:r>
        <w:rPr>
          <w:spacing w:val="-10"/>
        </w:rPr>
        <w:t> </w:t>
      </w:r>
      <w:r>
        <w:rPr/>
        <w:t>is</w:t>
      </w:r>
      <w:r>
        <w:rPr>
          <w:spacing w:val="-8"/>
        </w:rPr>
        <w:t> </w:t>
      </w:r>
      <w:r>
        <w:rPr/>
        <w:t>then</w:t>
      </w:r>
      <w:r>
        <w:rPr>
          <w:spacing w:val="-10"/>
        </w:rPr>
        <w:t> </w:t>
      </w:r>
      <w:r>
        <w:rPr/>
        <w:t>developed</w:t>
      </w:r>
      <w:r>
        <w:rPr>
          <w:spacing w:val="-8"/>
        </w:rPr>
        <w:t> </w:t>
      </w:r>
      <w:r>
        <w:rPr/>
        <w:t>to</w:t>
      </w:r>
      <w:r>
        <w:rPr>
          <w:spacing w:val="-9"/>
        </w:rPr>
        <w:t> </w:t>
      </w:r>
      <w:r>
        <w:rPr/>
        <w:t>serve</w:t>
      </w:r>
      <w:r>
        <w:rPr>
          <w:spacing w:val="-9"/>
        </w:rPr>
        <w:t> </w:t>
      </w:r>
      <w:r>
        <w:rPr/>
        <w:t>those</w:t>
      </w:r>
      <w:r>
        <w:rPr>
          <w:spacing w:val="-9"/>
        </w:rPr>
        <w:t> </w:t>
      </w:r>
      <w:r>
        <w:rPr/>
        <w:t>loads</w:t>
      </w:r>
      <w:r>
        <w:rPr>
          <w:spacing w:val="-8"/>
        </w:rPr>
        <w:t> </w:t>
      </w:r>
      <w:r>
        <w:rPr/>
        <w:t>at</w:t>
      </w:r>
      <w:r>
        <w:rPr>
          <w:spacing w:val="-8"/>
        </w:rPr>
        <w:t> </w:t>
      </w:r>
      <w:r>
        <w:rPr/>
        <w:t>the</w:t>
      </w:r>
      <w:r>
        <w:rPr>
          <w:spacing w:val="-9"/>
        </w:rPr>
        <w:t> </w:t>
      </w:r>
      <w:r>
        <w:rPr/>
        <w:t>reliability</w:t>
      </w:r>
      <w:r>
        <w:rPr>
          <w:spacing w:val="-10"/>
        </w:rPr>
        <w:t> </w:t>
      </w:r>
      <w:r>
        <w:rPr/>
        <w:t>level</w:t>
      </w:r>
      <w:r>
        <w:rPr>
          <w:spacing w:val="-9"/>
        </w:rPr>
        <w:t> </w:t>
      </w:r>
      <w:r>
        <w:rPr/>
        <w:t>prescribed</w:t>
      </w:r>
      <w:r>
        <w:rPr>
          <w:spacing w:val="-8"/>
        </w:rPr>
        <w:t> </w:t>
      </w:r>
      <w:r>
        <w:rPr/>
        <w:t>by</w:t>
      </w:r>
      <w:r>
        <w:rPr>
          <w:spacing w:val="-10"/>
        </w:rPr>
        <w:t> </w:t>
      </w:r>
      <w:r>
        <w:rPr/>
        <w:t>the</w:t>
      </w:r>
      <w:r>
        <w:rPr>
          <w:spacing w:val="-9"/>
        </w:rPr>
        <w:t> </w:t>
      </w:r>
      <w:r>
        <w:rPr/>
        <w:t>individual utility, taking into account environmental, economic, financial, and operational factors. Utility construction is coordinated with the appropriate jurisdictions and agencies, and is typically phased in as actual growth occurs. Transmission lines and substations are installed based upon projections and early growth while electrical distribution lines are installed at customer request with the continued</w:t>
      </w:r>
      <w:r>
        <w:rPr>
          <w:spacing w:val="-2"/>
        </w:rPr>
        <w:t> </w:t>
      </w:r>
      <w:r>
        <w:rPr/>
        <w:t>growth.</w:t>
      </w:r>
    </w:p>
    <w:p>
      <w:pPr>
        <w:pStyle w:val="BodyText"/>
        <w:spacing w:before="118"/>
        <w:ind w:left="120" w:right="235"/>
        <w:jc w:val="both"/>
      </w:pPr>
      <w:r>
        <w:rPr/>
        <w:t>Future electrical service plans are designed not only to provide for future growth and accommodate new and increased loads, but also include changes to the existing systems to improve reliability, maintain power quality, and maintain redundancy backup service in the system.</w:t>
      </w:r>
    </w:p>
    <w:p>
      <w:pPr>
        <w:pStyle w:val="BodyText"/>
        <w:spacing w:before="122"/>
        <w:ind w:left="120" w:right="233"/>
        <w:jc w:val="both"/>
      </w:pPr>
      <w:r>
        <w:rPr/>
        <w:t>The City has service area agreements with Benton County PUD (BPUD) and Benton Rural Electric Association (BREA). Approximately 102 customers within the City service area are being served by BPUD while no customers within the City service area are served by BREA. The City transfers remaining customers served by BPUD within the City service area based upon the terms within the service area agreement. All 102 are expected to be transferred by 2021.</w:t>
      </w:r>
    </w:p>
    <w:p>
      <w:pPr>
        <w:spacing w:before="119"/>
        <w:ind w:left="335" w:right="0" w:firstLine="0"/>
        <w:jc w:val="left"/>
        <w:rPr>
          <w:rFonts w:ascii="Arial"/>
          <w:b/>
          <w:sz w:val="20"/>
        </w:rPr>
      </w:pPr>
      <w:r>
        <w:rPr>
          <w:rFonts w:ascii="Arial"/>
          <w:b/>
          <w:sz w:val="20"/>
        </w:rPr>
        <w:t>Table U-18: City of Richland Electric Substations</w:t>
      </w:r>
    </w:p>
    <w:p>
      <w:pPr>
        <w:pStyle w:val="BodyText"/>
        <w:spacing w:before="6"/>
        <w:rPr>
          <w:rFonts w:ascii="Arial"/>
          <w:b/>
          <w:sz w:val="10"/>
        </w:rPr>
      </w:pPr>
    </w:p>
    <w:tbl>
      <w:tblPr>
        <w:tblW w:w="0" w:type="auto"/>
        <w:jc w:val="left"/>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00"/>
        <w:gridCol w:w="1711"/>
        <w:gridCol w:w="2340"/>
        <w:gridCol w:w="2340"/>
      </w:tblGrid>
      <w:tr>
        <w:trPr>
          <w:trHeight w:val="710" w:hRule="atLeast"/>
        </w:trPr>
        <w:tc>
          <w:tcPr>
            <w:tcW w:w="1800" w:type="dxa"/>
            <w:shd w:val="clear" w:color="auto" w:fill="B8CCE3"/>
          </w:tcPr>
          <w:p>
            <w:pPr>
              <w:pStyle w:val="TableParagraph"/>
              <w:spacing w:before="8"/>
              <w:ind w:left="0"/>
              <w:rPr>
                <w:rFonts w:ascii="Arial"/>
                <w:b/>
                <w:sz w:val="23"/>
              </w:rPr>
            </w:pPr>
          </w:p>
          <w:p>
            <w:pPr>
              <w:pStyle w:val="TableParagraph"/>
              <w:spacing w:before="0"/>
              <w:ind w:left="4"/>
              <w:rPr>
                <w:b/>
                <w:sz w:val="22"/>
              </w:rPr>
            </w:pPr>
            <w:r>
              <w:rPr>
                <w:b/>
                <w:sz w:val="22"/>
              </w:rPr>
              <w:t>Substation</w:t>
            </w:r>
          </w:p>
        </w:tc>
        <w:tc>
          <w:tcPr>
            <w:tcW w:w="1711" w:type="dxa"/>
            <w:shd w:val="clear" w:color="auto" w:fill="B8CCE3"/>
          </w:tcPr>
          <w:p>
            <w:pPr>
              <w:pStyle w:val="TableParagraph"/>
              <w:spacing w:before="3"/>
              <w:ind w:left="0"/>
              <w:rPr>
                <w:rFonts w:ascii="Arial"/>
                <w:b/>
                <w:sz w:val="23"/>
              </w:rPr>
            </w:pPr>
          </w:p>
          <w:p>
            <w:pPr>
              <w:pStyle w:val="TableParagraph"/>
              <w:spacing w:before="0"/>
              <w:rPr>
                <w:rFonts w:ascii="Calibri"/>
                <w:b/>
                <w:sz w:val="22"/>
              </w:rPr>
            </w:pPr>
            <w:r>
              <w:rPr>
                <w:rFonts w:ascii="Calibri"/>
                <w:b/>
                <w:sz w:val="22"/>
              </w:rPr>
              <w:t>Total Capacity</w:t>
            </w:r>
          </w:p>
        </w:tc>
        <w:tc>
          <w:tcPr>
            <w:tcW w:w="2340" w:type="dxa"/>
            <w:shd w:val="clear" w:color="auto" w:fill="B8CCE3"/>
          </w:tcPr>
          <w:p>
            <w:pPr>
              <w:pStyle w:val="TableParagraph"/>
              <w:spacing w:before="3"/>
              <w:ind w:left="0"/>
              <w:rPr>
                <w:rFonts w:ascii="Arial"/>
                <w:b/>
                <w:sz w:val="23"/>
              </w:rPr>
            </w:pPr>
          </w:p>
          <w:p>
            <w:pPr>
              <w:pStyle w:val="TableParagraph"/>
              <w:spacing w:before="0"/>
              <w:ind w:left="105"/>
              <w:rPr>
                <w:rFonts w:ascii="Calibri"/>
                <w:b/>
                <w:sz w:val="22"/>
              </w:rPr>
            </w:pPr>
            <w:r>
              <w:rPr>
                <w:rFonts w:ascii="Calibri"/>
                <w:b/>
                <w:sz w:val="22"/>
              </w:rPr>
              <w:t>Used Capacity (2014)</w:t>
            </w:r>
          </w:p>
        </w:tc>
        <w:tc>
          <w:tcPr>
            <w:tcW w:w="2340" w:type="dxa"/>
            <w:shd w:val="clear" w:color="auto" w:fill="B8CCE3"/>
          </w:tcPr>
          <w:p>
            <w:pPr>
              <w:pStyle w:val="TableParagraph"/>
              <w:spacing w:line="290" w:lineRule="atLeast" w:before="97"/>
              <w:ind w:left="105" w:right="406"/>
              <w:rPr>
                <w:rFonts w:ascii="Calibri"/>
                <w:b/>
                <w:sz w:val="22"/>
              </w:rPr>
            </w:pPr>
            <w:r>
              <w:rPr>
                <w:rFonts w:ascii="Calibri"/>
                <w:b/>
                <w:sz w:val="22"/>
              </w:rPr>
              <w:t>Remaining Capacity (2014)</w:t>
            </w:r>
          </w:p>
        </w:tc>
      </w:tr>
      <w:tr>
        <w:trPr>
          <w:trHeight w:val="318" w:hRule="atLeast"/>
        </w:trPr>
        <w:tc>
          <w:tcPr>
            <w:tcW w:w="1800" w:type="dxa"/>
          </w:tcPr>
          <w:p>
            <w:pPr>
              <w:pStyle w:val="TableParagraph"/>
              <w:spacing w:line="237" w:lineRule="exact" w:before="62"/>
              <w:ind w:left="4"/>
              <w:rPr>
                <w:sz w:val="22"/>
              </w:rPr>
            </w:pPr>
            <w:r>
              <w:rPr>
                <w:sz w:val="22"/>
              </w:rPr>
              <w:t>Sandhill Crane</w:t>
            </w:r>
          </w:p>
        </w:tc>
        <w:tc>
          <w:tcPr>
            <w:tcW w:w="1711" w:type="dxa"/>
          </w:tcPr>
          <w:p>
            <w:pPr>
              <w:pStyle w:val="TableParagraph"/>
              <w:spacing w:line="237" w:lineRule="exact" w:before="62"/>
              <w:ind w:left="115"/>
              <w:rPr>
                <w:sz w:val="22"/>
              </w:rPr>
            </w:pPr>
            <w:r>
              <w:rPr>
                <w:sz w:val="22"/>
              </w:rPr>
              <w:t>45,000 KVA</w:t>
            </w:r>
          </w:p>
        </w:tc>
        <w:tc>
          <w:tcPr>
            <w:tcW w:w="2340" w:type="dxa"/>
          </w:tcPr>
          <w:p>
            <w:pPr>
              <w:pStyle w:val="TableParagraph"/>
              <w:spacing w:line="237" w:lineRule="exact" w:before="62"/>
              <w:ind w:left="112"/>
              <w:rPr>
                <w:sz w:val="22"/>
              </w:rPr>
            </w:pPr>
            <w:r>
              <w:rPr>
                <w:sz w:val="22"/>
              </w:rPr>
              <w:t>31,000 KVA</w:t>
            </w:r>
          </w:p>
        </w:tc>
        <w:tc>
          <w:tcPr>
            <w:tcW w:w="2340" w:type="dxa"/>
          </w:tcPr>
          <w:p>
            <w:pPr>
              <w:pStyle w:val="TableParagraph"/>
              <w:spacing w:line="237" w:lineRule="exact" w:before="62"/>
              <w:ind w:left="112"/>
              <w:rPr>
                <w:sz w:val="22"/>
              </w:rPr>
            </w:pPr>
            <w:r>
              <w:rPr>
                <w:sz w:val="22"/>
              </w:rPr>
              <w:t>14,000 KVA</w:t>
            </w:r>
          </w:p>
        </w:tc>
      </w:tr>
      <w:tr>
        <w:trPr>
          <w:trHeight w:val="318" w:hRule="atLeast"/>
        </w:trPr>
        <w:tc>
          <w:tcPr>
            <w:tcW w:w="1800" w:type="dxa"/>
          </w:tcPr>
          <w:p>
            <w:pPr>
              <w:pStyle w:val="TableParagraph"/>
              <w:spacing w:line="239" w:lineRule="exact"/>
              <w:ind w:left="4"/>
              <w:rPr>
                <w:sz w:val="22"/>
              </w:rPr>
            </w:pPr>
            <w:r>
              <w:rPr>
                <w:sz w:val="22"/>
              </w:rPr>
              <w:t>First Street</w:t>
            </w:r>
          </w:p>
        </w:tc>
        <w:tc>
          <w:tcPr>
            <w:tcW w:w="1711" w:type="dxa"/>
          </w:tcPr>
          <w:p>
            <w:pPr>
              <w:pStyle w:val="TableParagraph"/>
              <w:spacing w:line="239" w:lineRule="exact"/>
              <w:ind w:left="115"/>
              <w:rPr>
                <w:sz w:val="22"/>
              </w:rPr>
            </w:pPr>
            <w:r>
              <w:rPr>
                <w:sz w:val="22"/>
              </w:rPr>
              <w:t>45,000 KVA</w:t>
            </w:r>
          </w:p>
        </w:tc>
        <w:tc>
          <w:tcPr>
            <w:tcW w:w="2340" w:type="dxa"/>
          </w:tcPr>
          <w:p>
            <w:pPr>
              <w:pStyle w:val="TableParagraph"/>
              <w:spacing w:line="239" w:lineRule="exact"/>
              <w:ind w:left="112"/>
              <w:rPr>
                <w:sz w:val="22"/>
              </w:rPr>
            </w:pPr>
            <w:r>
              <w:rPr>
                <w:sz w:val="22"/>
              </w:rPr>
              <w:t>32,000 KVA</w:t>
            </w:r>
          </w:p>
        </w:tc>
        <w:tc>
          <w:tcPr>
            <w:tcW w:w="2340" w:type="dxa"/>
          </w:tcPr>
          <w:p>
            <w:pPr>
              <w:pStyle w:val="TableParagraph"/>
              <w:spacing w:line="239" w:lineRule="exact"/>
              <w:ind w:left="112"/>
              <w:rPr>
                <w:sz w:val="22"/>
              </w:rPr>
            </w:pPr>
            <w:r>
              <w:rPr>
                <w:sz w:val="22"/>
              </w:rPr>
              <w:t>13,000 KVA</w:t>
            </w:r>
          </w:p>
        </w:tc>
      </w:tr>
      <w:tr>
        <w:trPr>
          <w:trHeight w:val="316" w:hRule="atLeast"/>
        </w:trPr>
        <w:tc>
          <w:tcPr>
            <w:tcW w:w="1800" w:type="dxa"/>
          </w:tcPr>
          <w:p>
            <w:pPr>
              <w:pStyle w:val="TableParagraph"/>
              <w:spacing w:line="237" w:lineRule="exact"/>
              <w:ind w:left="4"/>
              <w:rPr>
                <w:sz w:val="22"/>
              </w:rPr>
            </w:pPr>
            <w:r>
              <w:rPr>
                <w:sz w:val="22"/>
              </w:rPr>
              <w:t>Snyder</w:t>
            </w:r>
          </w:p>
        </w:tc>
        <w:tc>
          <w:tcPr>
            <w:tcW w:w="1711" w:type="dxa"/>
          </w:tcPr>
          <w:p>
            <w:pPr>
              <w:pStyle w:val="TableParagraph"/>
              <w:spacing w:line="237" w:lineRule="exact"/>
              <w:ind w:left="115"/>
              <w:rPr>
                <w:sz w:val="22"/>
              </w:rPr>
            </w:pPr>
            <w:r>
              <w:rPr>
                <w:sz w:val="22"/>
              </w:rPr>
              <w:t>23,000 KVA</w:t>
            </w:r>
          </w:p>
        </w:tc>
        <w:tc>
          <w:tcPr>
            <w:tcW w:w="2340" w:type="dxa"/>
          </w:tcPr>
          <w:p>
            <w:pPr>
              <w:pStyle w:val="TableParagraph"/>
              <w:spacing w:line="237" w:lineRule="exact"/>
              <w:ind w:left="112"/>
              <w:rPr>
                <w:sz w:val="22"/>
              </w:rPr>
            </w:pPr>
            <w:r>
              <w:rPr>
                <w:sz w:val="22"/>
              </w:rPr>
              <w:t>20,000 KVA</w:t>
            </w:r>
          </w:p>
        </w:tc>
        <w:tc>
          <w:tcPr>
            <w:tcW w:w="2340" w:type="dxa"/>
          </w:tcPr>
          <w:p>
            <w:pPr>
              <w:pStyle w:val="TableParagraph"/>
              <w:spacing w:line="237" w:lineRule="exact"/>
              <w:ind w:left="112"/>
              <w:rPr>
                <w:sz w:val="22"/>
              </w:rPr>
            </w:pPr>
            <w:r>
              <w:rPr>
                <w:sz w:val="22"/>
              </w:rPr>
              <w:t>3,000 KVA</w:t>
            </w:r>
          </w:p>
        </w:tc>
      </w:tr>
      <w:tr>
        <w:trPr>
          <w:trHeight w:val="318" w:hRule="atLeast"/>
        </w:trPr>
        <w:tc>
          <w:tcPr>
            <w:tcW w:w="1800" w:type="dxa"/>
          </w:tcPr>
          <w:p>
            <w:pPr>
              <w:pStyle w:val="TableParagraph"/>
              <w:spacing w:line="239" w:lineRule="exact"/>
              <w:ind w:left="4"/>
              <w:rPr>
                <w:sz w:val="22"/>
              </w:rPr>
            </w:pPr>
            <w:r>
              <w:rPr>
                <w:sz w:val="22"/>
              </w:rPr>
              <w:t>Stevens</w:t>
            </w:r>
          </w:p>
        </w:tc>
        <w:tc>
          <w:tcPr>
            <w:tcW w:w="1711" w:type="dxa"/>
          </w:tcPr>
          <w:p>
            <w:pPr>
              <w:pStyle w:val="TableParagraph"/>
              <w:spacing w:line="239" w:lineRule="exact"/>
              <w:ind w:left="115"/>
              <w:rPr>
                <w:sz w:val="22"/>
              </w:rPr>
            </w:pPr>
            <w:r>
              <w:rPr>
                <w:sz w:val="22"/>
              </w:rPr>
              <w:t>46,000 KVA</w:t>
            </w:r>
          </w:p>
        </w:tc>
        <w:tc>
          <w:tcPr>
            <w:tcW w:w="2340" w:type="dxa"/>
          </w:tcPr>
          <w:p>
            <w:pPr>
              <w:pStyle w:val="TableParagraph"/>
              <w:spacing w:line="239" w:lineRule="exact"/>
              <w:ind w:left="112"/>
              <w:rPr>
                <w:sz w:val="22"/>
              </w:rPr>
            </w:pPr>
            <w:r>
              <w:rPr>
                <w:sz w:val="22"/>
              </w:rPr>
              <w:t>41,000 KVA</w:t>
            </w:r>
          </w:p>
        </w:tc>
        <w:tc>
          <w:tcPr>
            <w:tcW w:w="2340" w:type="dxa"/>
          </w:tcPr>
          <w:p>
            <w:pPr>
              <w:pStyle w:val="TableParagraph"/>
              <w:spacing w:line="239" w:lineRule="exact"/>
              <w:ind w:left="112"/>
              <w:rPr>
                <w:sz w:val="22"/>
              </w:rPr>
            </w:pPr>
            <w:r>
              <w:rPr>
                <w:sz w:val="22"/>
              </w:rPr>
              <w:t>5,000 KVA</w:t>
            </w:r>
          </w:p>
        </w:tc>
      </w:tr>
      <w:tr>
        <w:trPr>
          <w:trHeight w:val="318" w:hRule="atLeast"/>
        </w:trPr>
        <w:tc>
          <w:tcPr>
            <w:tcW w:w="1800" w:type="dxa"/>
          </w:tcPr>
          <w:p>
            <w:pPr>
              <w:pStyle w:val="TableParagraph"/>
              <w:spacing w:line="239" w:lineRule="exact"/>
              <w:ind w:left="4"/>
              <w:rPr>
                <w:sz w:val="22"/>
              </w:rPr>
            </w:pPr>
            <w:r>
              <w:rPr>
                <w:sz w:val="22"/>
              </w:rPr>
              <w:t>Thayer</w:t>
            </w:r>
          </w:p>
        </w:tc>
        <w:tc>
          <w:tcPr>
            <w:tcW w:w="1711" w:type="dxa"/>
          </w:tcPr>
          <w:p>
            <w:pPr>
              <w:pStyle w:val="TableParagraph"/>
              <w:spacing w:line="239" w:lineRule="exact"/>
              <w:ind w:left="115"/>
              <w:rPr>
                <w:sz w:val="22"/>
              </w:rPr>
            </w:pPr>
            <w:r>
              <w:rPr>
                <w:sz w:val="22"/>
              </w:rPr>
              <w:t>53,000 KVA</w:t>
            </w:r>
          </w:p>
        </w:tc>
        <w:tc>
          <w:tcPr>
            <w:tcW w:w="2340" w:type="dxa"/>
          </w:tcPr>
          <w:p>
            <w:pPr>
              <w:pStyle w:val="TableParagraph"/>
              <w:spacing w:line="239" w:lineRule="exact"/>
              <w:ind w:left="112"/>
              <w:rPr>
                <w:sz w:val="22"/>
              </w:rPr>
            </w:pPr>
            <w:r>
              <w:rPr>
                <w:sz w:val="22"/>
              </w:rPr>
              <w:t>29,000 KVA</w:t>
            </w:r>
          </w:p>
        </w:tc>
        <w:tc>
          <w:tcPr>
            <w:tcW w:w="2340" w:type="dxa"/>
          </w:tcPr>
          <w:p>
            <w:pPr>
              <w:pStyle w:val="TableParagraph"/>
              <w:spacing w:line="239" w:lineRule="exact"/>
              <w:ind w:left="112"/>
              <w:rPr>
                <w:sz w:val="22"/>
              </w:rPr>
            </w:pPr>
            <w:r>
              <w:rPr>
                <w:sz w:val="22"/>
              </w:rPr>
              <w:t>24,000 KVA</w:t>
            </w:r>
          </w:p>
        </w:tc>
      </w:tr>
      <w:tr>
        <w:trPr>
          <w:trHeight w:val="316" w:hRule="atLeast"/>
        </w:trPr>
        <w:tc>
          <w:tcPr>
            <w:tcW w:w="1800" w:type="dxa"/>
          </w:tcPr>
          <w:p>
            <w:pPr>
              <w:pStyle w:val="TableParagraph"/>
              <w:spacing w:line="237" w:lineRule="exact"/>
              <w:ind w:left="4"/>
              <w:rPr>
                <w:sz w:val="22"/>
              </w:rPr>
            </w:pPr>
            <w:r>
              <w:rPr>
                <w:sz w:val="22"/>
              </w:rPr>
              <w:t>Richland Switch</w:t>
            </w:r>
          </w:p>
        </w:tc>
        <w:tc>
          <w:tcPr>
            <w:tcW w:w="1711" w:type="dxa"/>
          </w:tcPr>
          <w:p>
            <w:pPr>
              <w:pStyle w:val="TableParagraph"/>
              <w:spacing w:line="237" w:lineRule="exact"/>
              <w:ind w:left="115"/>
              <w:rPr>
                <w:sz w:val="22"/>
              </w:rPr>
            </w:pPr>
            <w:r>
              <w:rPr>
                <w:sz w:val="22"/>
              </w:rPr>
              <w:t>23,000 KVA</w:t>
            </w:r>
          </w:p>
        </w:tc>
        <w:tc>
          <w:tcPr>
            <w:tcW w:w="2340" w:type="dxa"/>
          </w:tcPr>
          <w:p>
            <w:pPr>
              <w:pStyle w:val="TableParagraph"/>
              <w:spacing w:line="237" w:lineRule="exact"/>
              <w:ind w:left="112"/>
              <w:rPr>
                <w:sz w:val="22"/>
              </w:rPr>
            </w:pPr>
            <w:r>
              <w:rPr>
                <w:sz w:val="22"/>
              </w:rPr>
              <w:t>10,000 KVA</w:t>
            </w:r>
          </w:p>
        </w:tc>
        <w:tc>
          <w:tcPr>
            <w:tcW w:w="2340" w:type="dxa"/>
          </w:tcPr>
          <w:p>
            <w:pPr>
              <w:pStyle w:val="TableParagraph"/>
              <w:spacing w:line="237" w:lineRule="exact"/>
              <w:ind w:left="112"/>
              <w:rPr>
                <w:sz w:val="22"/>
              </w:rPr>
            </w:pPr>
            <w:r>
              <w:rPr>
                <w:sz w:val="22"/>
              </w:rPr>
              <w:t>13,000 KVA</w:t>
            </w:r>
          </w:p>
        </w:tc>
      </w:tr>
      <w:tr>
        <w:trPr>
          <w:trHeight w:val="318" w:hRule="atLeast"/>
        </w:trPr>
        <w:tc>
          <w:tcPr>
            <w:tcW w:w="1800" w:type="dxa"/>
          </w:tcPr>
          <w:p>
            <w:pPr>
              <w:pStyle w:val="TableParagraph"/>
              <w:spacing w:line="239" w:lineRule="exact"/>
              <w:ind w:left="4"/>
              <w:rPr>
                <w:sz w:val="22"/>
              </w:rPr>
            </w:pPr>
            <w:r>
              <w:rPr>
                <w:sz w:val="22"/>
              </w:rPr>
              <w:t>Tapteal</w:t>
            </w:r>
          </w:p>
        </w:tc>
        <w:tc>
          <w:tcPr>
            <w:tcW w:w="1711" w:type="dxa"/>
          </w:tcPr>
          <w:p>
            <w:pPr>
              <w:pStyle w:val="TableParagraph"/>
              <w:spacing w:line="239" w:lineRule="exact"/>
              <w:ind w:left="115"/>
              <w:rPr>
                <w:sz w:val="22"/>
              </w:rPr>
            </w:pPr>
            <w:r>
              <w:rPr>
                <w:sz w:val="22"/>
              </w:rPr>
              <w:t>45,000 KVA</w:t>
            </w:r>
          </w:p>
        </w:tc>
        <w:tc>
          <w:tcPr>
            <w:tcW w:w="2340" w:type="dxa"/>
          </w:tcPr>
          <w:p>
            <w:pPr>
              <w:pStyle w:val="TableParagraph"/>
              <w:spacing w:line="239" w:lineRule="exact"/>
              <w:ind w:left="112"/>
              <w:rPr>
                <w:sz w:val="22"/>
              </w:rPr>
            </w:pPr>
            <w:r>
              <w:rPr>
                <w:sz w:val="22"/>
              </w:rPr>
              <w:t>37,000 KVA</w:t>
            </w:r>
          </w:p>
        </w:tc>
        <w:tc>
          <w:tcPr>
            <w:tcW w:w="2340" w:type="dxa"/>
          </w:tcPr>
          <w:p>
            <w:pPr>
              <w:pStyle w:val="TableParagraph"/>
              <w:spacing w:line="239" w:lineRule="exact"/>
              <w:ind w:left="112"/>
              <w:rPr>
                <w:sz w:val="22"/>
              </w:rPr>
            </w:pPr>
            <w:r>
              <w:rPr>
                <w:sz w:val="22"/>
              </w:rPr>
              <w:t>8,000 KVA</w:t>
            </w:r>
          </w:p>
        </w:tc>
      </w:tr>
      <w:tr>
        <w:trPr>
          <w:trHeight w:val="316" w:hRule="atLeast"/>
        </w:trPr>
        <w:tc>
          <w:tcPr>
            <w:tcW w:w="1800" w:type="dxa"/>
          </w:tcPr>
          <w:p>
            <w:pPr>
              <w:pStyle w:val="TableParagraph"/>
              <w:spacing w:line="237" w:lineRule="exact"/>
              <w:ind w:left="4"/>
              <w:rPr>
                <w:sz w:val="22"/>
              </w:rPr>
            </w:pPr>
            <w:r>
              <w:rPr>
                <w:sz w:val="22"/>
              </w:rPr>
              <w:t>City View</w:t>
            </w:r>
          </w:p>
        </w:tc>
        <w:tc>
          <w:tcPr>
            <w:tcW w:w="1711" w:type="dxa"/>
          </w:tcPr>
          <w:p>
            <w:pPr>
              <w:pStyle w:val="TableParagraph"/>
              <w:spacing w:line="237" w:lineRule="exact"/>
              <w:ind w:left="115"/>
              <w:rPr>
                <w:sz w:val="22"/>
              </w:rPr>
            </w:pPr>
            <w:r>
              <w:rPr>
                <w:sz w:val="22"/>
              </w:rPr>
              <w:t>23,000 KVA</w:t>
            </w:r>
          </w:p>
        </w:tc>
        <w:tc>
          <w:tcPr>
            <w:tcW w:w="2340" w:type="dxa"/>
          </w:tcPr>
          <w:p>
            <w:pPr>
              <w:pStyle w:val="TableParagraph"/>
              <w:spacing w:line="237" w:lineRule="exact"/>
              <w:ind w:left="112"/>
              <w:rPr>
                <w:sz w:val="22"/>
              </w:rPr>
            </w:pPr>
            <w:r>
              <w:rPr>
                <w:sz w:val="22"/>
              </w:rPr>
              <w:t>19,000 KVA</w:t>
            </w:r>
          </w:p>
        </w:tc>
        <w:tc>
          <w:tcPr>
            <w:tcW w:w="2340" w:type="dxa"/>
          </w:tcPr>
          <w:p>
            <w:pPr>
              <w:pStyle w:val="TableParagraph"/>
              <w:spacing w:line="237" w:lineRule="exact"/>
              <w:ind w:left="112"/>
              <w:rPr>
                <w:sz w:val="22"/>
              </w:rPr>
            </w:pPr>
            <w:r>
              <w:rPr>
                <w:sz w:val="22"/>
              </w:rPr>
              <w:t>4,000 KVA</w:t>
            </w:r>
          </w:p>
        </w:tc>
      </w:tr>
      <w:tr>
        <w:trPr>
          <w:trHeight w:val="578" w:hRule="atLeast"/>
        </w:trPr>
        <w:tc>
          <w:tcPr>
            <w:tcW w:w="1800" w:type="dxa"/>
          </w:tcPr>
          <w:p>
            <w:pPr>
              <w:pStyle w:val="TableParagraph"/>
              <w:spacing w:before="62"/>
              <w:ind w:left="4"/>
              <w:rPr>
                <w:b/>
                <w:sz w:val="22"/>
              </w:rPr>
            </w:pPr>
            <w:r>
              <w:rPr>
                <w:b/>
                <w:sz w:val="22"/>
              </w:rPr>
              <w:t>Total System</w:t>
            </w:r>
          </w:p>
        </w:tc>
        <w:tc>
          <w:tcPr>
            <w:tcW w:w="1711" w:type="dxa"/>
          </w:tcPr>
          <w:p>
            <w:pPr>
              <w:pStyle w:val="TableParagraph"/>
              <w:spacing w:line="257" w:lineRule="exact" w:before="62"/>
              <w:ind w:left="115"/>
              <w:rPr>
                <w:b/>
                <w:sz w:val="22"/>
              </w:rPr>
            </w:pPr>
            <w:r>
              <w:rPr>
                <w:b/>
                <w:sz w:val="22"/>
              </w:rPr>
              <w:t>303,000</w:t>
            </w:r>
          </w:p>
          <w:p>
            <w:pPr>
              <w:pStyle w:val="TableParagraph"/>
              <w:spacing w:line="239" w:lineRule="exact" w:before="0"/>
              <w:ind w:left="115"/>
              <w:rPr>
                <w:b/>
                <w:sz w:val="22"/>
              </w:rPr>
            </w:pPr>
            <w:r>
              <w:rPr>
                <w:b/>
                <w:sz w:val="22"/>
              </w:rPr>
              <w:t>KVA</w:t>
            </w:r>
          </w:p>
        </w:tc>
        <w:tc>
          <w:tcPr>
            <w:tcW w:w="2340" w:type="dxa"/>
          </w:tcPr>
          <w:p>
            <w:pPr>
              <w:pStyle w:val="TableParagraph"/>
              <w:spacing w:before="189"/>
              <w:ind w:left="112"/>
              <w:rPr>
                <w:b/>
                <w:sz w:val="22"/>
              </w:rPr>
            </w:pPr>
            <w:r>
              <w:rPr>
                <w:b/>
                <w:sz w:val="22"/>
              </w:rPr>
              <w:t>219,000 KVA</w:t>
            </w:r>
          </w:p>
        </w:tc>
        <w:tc>
          <w:tcPr>
            <w:tcW w:w="2340" w:type="dxa"/>
          </w:tcPr>
          <w:p>
            <w:pPr>
              <w:pStyle w:val="TableParagraph"/>
              <w:spacing w:before="189"/>
              <w:ind w:left="112"/>
              <w:rPr>
                <w:b/>
                <w:sz w:val="22"/>
              </w:rPr>
            </w:pPr>
            <w:r>
              <w:rPr>
                <w:b/>
                <w:sz w:val="22"/>
              </w:rPr>
              <w:t>84,000 KVA</w:t>
            </w:r>
          </w:p>
        </w:tc>
      </w:tr>
    </w:tbl>
    <w:p>
      <w:pPr>
        <w:spacing w:before="57"/>
        <w:ind w:left="335" w:right="0" w:firstLine="0"/>
        <w:jc w:val="left"/>
        <w:rPr>
          <w:i/>
          <w:sz w:val="20"/>
        </w:rPr>
      </w:pPr>
      <w:r>
        <w:rPr>
          <w:i/>
          <w:sz w:val="20"/>
        </w:rPr>
        <w:t>Source: City of Richland 2014 Long Range Plan – Richland Energy Services</w:t>
      </w:r>
    </w:p>
    <w:p>
      <w:pPr>
        <w:spacing w:after="0"/>
        <w:jc w:val="left"/>
        <w:rPr>
          <w:sz w:val="20"/>
        </w:rPr>
        <w:sectPr>
          <w:pgSz w:w="12240" w:h="15840"/>
          <w:pgMar w:header="0" w:footer="1052" w:top="1420" w:bottom="1320" w:left="1320" w:right="1200"/>
        </w:sectPr>
      </w:pPr>
    </w:p>
    <w:p>
      <w:pPr>
        <w:spacing w:before="80"/>
        <w:ind w:left="120" w:right="0" w:firstLine="0"/>
        <w:jc w:val="both"/>
        <w:rPr>
          <w:b/>
          <w:sz w:val="22"/>
        </w:rPr>
      </w:pPr>
      <w:bookmarkStart w:name="Energy Efficiency Program" w:id="217"/>
      <w:bookmarkEnd w:id="217"/>
      <w:r>
        <w:rPr/>
      </w:r>
      <w:r>
        <w:rPr>
          <w:b/>
          <w:color w:val="C0504D"/>
          <w:sz w:val="22"/>
        </w:rPr>
        <w:t>Energy Efficiency Program</w:t>
      </w:r>
    </w:p>
    <w:p>
      <w:pPr>
        <w:pStyle w:val="BodyText"/>
        <w:spacing w:before="118"/>
        <w:ind w:left="119" w:right="234"/>
        <w:jc w:val="both"/>
      </w:pPr>
      <w:r>
        <w:rPr/>
        <w:t>RES offers energy efficiency programs to its commercial and residential customers. Commercial and industrial customers are offered incentives for lighting and custom projects that reduce energy use. Custom</w:t>
      </w:r>
      <w:r>
        <w:rPr>
          <w:spacing w:val="-11"/>
        </w:rPr>
        <w:t> </w:t>
      </w:r>
      <w:r>
        <w:rPr/>
        <w:t>projects</w:t>
      </w:r>
      <w:r>
        <w:rPr>
          <w:spacing w:val="-11"/>
        </w:rPr>
        <w:t> </w:t>
      </w:r>
      <w:r>
        <w:rPr/>
        <w:t>include</w:t>
      </w:r>
      <w:r>
        <w:rPr>
          <w:spacing w:val="-11"/>
        </w:rPr>
        <w:t> </w:t>
      </w:r>
      <w:r>
        <w:rPr/>
        <w:t>heating,</w:t>
      </w:r>
      <w:r>
        <w:rPr>
          <w:spacing w:val="-12"/>
        </w:rPr>
        <w:t> </w:t>
      </w:r>
      <w:r>
        <w:rPr/>
        <w:t>ventilation,</w:t>
      </w:r>
      <w:r>
        <w:rPr>
          <w:spacing w:val="-14"/>
        </w:rPr>
        <w:t> </w:t>
      </w:r>
      <w:r>
        <w:rPr/>
        <w:t>and</w:t>
      </w:r>
      <w:r>
        <w:rPr>
          <w:spacing w:val="-13"/>
        </w:rPr>
        <w:t> </w:t>
      </w:r>
      <w:r>
        <w:rPr/>
        <w:t>air</w:t>
      </w:r>
      <w:r>
        <w:rPr>
          <w:spacing w:val="-14"/>
        </w:rPr>
        <w:t> </w:t>
      </w:r>
      <w:r>
        <w:rPr/>
        <w:t>conditioning</w:t>
      </w:r>
      <w:r>
        <w:rPr>
          <w:spacing w:val="-11"/>
        </w:rPr>
        <w:t> </w:t>
      </w:r>
      <w:r>
        <w:rPr/>
        <w:t>(HVAC),</w:t>
      </w:r>
      <w:r>
        <w:rPr>
          <w:spacing w:val="-14"/>
        </w:rPr>
        <w:t> </w:t>
      </w:r>
      <w:r>
        <w:rPr/>
        <w:t>motor</w:t>
      </w:r>
      <w:r>
        <w:rPr>
          <w:spacing w:val="-13"/>
        </w:rPr>
        <w:t> </w:t>
      </w:r>
      <w:r>
        <w:rPr/>
        <w:t>efficiency</w:t>
      </w:r>
      <w:r>
        <w:rPr>
          <w:spacing w:val="-15"/>
        </w:rPr>
        <w:t> </w:t>
      </w:r>
      <w:r>
        <w:rPr/>
        <w:t>upgrades, etc. For residential customers, Richland offers rebates and low-interest loans to qualified customers for energy efficient HVAC equipment and weatherization measures including insulation, windows, and</w:t>
      </w:r>
      <w:r>
        <w:rPr>
          <w:spacing w:val="-7"/>
        </w:rPr>
        <w:t> </w:t>
      </w:r>
      <w:r>
        <w:rPr/>
        <w:t>doors.</w:t>
      </w:r>
      <w:r>
        <w:rPr>
          <w:spacing w:val="-5"/>
        </w:rPr>
        <w:t> </w:t>
      </w:r>
      <w:r>
        <w:rPr/>
        <w:t>Customers</w:t>
      </w:r>
      <w:r>
        <w:rPr>
          <w:spacing w:val="-8"/>
        </w:rPr>
        <w:t> </w:t>
      </w:r>
      <w:r>
        <w:rPr/>
        <w:t>can</w:t>
      </w:r>
      <w:r>
        <w:rPr>
          <w:spacing w:val="-9"/>
        </w:rPr>
        <w:t> </w:t>
      </w:r>
      <w:r>
        <w:rPr/>
        <w:t>select</w:t>
      </w:r>
      <w:r>
        <w:rPr>
          <w:spacing w:val="-6"/>
        </w:rPr>
        <w:t> </w:t>
      </w:r>
      <w:r>
        <w:rPr/>
        <w:t>a</w:t>
      </w:r>
      <w:r>
        <w:rPr>
          <w:spacing w:val="-7"/>
        </w:rPr>
        <w:t> </w:t>
      </w:r>
      <w:r>
        <w:rPr/>
        <w:t>rebate</w:t>
      </w:r>
      <w:r>
        <w:rPr>
          <w:spacing w:val="-5"/>
        </w:rPr>
        <w:t> </w:t>
      </w:r>
      <w:r>
        <w:rPr/>
        <w:t>only</w:t>
      </w:r>
      <w:r>
        <w:rPr>
          <w:spacing w:val="-7"/>
        </w:rPr>
        <w:t> </w:t>
      </w:r>
      <w:r>
        <w:rPr/>
        <w:t>or</w:t>
      </w:r>
      <w:r>
        <w:rPr>
          <w:spacing w:val="-9"/>
        </w:rPr>
        <w:t> </w:t>
      </w:r>
      <w:r>
        <w:rPr/>
        <w:t>apply</w:t>
      </w:r>
      <w:r>
        <w:rPr>
          <w:spacing w:val="-7"/>
        </w:rPr>
        <w:t> </w:t>
      </w:r>
      <w:r>
        <w:rPr/>
        <w:t>for</w:t>
      </w:r>
      <w:r>
        <w:rPr>
          <w:spacing w:val="-7"/>
        </w:rPr>
        <w:t> </w:t>
      </w:r>
      <w:r>
        <w:rPr/>
        <w:t>a</w:t>
      </w:r>
      <w:r>
        <w:rPr>
          <w:spacing w:val="-6"/>
        </w:rPr>
        <w:t> </w:t>
      </w:r>
      <w:r>
        <w:rPr/>
        <w:t>low-interest</w:t>
      </w:r>
      <w:r>
        <w:rPr>
          <w:spacing w:val="-8"/>
        </w:rPr>
        <w:t> </w:t>
      </w:r>
      <w:r>
        <w:rPr/>
        <w:t>loan</w:t>
      </w:r>
      <w:r>
        <w:rPr>
          <w:spacing w:val="-10"/>
        </w:rPr>
        <w:t> </w:t>
      </w:r>
      <w:r>
        <w:rPr/>
        <w:t>with</w:t>
      </w:r>
      <w:r>
        <w:rPr>
          <w:spacing w:val="-5"/>
        </w:rPr>
        <w:t> </w:t>
      </w:r>
      <w:r>
        <w:rPr/>
        <w:t>a</w:t>
      </w:r>
      <w:r>
        <w:rPr>
          <w:spacing w:val="-6"/>
        </w:rPr>
        <w:t> </w:t>
      </w:r>
      <w:r>
        <w:rPr/>
        <w:t>rebate.</w:t>
      </w:r>
      <w:r>
        <w:rPr>
          <w:spacing w:val="-6"/>
        </w:rPr>
        <w:t> </w:t>
      </w:r>
      <w:r>
        <w:rPr/>
        <w:t>Richland also offers energy efficiency program specifically designed for low-income families for insulation,</w:t>
      </w:r>
      <w:bookmarkStart w:name="Renewable Option Program" w:id="218"/>
      <w:bookmarkEnd w:id="218"/>
      <w:r>
        <w:rPr/>
      </w:r>
      <w:r>
        <w:rPr/>
        <w:t> duct sealing, ductless heat pumps, windows, and doors for their</w:t>
      </w:r>
      <w:r>
        <w:rPr>
          <w:spacing w:val="-16"/>
        </w:rPr>
        <w:t> </w:t>
      </w:r>
      <w:r>
        <w:rPr/>
        <w:t>home.</w:t>
      </w:r>
    </w:p>
    <w:p>
      <w:pPr>
        <w:spacing w:before="203"/>
        <w:ind w:left="120" w:right="0" w:firstLine="0"/>
        <w:jc w:val="both"/>
        <w:rPr>
          <w:b/>
          <w:sz w:val="22"/>
        </w:rPr>
      </w:pPr>
      <w:r>
        <w:rPr>
          <w:b/>
          <w:color w:val="C0504D"/>
          <w:sz w:val="22"/>
        </w:rPr>
        <w:t>Renewable Option Program</w:t>
      </w:r>
    </w:p>
    <w:p>
      <w:pPr>
        <w:pStyle w:val="BodyText"/>
        <w:spacing w:before="119"/>
        <w:ind w:left="120" w:right="235" w:hanging="1"/>
        <w:jc w:val="both"/>
      </w:pPr>
      <w:r>
        <w:rPr/>
        <w:t>Through the City’s partnership with the Renewable Option Program offered by the Bonneville Environmental Foundation (BEF), Richland residents can affordably purchase the environmental benefits of wind power generated throughout the Pacific Northwest. BEF’s Green-e Energy Certified Renewable Option Renewable Energy Credits (RECs) represent renewable energy sources from Pacific Northwest projects where clean zero-emission wind energy has been delivered to the North American power grid to replace fossil fuel based electricity.</w:t>
      </w:r>
    </w:p>
    <w:p>
      <w:pPr>
        <w:pStyle w:val="BodyText"/>
        <w:spacing w:before="120"/>
        <w:ind w:left="120" w:right="236"/>
        <w:jc w:val="both"/>
      </w:pPr>
      <w:r>
        <w:rPr/>
        <w:t>Each</w:t>
      </w:r>
      <w:r>
        <w:rPr>
          <w:spacing w:val="-11"/>
        </w:rPr>
        <w:t> </w:t>
      </w:r>
      <w:r>
        <w:rPr/>
        <w:t>block</w:t>
      </w:r>
      <w:r>
        <w:rPr>
          <w:spacing w:val="-12"/>
        </w:rPr>
        <w:t> </w:t>
      </w:r>
      <w:r>
        <w:rPr/>
        <w:t>of</w:t>
      </w:r>
      <w:r>
        <w:rPr>
          <w:spacing w:val="-11"/>
        </w:rPr>
        <w:t> </w:t>
      </w:r>
      <w:r>
        <w:rPr/>
        <w:t>Renewable</w:t>
      </w:r>
      <w:r>
        <w:rPr>
          <w:spacing w:val="-14"/>
        </w:rPr>
        <w:t> </w:t>
      </w:r>
      <w:r>
        <w:rPr/>
        <w:t>Option</w:t>
      </w:r>
      <w:r>
        <w:rPr>
          <w:spacing w:val="-12"/>
        </w:rPr>
        <w:t> </w:t>
      </w:r>
      <w:r>
        <w:rPr/>
        <w:t>RECs</w:t>
      </w:r>
      <w:r>
        <w:rPr>
          <w:spacing w:val="-9"/>
        </w:rPr>
        <w:t> </w:t>
      </w:r>
      <w:r>
        <w:rPr/>
        <w:t>represents</w:t>
      </w:r>
      <w:r>
        <w:rPr>
          <w:spacing w:val="-10"/>
        </w:rPr>
        <w:t> </w:t>
      </w:r>
      <w:r>
        <w:rPr/>
        <w:t>the</w:t>
      </w:r>
      <w:r>
        <w:rPr>
          <w:spacing w:val="-11"/>
        </w:rPr>
        <w:t> </w:t>
      </w:r>
      <w:r>
        <w:rPr/>
        <w:t>environmental</w:t>
      </w:r>
      <w:r>
        <w:rPr>
          <w:spacing w:val="-11"/>
        </w:rPr>
        <w:t> </w:t>
      </w:r>
      <w:r>
        <w:rPr/>
        <w:t>attributes</w:t>
      </w:r>
      <w:r>
        <w:rPr>
          <w:spacing w:val="-10"/>
        </w:rPr>
        <w:t> </w:t>
      </w:r>
      <w:r>
        <w:rPr/>
        <w:t>of</w:t>
      </w:r>
      <w:r>
        <w:rPr>
          <w:spacing w:val="-11"/>
        </w:rPr>
        <w:t> </w:t>
      </w:r>
      <w:r>
        <w:rPr/>
        <w:t>100</w:t>
      </w:r>
      <w:r>
        <w:rPr>
          <w:spacing w:val="-10"/>
        </w:rPr>
        <w:t> </w:t>
      </w:r>
      <w:r>
        <w:rPr/>
        <w:t>kilowatt-hours</w:t>
      </w:r>
      <w:bookmarkStart w:name="Solar Power and Net Metering" w:id="219"/>
      <w:bookmarkEnd w:id="219"/>
      <w:r>
        <w:rPr/>
      </w:r>
      <w:r>
        <w:rPr/>
        <w:t> of electricity generated from wind energy facilities throughout the Pacific</w:t>
      </w:r>
      <w:r>
        <w:rPr>
          <w:spacing w:val="-16"/>
        </w:rPr>
        <w:t> </w:t>
      </w:r>
      <w:r>
        <w:rPr/>
        <w:t>Northwest.</w:t>
      </w:r>
    </w:p>
    <w:p>
      <w:pPr>
        <w:spacing w:before="202"/>
        <w:ind w:left="120" w:right="0" w:firstLine="0"/>
        <w:jc w:val="both"/>
        <w:rPr>
          <w:b/>
          <w:sz w:val="22"/>
        </w:rPr>
      </w:pPr>
      <w:r>
        <w:rPr>
          <w:b/>
          <w:color w:val="C0504D"/>
          <w:sz w:val="22"/>
        </w:rPr>
        <w:t>Solar Power and Net Metering</w:t>
      </w:r>
    </w:p>
    <w:p>
      <w:pPr>
        <w:pStyle w:val="BodyText"/>
        <w:spacing w:before="119"/>
        <w:ind w:left="120" w:right="236"/>
        <w:jc w:val="both"/>
      </w:pPr>
      <w:r>
        <w:rPr/>
        <w:t>The</w:t>
      </w:r>
      <w:r>
        <w:rPr>
          <w:spacing w:val="-11"/>
        </w:rPr>
        <w:t> </w:t>
      </w:r>
      <w:r>
        <w:rPr/>
        <w:t>City</w:t>
      </w:r>
      <w:r>
        <w:rPr>
          <w:spacing w:val="-10"/>
        </w:rPr>
        <w:t> </w:t>
      </w:r>
      <w:r>
        <w:rPr/>
        <w:t>offers</w:t>
      </w:r>
      <w:r>
        <w:rPr>
          <w:spacing w:val="-9"/>
        </w:rPr>
        <w:t> </w:t>
      </w:r>
      <w:r>
        <w:rPr/>
        <w:t>low-interest</w:t>
      </w:r>
      <w:r>
        <w:rPr>
          <w:spacing w:val="-9"/>
        </w:rPr>
        <w:t> </w:t>
      </w:r>
      <w:r>
        <w:rPr/>
        <w:t>loans</w:t>
      </w:r>
      <w:r>
        <w:rPr>
          <w:spacing w:val="-7"/>
        </w:rPr>
        <w:t> </w:t>
      </w:r>
      <w:r>
        <w:rPr/>
        <w:t>to</w:t>
      </w:r>
      <w:r>
        <w:rPr>
          <w:spacing w:val="-11"/>
        </w:rPr>
        <w:t> </w:t>
      </w:r>
      <w:r>
        <w:rPr/>
        <w:t>promote</w:t>
      </w:r>
      <w:r>
        <w:rPr>
          <w:spacing w:val="-11"/>
        </w:rPr>
        <w:t> </w:t>
      </w:r>
      <w:r>
        <w:rPr/>
        <w:t>the</w:t>
      </w:r>
      <w:r>
        <w:rPr>
          <w:spacing w:val="-11"/>
        </w:rPr>
        <w:t> </w:t>
      </w:r>
      <w:r>
        <w:rPr/>
        <w:t>use</w:t>
      </w:r>
      <w:r>
        <w:rPr>
          <w:spacing w:val="-9"/>
        </w:rPr>
        <w:t> </w:t>
      </w:r>
      <w:r>
        <w:rPr/>
        <w:t>of</w:t>
      </w:r>
      <w:r>
        <w:rPr>
          <w:spacing w:val="-10"/>
        </w:rPr>
        <w:t> </w:t>
      </w:r>
      <w:r>
        <w:rPr/>
        <w:t>solar</w:t>
      </w:r>
      <w:r>
        <w:rPr>
          <w:spacing w:val="-9"/>
        </w:rPr>
        <w:t> </w:t>
      </w:r>
      <w:r>
        <w:rPr/>
        <w:t>power.</w:t>
      </w:r>
      <w:r>
        <w:rPr>
          <w:spacing w:val="-11"/>
        </w:rPr>
        <w:t> </w:t>
      </w:r>
      <w:r>
        <w:rPr/>
        <w:t>The</w:t>
      </w:r>
      <w:r>
        <w:rPr>
          <w:spacing w:val="-10"/>
        </w:rPr>
        <w:t> </w:t>
      </w:r>
      <w:r>
        <w:rPr/>
        <w:t>loan</w:t>
      </w:r>
      <w:r>
        <w:rPr>
          <w:spacing w:val="-12"/>
        </w:rPr>
        <w:t> </w:t>
      </w:r>
      <w:r>
        <w:rPr/>
        <w:t>period</w:t>
      </w:r>
      <w:r>
        <w:rPr>
          <w:spacing w:val="-11"/>
        </w:rPr>
        <w:t> </w:t>
      </w:r>
      <w:r>
        <w:rPr/>
        <w:t>is</w:t>
      </w:r>
      <w:r>
        <w:rPr>
          <w:spacing w:val="-8"/>
        </w:rPr>
        <w:t> </w:t>
      </w:r>
      <w:r>
        <w:rPr/>
        <w:t>up</w:t>
      </w:r>
      <w:r>
        <w:rPr>
          <w:spacing w:val="-8"/>
        </w:rPr>
        <w:t> </w:t>
      </w:r>
      <w:r>
        <w:rPr/>
        <w:t>to</w:t>
      </w:r>
      <w:r>
        <w:rPr>
          <w:spacing w:val="-9"/>
        </w:rPr>
        <w:t> </w:t>
      </w:r>
      <w:r>
        <w:rPr/>
        <w:t>10</w:t>
      </w:r>
      <w:r>
        <w:rPr>
          <w:spacing w:val="-11"/>
        </w:rPr>
        <w:t> </w:t>
      </w:r>
      <w:r>
        <w:rPr/>
        <w:t>years for up to $5,000 per installed kilowatt (kW), not to exceed $15,000. The customer must agree to maintain the system and allow the City to claim the environmental</w:t>
      </w:r>
      <w:r>
        <w:rPr>
          <w:spacing w:val="-21"/>
        </w:rPr>
        <w:t> </w:t>
      </w:r>
      <w:r>
        <w:rPr/>
        <w:t>benefits.</w:t>
      </w:r>
    </w:p>
    <w:p>
      <w:pPr>
        <w:spacing w:before="200"/>
        <w:ind w:left="120" w:right="0" w:firstLine="0"/>
        <w:jc w:val="both"/>
        <w:rPr>
          <w:b/>
          <w:sz w:val="24"/>
        </w:rPr>
      </w:pPr>
      <w:bookmarkStart w:name="LEVEL OF SERVICE (UTILITY SERVICE AREA)" w:id="220"/>
      <w:bookmarkEnd w:id="220"/>
      <w:r>
        <w:rPr/>
      </w:r>
      <w:r>
        <w:rPr>
          <w:b/>
          <w:sz w:val="24"/>
        </w:rPr>
        <w:t>LEVEL OF SERVICE (UTILITY SERVICE AREA)</w:t>
      </w:r>
    </w:p>
    <w:p>
      <w:pPr>
        <w:pStyle w:val="BodyText"/>
        <w:spacing w:before="120"/>
        <w:ind w:left="120" w:right="234"/>
        <w:jc w:val="both"/>
      </w:pPr>
      <w:r>
        <w:rPr/>
        <w:t>The level of service set by the RES and BPA for their respective portions of the system is based on performance.</w:t>
      </w:r>
      <w:r>
        <w:rPr>
          <w:spacing w:val="-4"/>
        </w:rPr>
        <w:t> </w:t>
      </w:r>
      <w:r>
        <w:rPr/>
        <w:t>The</w:t>
      </w:r>
      <w:r>
        <w:rPr>
          <w:spacing w:val="-5"/>
        </w:rPr>
        <w:t> </w:t>
      </w:r>
      <w:r>
        <w:rPr/>
        <w:t>goal</w:t>
      </w:r>
      <w:r>
        <w:rPr>
          <w:spacing w:val="-7"/>
        </w:rPr>
        <w:t> </w:t>
      </w:r>
      <w:r>
        <w:rPr/>
        <w:t>is</w:t>
      </w:r>
      <w:r>
        <w:rPr>
          <w:spacing w:val="-5"/>
        </w:rPr>
        <w:t> </w:t>
      </w:r>
      <w:r>
        <w:rPr/>
        <w:t>an</w:t>
      </w:r>
      <w:r>
        <w:rPr>
          <w:spacing w:val="-5"/>
        </w:rPr>
        <w:t> </w:t>
      </w:r>
      <w:r>
        <w:rPr/>
        <w:t>N-1</w:t>
      </w:r>
      <w:r>
        <w:rPr>
          <w:spacing w:val="-6"/>
        </w:rPr>
        <w:t> </w:t>
      </w:r>
      <w:r>
        <w:rPr/>
        <w:t>contingency,</w:t>
      </w:r>
      <w:r>
        <w:rPr>
          <w:spacing w:val="-3"/>
        </w:rPr>
        <w:t> </w:t>
      </w:r>
      <w:r>
        <w:rPr/>
        <w:t>which</w:t>
      </w:r>
      <w:r>
        <w:rPr>
          <w:spacing w:val="-6"/>
        </w:rPr>
        <w:t> </w:t>
      </w:r>
      <w:r>
        <w:rPr/>
        <w:t>means</w:t>
      </w:r>
      <w:r>
        <w:rPr>
          <w:spacing w:val="-2"/>
        </w:rPr>
        <w:t> </w:t>
      </w:r>
      <w:r>
        <w:rPr/>
        <w:t>that</w:t>
      </w:r>
      <w:r>
        <w:rPr>
          <w:spacing w:val="-5"/>
        </w:rPr>
        <w:t> </w:t>
      </w:r>
      <w:r>
        <w:rPr/>
        <w:t>one</w:t>
      </w:r>
      <w:r>
        <w:rPr>
          <w:spacing w:val="-3"/>
        </w:rPr>
        <w:t> </w:t>
      </w:r>
      <w:r>
        <w:rPr/>
        <w:t>failure</w:t>
      </w:r>
      <w:r>
        <w:rPr>
          <w:spacing w:val="-5"/>
        </w:rPr>
        <w:t> </w:t>
      </w:r>
      <w:r>
        <w:rPr/>
        <w:t>in</w:t>
      </w:r>
      <w:r>
        <w:rPr>
          <w:spacing w:val="-5"/>
        </w:rPr>
        <w:t> </w:t>
      </w:r>
      <w:r>
        <w:rPr/>
        <w:t>system</w:t>
      </w:r>
      <w:r>
        <w:rPr>
          <w:spacing w:val="-2"/>
        </w:rPr>
        <w:t> </w:t>
      </w:r>
      <w:r>
        <w:rPr/>
        <w:t>equipment</w:t>
      </w:r>
      <w:r>
        <w:rPr>
          <w:spacing w:val="-5"/>
        </w:rPr>
        <w:t> </w:t>
      </w:r>
      <w:r>
        <w:rPr/>
        <w:t>will not cause the failure of other system components, and the failure can be picked up by other components within eight</w:t>
      </w:r>
      <w:r>
        <w:rPr>
          <w:spacing w:val="-7"/>
        </w:rPr>
        <w:t> </w:t>
      </w:r>
      <w:r>
        <w:rPr/>
        <w:t>hours.</w:t>
      </w:r>
    </w:p>
    <w:p>
      <w:pPr>
        <w:pStyle w:val="BodyText"/>
        <w:spacing w:before="118"/>
        <w:ind w:left="120" w:right="235"/>
        <w:jc w:val="both"/>
      </w:pPr>
      <w:r>
        <w:rPr/>
        <w:t>The City of Richland currently provides electrical service throughout most of the UGA. Under its Utility</w:t>
      </w:r>
      <w:r>
        <w:rPr>
          <w:spacing w:val="-4"/>
        </w:rPr>
        <w:t> </w:t>
      </w:r>
      <w:r>
        <w:rPr/>
        <w:t>Service</w:t>
      </w:r>
      <w:r>
        <w:rPr>
          <w:spacing w:val="-2"/>
        </w:rPr>
        <w:t> </w:t>
      </w:r>
      <w:r>
        <w:rPr/>
        <w:t>Area</w:t>
      </w:r>
      <w:r>
        <w:rPr>
          <w:spacing w:val="-4"/>
        </w:rPr>
        <w:t> </w:t>
      </w:r>
      <w:r>
        <w:rPr/>
        <w:t>Policy,</w:t>
      </w:r>
      <w:r>
        <w:rPr>
          <w:spacing w:val="-2"/>
        </w:rPr>
        <w:t> </w:t>
      </w:r>
      <w:r>
        <w:rPr/>
        <w:t>it</w:t>
      </w:r>
      <w:r>
        <w:rPr>
          <w:spacing w:val="-5"/>
        </w:rPr>
        <w:t> </w:t>
      </w:r>
      <w:r>
        <w:rPr/>
        <w:t>is</w:t>
      </w:r>
      <w:r>
        <w:rPr>
          <w:spacing w:val="-1"/>
        </w:rPr>
        <w:t> </w:t>
      </w:r>
      <w:r>
        <w:rPr/>
        <w:t>the</w:t>
      </w:r>
      <w:r>
        <w:rPr>
          <w:spacing w:val="-4"/>
        </w:rPr>
        <w:t> </w:t>
      </w:r>
      <w:r>
        <w:rPr/>
        <w:t>City’s</w:t>
      </w:r>
      <w:r>
        <w:rPr>
          <w:spacing w:val="-3"/>
        </w:rPr>
        <w:t> </w:t>
      </w:r>
      <w:r>
        <w:rPr/>
        <w:t>goal</w:t>
      </w:r>
      <w:r>
        <w:rPr>
          <w:spacing w:val="-2"/>
        </w:rPr>
        <w:t> </w:t>
      </w:r>
      <w:r>
        <w:rPr/>
        <w:t>to</w:t>
      </w:r>
      <w:r>
        <w:rPr>
          <w:spacing w:val="-3"/>
        </w:rPr>
        <w:t> </w:t>
      </w:r>
      <w:r>
        <w:rPr/>
        <w:t>provide</w:t>
      </w:r>
      <w:r>
        <w:rPr>
          <w:spacing w:val="-4"/>
        </w:rPr>
        <w:t> </w:t>
      </w:r>
      <w:r>
        <w:rPr/>
        <w:t>service</w:t>
      </w:r>
      <w:r>
        <w:rPr>
          <w:spacing w:val="-2"/>
        </w:rPr>
        <w:t> </w:t>
      </w:r>
      <w:r>
        <w:rPr/>
        <w:t>throughout</w:t>
      </w:r>
      <w:r>
        <w:rPr>
          <w:spacing w:val="-3"/>
        </w:rPr>
        <w:t> </w:t>
      </w:r>
      <w:r>
        <w:rPr/>
        <w:t>the</w:t>
      </w:r>
      <w:r>
        <w:rPr>
          <w:spacing w:val="-2"/>
        </w:rPr>
        <w:t> </w:t>
      </w:r>
      <w:r>
        <w:rPr/>
        <w:t>City</w:t>
      </w:r>
      <w:r>
        <w:rPr>
          <w:spacing w:val="-3"/>
        </w:rPr>
        <w:t> </w:t>
      </w:r>
      <w:r>
        <w:rPr/>
        <w:t>limits,</w:t>
      </w:r>
      <w:r>
        <w:rPr>
          <w:spacing w:val="-4"/>
        </w:rPr>
        <w:t> </w:t>
      </w:r>
      <w:r>
        <w:rPr/>
        <w:t>UGA,</w:t>
      </w:r>
      <w:r>
        <w:rPr>
          <w:spacing w:val="-4"/>
        </w:rPr>
        <w:t> </w:t>
      </w:r>
      <w:r>
        <w:rPr/>
        <w:t>and service area agreements with adjoining BPUD and BREA utilities. The greater of the City limits, UGA, and service area agreements constitutes its current utility service area and planned future service areas.</w:t>
      </w:r>
    </w:p>
    <w:p>
      <w:pPr>
        <w:spacing w:before="201"/>
        <w:ind w:left="120" w:right="0" w:firstLine="0"/>
        <w:jc w:val="both"/>
        <w:rPr>
          <w:b/>
          <w:sz w:val="24"/>
        </w:rPr>
      </w:pPr>
      <w:bookmarkStart w:name="FUTURE DEFICIENCIES and RECOMMENDATIONS" w:id="221"/>
      <w:bookmarkEnd w:id="221"/>
      <w:r>
        <w:rPr/>
      </w:r>
      <w:r>
        <w:rPr>
          <w:b/>
          <w:sz w:val="24"/>
        </w:rPr>
        <w:t>FUTURE DEFICIENCIES AND RECOMMENDATIONS</w:t>
      </w:r>
    </w:p>
    <w:p>
      <w:pPr>
        <w:pStyle w:val="BodyText"/>
        <w:spacing w:before="119"/>
        <w:ind w:left="120" w:right="233"/>
        <w:jc w:val="both"/>
      </w:pPr>
      <w:r>
        <w:rPr/>
        <w:t>The City has identified power supply system capital improvement projects that will be needed to meet the demands of growth as detailed in the Energy Service Department’s Capital Facilities Plan for 2016-2027. The list consists of electrical projects with an estimated cost of approximately $60 million during this period. The $60 million capital cost is derived from the latest long-range capital expenditure</w:t>
      </w:r>
      <w:r>
        <w:rPr>
          <w:spacing w:val="-5"/>
        </w:rPr>
        <w:t> </w:t>
      </w:r>
      <w:r>
        <w:rPr/>
        <w:t>forecast</w:t>
      </w:r>
      <w:r>
        <w:rPr>
          <w:spacing w:val="-5"/>
        </w:rPr>
        <w:t> </w:t>
      </w:r>
      <w:r>
        <w:rPr/>
        <w:t>and</w:t>
      </w:r>
      <w:r>
        <w:rPr>
          <w:spacing w:val="-7"/>
        </w:rPr>
        <w:t> </w:t>
      </w:r>
      <w:r>
        <w:rPr/>
        <w:t>extrapolating</w:t>
      </w:r>
      <w:r>
        <w:rPr>
          <w:spacing w:val="-4"/>
        </w:rPr>
        <w:t> </w:t>
      </w:r>
      <w:r>
        <w:rPr/>
        <w:t>the</w:t>
      </w:r>
      <w:r>
        <w:rPr>
          <w:spacing w:val="-4"/>
        </w:rPr>
        <w:t> </w:t>
      </w:r>
      <w:r>
        <w:rPr/>
        <w:t>average</w:t>
      </w:r>
      <w:r>
        <w:rPr>
          <w:spacing w:val="-7"/>
        </w:rPr>
        <w:t> </w:t>
      </w:r>
      <w:r>
        <w:rPr/>
        <w:t>annual</w:t>
      </w:r>
      <w:r>
        <w:rPr>
          <w:spacing w:val="-4"/>
        </w:rPr>
        <w:t> </w:t>
      </w:r>
      <w:r>
        <w:rPr/>
        <w:t>expenditure</w:t>
      </w:r>
      <w:r>
        <w:rPr>
          <w:spacing w:val="-4"/>
        </w:rPr>
        <w:t> </w:t>
      </w:r>
      <w:r>
        <w:rPr/>
        <w:t>through</w:t>
      </w:r>
      <w:r>
        <w:rPr>
          <w:spacing w:val="-7"/>
        </w:rPr>
        <w:t> </w:t>
      </w:r>
      <w:r>
        <w:rPr/>
        <w:t>calendar</w:t>
      </w:r>
      <w:r>
        <w:rPr>
          <w:spacing w:val="-5"/>
        </w:rPr>
        <w:t> </w:t>
      </w:r>
      <w:r>
        <w:rPr/>
        <w:t>year</w:t>
      </w:r>
      <w:r>
        <w:rPr>
          <w:spacing w:val="-5"/>
        </w:rPr>
        <w:t> </w:t>
      </w:r>
      <w:r>
        <w:rPr/>
        <w:t>2027.</w:t>
      </w:r>
    </w:p>
    <w:p>
      <w:pPr>
        <w:pStyle w:val="BodyText"/>
        <w:spacing w:before="121"/>
        <w:ind w:left="120" w:right="234"/>
        <w:jc w:val="both"/>
      </w:pPr>
      <w:r>
        <w:rPr/>
        <w:t>Specific projects have been identified for the second planning period. Critical service deficiencies in this period could result unless needed capital improvements are identified and implemented.</w:t>
      </w:r>
    </w:p>
    <w:p>
      <w:pPr>
        <w:spacing w:after="0"/>
        <w:jc w:val="both"/>
        <w:sectPr>
          <w:pgSz w:w="12240" w:h="15840"/>
          <w:pgMar w:header="0" w:footer="1052" w:top="1360" w:bottom="1320" w:left="1320" w:right="1200"/>
        </w:sectPr>
      </w:pPr>
    </w:p>
    <w:p>
      <w:pPr>
        <w:pStyle w:val="BodyText"/>
        <w:spacing w:before="80"/>
        <w:ind w:left="120" w:right="234"/>
        <w:jc w:val="both"/>
      </w:pPr>
      <w:r>
        <w:rPr/>
        <w:t>The</w:t>
      </w:r>
      <w:r>
        <w:rPr>
          <w:spacing w:val="-7"/>
        </w:rPr>
        <w:t> </w:t>
      </w:r>
      <w:r>
        <w:rPr/>
        <w:t>Energy</w:t>
      </w:r>
      <w:r>
        <w:rPr>
          <w:spacing w:val="-8"/>
        </w:rPr>
        <w:t> </w:t>
      </w:r>
      <w:r>
        <w:rPr/>
        <w:t>Services</w:t>
      </w:r>
      <w:r>
        <w:rPr>
          <w:spacing w:val="-5"/>
        </w:rPr>
        <w:t> </w:t>
      </w:r>
      <w:r>
        <w:rPr/>
        <w:t>Department</w:t>
      </w:r>
      <w:r>
        <w:rPr>
          <w:spacing w:val="-8"/>
        </w:rPr>
        <w:t> </w:t>
      </w:r>
      <w:r>
        <w:rPr/>
        <w:t>has</w:t>
      </w:r>
      <w:r>
        <w:rPr>
          <w:spacing w:val="-5"/>
        </w:rPr>
        <w:t> </w:t>
      </w:r>
      <w:r>
        <w:rPr/>
        <w:t>identified</w:t>
      </w:r>
      <w:r>
        <w:rPr>
          <w:spacing w:val="-7"/>
        </w:rPr>
        <w:t> </w:t>
      </w:r>
      <w:r>
        <w:rPr/>
        <w:t>electric</w:t>
      </w:r>
      <w:r>
        <w:rPr>
          <w:spacing w:val="-7"/>
        </w:rPr>
        <w:t> </w:t>
      </w:r>
      <w:r>
        <w:rPr/>
        <w:t>utility</w:t>
      </w:r>
      <w:r>
        <w:rPr>
          <w:spacing w:val="-8"/>
        </w:rPr>
        <w:t> </w:t>
      </w:r>
      <w:r>
        <w:rPr/>
        <w:t>capital</w:t>
      </w:r>
      <w:r>
        <w:rPr>
          <w:spacing w:val="-7"/>
        </w:rPr>
        <w:t> </w:t>
      </w:r>
      <w:r>
        <w:rPr/>
        <w:t>improvement</w:t>
      </w:r>
      <w:r>
        <w:rPr>
          <w:spacing w:val="-8"/>
        </w:rPr>
        <w:t> </w:t>
      </w:r>
      <w:r>
        <w:rPr/>
        <w:t>projects</w:t>
      </w:r>
      <w:r>
        <w:rPr>
          <w:spacing w:val="-5"/>
        </w:rPr>
        <w:t> </w:t>
      </w:r>
      <w:r>
        <w:rPr/>
        <w:t>that</w:t>
      </w:r>
      <w:r>
        <w:rPr>
          <w:spacing w:val="-7"/>
        </w:rPr>
        <w:t> </w:t>
      </w:r>
      <w:r>
        <w:rPr/>
        <w:t>will be needed to meet the demands of growth through calendar year 2022. Cost of service and sources of funding are identified in Table</w:t>
      </w:r>
      <w:r>
        <w:rPr>
          <w:spacing w:val="-8"/>
        </w:rPr>
        <w:t> </w:t>
      </w:r>
      <w:r>
        <w:rPr/>
        <w:t>U-19.</w:t>
      </w:r>
    </w:p>
    <w:p>
      <w:pPr>
        <w:spacing w:before="118"/>
        <w:ind w:left="120" w:right="0" w:firstLine="0"/>
        <w:jc w:val="both"/>
        <w:rPr>
          <w:rFonts w:ascii="Arial"/>
          <w:b/>
          <w:sz w:val="20"/>
        </w:rPr>
      </w:pPr>
      <w:r>
        <w:rPr>
          <w:rFonts w:ascii="Arial"/>
          <w:b/>
          <w:sz w:val="20"/>
        </w:rPr>
        <w:t>Table U-19: Electrical Power Facilities Improvement and Fund Resources</w:t>
      </w:r>
    </w:p>
    <w:p>
      <w:pPr>
        <w:pStyle w:val="BodyText"/>
        <w:spacing w:before="6"/>
        <w:rPr>
          <w:rFonts w:ascii="Arial"/>
          <w:b/>
          <w:sz w:val="10"/>
        </w:rPr>
      </w:pPr>
    </w:p>
    <w:tbl>
      <w:tblPr>
        <w:tblW w:w="0" w:type="auto"/>
        <w:jc w:val="left"/>
        <w:tblInd w:w="3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20"/>
        <w:gridCol w:w="1889"/>
        <w:gridCol w:w="2340"/>
      </w:tblGrid>
      <w:tr>
        <w:trPr>
          <w:trHeight w:val="405" w:hRule="atLeast"/>
        </w:trPr>
        <w:tc>
          <w:tcPr>
            <w:tcW w:w="3420" w:type="dxa"/>
            <w:shd w:val="clear" w:color="auto" w:fill="B8CCE3"/>
          </w:tcPr>
          <w:p>
            <w:pPr>
              <w:pStyle w:val="TableParagraph"/>
              <w:spacing w:before="119"/>
              <w:rPr>
                <w:b/>
                <w:sz w:val="22"/>
              </w:rPr>
            </w:pPr>
            <w:r>
              <w:rPr>
                <w:b/>
                <w:sz w:val="22"/>
              </w:rPr>
              <w:t>Facilities</w:t>
            </w:r>
          </w:p>
        </w:tc>
        <w:tc>
          <w:tcPr>
            <w:tcW w:w="1889" w:type="dxa"/>
            <w:shd w:val="clear" w:color="auto" w:fill="B8CCE3"/>
          </w:tcPr>
          <w:p>
            <w:pPr>
              <w:pStyle w:val="TableParagraph"/>
              <w:spacing w:before="119"/>
              <w:rPr>
                <w:b/>
                <w:sz w:val="22"/>
              </w:rPr>
            </w:pPr>
            <w:r>
              <w:rPr>
                <w:b/>
                <w:sz w:val="22"/>
              </w:rPr>
              <w:t>Total Cost</w:t>
            </w:r>
          </w:p>
        </w:tc>
        <w:tc>
          <w:tcPr>
            <w:tcW w:w="2340" w:type="dxa"/>
            <w:shd w:val="clear" w:color="auto" w:fill="B8CCE3"/>
          </w:tcPr>
          <w:p>
            <w:pPr>
              <w:pStyle w:val="TableParagraph"/>
              <w:spacing w:before="119"/>
              <w:rPr>
                <w:b/>
                <w:sz w:val="22"/>
              </w:rPr>
            </w:pPr>
            <w:r>
              <w:rPr>
                <w:b/>
                <w:sz w:val="22"/>
              </w:rPr>
              <w:t>Time-frame</w:t>
            </w:r>
          </w:p>
        </w:tc>
      </w:tr>
      <w:tr>
        <w:trPr>
          <w:trHeight w:val="316" w:hRule="atLeast"/>
        </w:trPr>
        <w:tc>
          <w:tcPr>
            <w:tcW w:w="3420" w:type="dxa"/>
          </w:tcPr>
          <w:p>
            <w:pPr>
              <w:pStyle w:val="TableParagraph"/>
              <w:spacing w:line="237" w:lineRule="exact"/>
              <w:rPr>
                <w:sz w:val="22"/>
              </w:rPr>
            </w:pPr>
            <w:r>
              <w:rPr>
                <w:sz w:val="22"/>
              </w:rPr>
              <w:t>Miscellaneous Electrical Projects</w:t>
            </w:r>
          </w:p>
        </w:tc>
        <w:tc>
          <w:tcPr>
            <w:tcW w:w="1889" w:type="dxa"/>
          </w:tcPr>
          <w:p>
            <w:pPr>
              <w:pStyle w:val="TableParagraph"/>
              <w:spacing w:line="237" w:lineRule="exact"/>
              <w:rPr>
                <w:sz w:val="22"/>
              </w:rPr>
            </w:pPr>
            <w:r>
              <w:rPr>
                <w:sz w:val="22"/>
              </w:rPr>
              <w:t>$81,754,000</w:t>
            </w:r>
          </w:p>
        </w:tc>
        <w:tc>
          <w:tcPr>
            <w:tcW w:w="2340" w:type="dxa"/>
          </w:tcPr>
          <w:p>
            <w:pPr>
              <w:pStyle w:val="TableParagraph"/>
              <w:spacing w:line="237" w:lineRule="exact"/>
              <w:rPr>
                <w:sz w:val="22"/>
              </w:rPr>
            </w:pPr>
            <w:r>
              <w:rPr>
                <w:sz w:val="22"/>
              </w:rPr>
              <w:t>2017-2022</w:t>
            </w:r>
          </w:p>
        </w:tc>
      </w:tr>
      <w:tr>
        <w:trPr>
          <w:trHeight w:val="405" w:hRule="atLeast"/>
        </w:trPr>
        <w:tc>
          <w:tcPr>
            <w:tcW w:w="3420" w:type="dxa"/>
            <w:shd w:val="clear" w:color="auto" w:fill="B8CCE3"/>
          </w:tcPr>
          <w:p>
            <w:pPr>
              <w:pStyle w:val="TableParagraph"/>
              <w:spacing w:before="119"/>
              <w:rPr>
                <w:b/>
                <w:sz w:val="22"/>
              </w:rPr>
            </w:pPr>
            <w:r>
              <w:rPr>
                <w:b/>
                <w:sz w:val="22"/>
              </w:rPr>
              <w:t>Funding Source</w:t>
            </w:r>
          </w:p>
        </w:tc>
        <w:tc>
          <w:tcPr>
            <w:tcW w:w="1889" w:type="dxa"/>
            <w:shd w:val="clear" w:color="auto" w:fill="B8CCE3"/>
          </w:tcPr>
          <w:p>
            <w:pPr>
              <w:pStyle w:val="TableParagraph"/>
              <w:spacing w:before="119"/>
              <w:rPr>
                <w:b/>
                <w:sz w:val="22"/>
              </w:rPr>
            </w:pPr>
            <w:r>
              <w:rPr>
                <w:b/>
                <w:sz w:val="22"/>
              </w:rPr>
              <w:t>Total Fund</w:t>
            </w:r>
          </w:p>
        </w:tc>
        <w:tc>
          <w:tcPr>
            <w:tcW w:w="2340" w:type="dxa"/>
            <w:shd w:val="clear" w:color="auto" w:fill="B8CCE3"/>
          </w:tcPr>
          <w:p>
            <w:pPr>
              <w:pStyle w:val="TableParagraph"/>
              <w:spacing w:before="0"/>
              <w:ind w:left="0"/>
              <w:rPr>
                <w:rFonts w:ascii="Times New Roman"/>
                <w:sz w:val="20"/>
              </w:rPr>
            </w:pPr>
          </w:p>
        </w:tc>
      </w:tr>
      <w:tr>
        <w:trPr>
          <w:trHeight w:val="316" w:hRule="atLeast"/>
        </w:trPr>
        <w:tc>
          <w:tcPr>
            <w:tcW w:w="3420" w:type="dxa"/>
          </w:tcPr>
          <w:p>
            <w:pPr>
              <w:pStyle w:val="TableParagraph"/>
              <w:spacing w:line="237" w:lineRule="exact"/>
              <w:rPr>
                <w:sz w:val="22"/>
              </w:rPr>
            </w:pPr>
            <w:r>
              <w:rPr>
                <w:sz w:val="22"/>
              </w:rPr>
              <w:t>Benton PUD Contributions</w:t>
            </w:r>
          </w:p>
        </w:tc>
        <w:tc>
          <w:tcPr>
            <w:tcW w:w="1889" w:type="dxa"/>
          </w:tcPr>
          <w:p>
            <w:pPr>
              <w:pStyle w:val="TableParagraph"/>
              <w:spacing w:line="237" w:lineRule="exact"/>
              <w:ind w:left="251"/>
              <w:rPr>
                <w:sz w:val="22"/>
              </w:rPr>
            </w:pPr>
            <w:r>
              <w:rPr>
                <w:sz w:val="22"/>
              </w:rPr>
              <w:t>$1,250,000</w:t>
            </w:r>
          </w:p>
        </w:tc>
        <w:tc>
          <w:tcPr>
            <w:tcW w:w="2340" w:type="dxa"/>
          </w:tcPr>
          <w:p>
            <w:pPr>
              <w:pStyle w:val="TableParagraph"/>
              <w:spacing w:line="237" w:lineRule="exact"/>
              <w:rPr>
                <w:sz w:val="22"/>
              </w:rPr>
            </w:pPr>
            <w:r>
              <w:rPr>
                <w:sz w:val="22"/>
              </w:rPr>
              <w:t>2016-2020</w:t>
            </w:r>
          </w:p>
        </w:tc>
      </w:tr>
      <w:tr>
        <w:trPr>
          <w:trHeight w:val="318" w:hRule="atLeast"/>
        </w:trPr>
        <w:tc>
          <w:tcPr>
            <w:tcW w:w="3420" w:type="dxa"/>
          </w:tcPr>
          <w:p>
            <w:pPr>
              <w:pStyle w:val="TableParagraph"/>
              <w:spacing w:line="239" w:lineRule="exact"/>
              <w:rPr>
                <w:sz w:val="22"/>
              </w:rPr>
            </w:pPr>
            <w:r>
              <w:rPr>
                <w:sz w:val="22"/>
              </w:rPr>
              <w:t>Bonds - Future Issue</w:t>
            </w:r>
          </w:p>
        </w:tc>
        <w:tc>
          <w:tcPr>
            <w:tcW w:w="1889" w:type="dxa"/>
          </w:tcPr>
          <w:p>
            <w:pPr>
              <w:pStyle w:val="TableParagraph"/>
              <w:spacing w:line="239" w:lineRule="exact"/>
              <w:ind w:left="155"/>
              <w:rPr>
                <w:sz w:val="22"/>
              </w:rPr>
            </w:pPr>
            <w:r>
              <w:rPr>
                <w:sz w:val="22"/>
              </w:rPr>
              <w:t>$21,955,000</w:t>
            </w:r>
          </w:p>
        </w:tc>
        <w:tc>
          <w:tcPr>
            <w:tcW w:w="2340" w:type="dxa"/>
          </w:tcPr>
          <w:p>
            <w:pPr>
              <w:pStyle w:val="TableParagraph"/>
              <w:spacing w:line="239" w:lineRule="exact"/>
              <w:rPr>
                <w:sz w:val="22"/>
              </w:rPr>
            </w:pPr>
            <w:r>
              <w:rPr>
                <w:sz w:val="22"/>
              </w:rPr>
              <w:t>2018-2022</w:t>
            </w:r>
          </w:p>
        </w:tc>
      </w:tr>
      <w:tr>
        <w:trPr>
          <w:trHeight w:val="318" w:hRule="atLeast"/>
        </w:trPr>
        <w:tc>
          <w:tcPr>
            <w:tcW w:w="3420" w:type="dxa"/>
          </w:tcPr>
          <w:p>
            <w:pPr>
              <w:pStyle w:val="TableParagraph"/>
              <w:spacing w:line="239" w:lineRule="exact"/>
              <w:rPr>
                <w:sz w:val="22"/>
              </w:rPr>
            </w:pPr>
            <w:r>
              <w:rPr>
                <w:sz w:val="22"/>
              </w:rPr>
              <w:t>Bonds - Prior Issue</w:t>
            </w:r>
          </w:p>
        </w:tc>
        <w:tc>
          <w:tcPr>
            <w:tcW w:w="1889" w:type="dxa"/>
          </w:tcPr>
          <w:p>
            <w:pPr>
              <w:pStyle w:val="TableParagraph"/>
              <w:spacing w:line="239" w:lineRule="exact"/>
              <w:ind w:left="155"/>
              <w:rPr>
                <w:sz w:val="22"/>
              </w:rPr>
            </w:pPr>
            <w:r>
              <w:rPr>
                <w:sz w:val="22"/>
              </w:rPr>
              <w:t>$21,254,000</w:t>
            </w:r>
          </w:p>
        </w:tc>
        <w:tc>
          <w:tcPr>
            <w:tcW w:w="2340" w:type="dxa"/>
          </w:tcPr>
          <w:p>
            <w:pPr>
              <w:pStyle w:val="TableParagraph"/>
              <w:spacing w:line="239" w:lineRule="exact"/>
              <w:rPr>
                <w:sz w:val="22"/>
              </w:rPr>
            </w:pPr>
            <w:r>
              <w:rPr>
                <w:sz w:val="22"/>
              </w:rPr>
              <w:t>2016-2018</w:t>
            </w:r>
          </w:p>
        </w:tc>
      </w:tr>
      <w:tr>
        <w:trPr>
          <w:trHeight w:val="316" w:hRule="atLeast"/>
        </w:trPr>
        <w:tc>
          <w:tcPr>
            <w:tcW w:w="3420" w:type="dxa"/>
          </w:tcPr>
          <w:p>
            <w:pPr>
              <w:pStyle w:val="TableParagraph"/>
              <w:spacing w:line="237" w:lineRule="exact"/>
              <w:rPr>
                <w:sz w:val="22"/>
              </w:rPr>
            </w:pPr>
            <w:r>
              <w:rPr>
                <w:sz w:val="22"/>
              </w:rPr>
              <w:t>Facility Fees</w:t>
            </w:r>
          </w:p>
        </w:tc>
        <w:tc>
          <w:tcPr>
            <w:tcW w:w="1889" w:type="dxa"/>
          </w:tcPr>
          <w:p>
            <w:pPr>
              <w:pStyle w:val="TableParagraph"/>
              <w:spacing w:line="237" w:lineRule="exact"/>
              <w:ind w:left="251"/>
              <w:rPr>
                <w:sz w:val="22"/>
              </w:rPr>
            </w:pPr>
            <w:r>
              <w:rPr>
                <w:sz w:val="22"/>
              </w:rPr>
              <w:t>$6,200,000</w:t>
            </w:r>
          </w:p>
        </w:tc>
        <w:tc>
          <w:tcPr>
            <w:tcW w:w="2340" w:type="dxa"/>
          </w:tcPr>
          <w:p>
            <w:pPr>
              <w:pStyle w:val="TableParagraph"/>
              <w:spacing w:line="237" w:lineRule="exact"/>
              <w:rPr>
                <w:sz w:val="22"/>
              </w:rPr>
            </w:pPr>
            <w:r>
              <w:rPr>
                <w:sz w:val="22"/>
              </w:rPr>
              <w:t>2016-2022</w:t>
            </w:r>
          </w:p>
        </w:tc>
      </w:tr>
      <w:tr>
        <w:trPr>
          <w:trHeight w:val="318" w:hRule="atLeast"/>
        </w:trPr>
        <w:tc>
          <w:tcPr>
            <w:tcW w:w="3420" w:type="dxa"/>
          </w:tcPr>
          <w:p>
            <w:pPr>
              <w:pStyle w:val="TableParagraph"/>
              <w:spacing w:line="239" w:lineRule="exact"/>
              <w:rPr>
                <w:sz w:val="22"/>
              </w:rPr>
            </w:pPr>
            <w:r>
              <w:rPr>
                <w:sz w:val="22"/>
              </w:rPr>
              <w:t>RAISE (LRF)</w:t>
            </w:r>
          </w:p>
        </w:tc>
        <w:tc>
          <w:tcPr>
            <w:tcW w:w="1889" w:type="dxa"/>
          </w:tcPr>
          <w:p>
            <w:pPr>
              <w:pStyle w:val="TableParagraph"/>
              <w:spacing w:line="239" w:lineRule="exact"/>
              <w:ind w:left="443"/>
              <w:rPr>
                <w:sz w:val="22"/>
              </w:rPr>
            </w:pPr>
            <w:r>
              <w:rPr>
                <w:sz w:val="22"/>
              </w:rPr>
              <w:t>$980,000</w:t>
            </w:r>
          </w:p>
        </w:tc>
        <w:tc>
          <w:tcPr>
            <w:tcW w:w="2340" w:type="dxa"/>
          </w:tcPr>
          <w:p>
            <w:pPr>
              <w:pStyle w:val="TableParagraph"/>
              <w:spacing w:line="239" w:lineRule="exact"/>
              <w:rPr>
                <w:sz w:val="22"/>
              </w:rPr>
            </w:pPr>
            <w:r>
              <w:rPr>
                <w:sz w:val="22"/>
              </w:rPr>
              <w:t>2017-2022</w:t>
            </w:r>
          </w:p>
        </w:tc>
      </w:tr>
      <w:tr>
        <w:trPr>
          <w:trHeight w:val="316" w:hRule="atLeast"/>
        </w:trPr>
        <w:tc>
          <w:tcPr>
            <w:tcW w:w="3420" w:type="dxa"/>
          </w:tcPr>
          <w:p>
            <w:pPr>
              <w:pStyle w:val="TableParagraph"/>
              <w:spacing w:line="237" w:lineRule="exact"/>
              <w:rPr>
                <w:sz w:val="22"/>
              </w:rPr>
            </w:pPr>
            <w:r>
              <w:rPr>
                <w:sz w:val="22"/>
              </w:rPr>
              <w:t>Rate Revenue</w:t>
            </w:r>
          </w:p>
        </w:tc>
        <w:tc>
          <w:tcPr>
            <w:tcW w:w="1889" w:type="dxa"/>
          </w:tcPr>
          <w:p>
            <w:pPr>
              <w:pStyle w:val="TableParagraph"/>
              <w:spacing w:line="237" w:lineRule="exact"/>
              <w:ind w:left="155"/>
              <w:rPr>
                <w:sz w:val="22"/>
              </w:rPr>
            </w:pPr>
            <w:r>
              <w:rPr>
                <w:sz w:val="22"/>
              </w:rPr>
              <w:t>$30,115,000</w:t>
            </w:r>
          </w:p>
        </w:tc>
        <w:tc>
          <w:tcPr>
            <w:tcW w:w="2340" w:type="dxa"/>
          </w:tcPr>
          <w:p>
            <w:pPr>
              <w:pStyle w:val="TableParagraph"/>
              <w:spacing w:line="237" w:lineRule="exact"/>
              <w:rPr>
                <w:sz w:val="22"/>
              </w:rPr>
            </w:pPr>
            <w:r>
              <w:rPr>
                <w:sz w:val="22"/>
              </w:rPr>
              <w:t>2016-2018</w:t>
            </w:r>
          </w:p>
        </w:tc>
      </w:tr>
      <w:tr>
        <w:trPr>
          <w:trHeight w:val="318" w:hRule="atLeast"/>
        </w:trPr>
        <w:tc>
          <w:tcPr>
            <w:tcW w:w="3420" w:type="dxa"/>
          </w:tcPr>
          <w:p>
            <w:pPr>
              <w:pStyle w:val="TableParagraph"/>
              <w:spacing w:line="237" w:lineRule="exact" w:before="62"/>
              <w:rPr>
                <w:b/>
                <w:sz w:val="22"/>
              </w:rPr>
            </w:pPr>
            <w:r>
              <w:rPr>
                <w:b/>
                <w:sz w:val="22"/>
              </w:rPr>
              <w:t>Total</w:t>
            </w:r>
          </w:p>
        </w:tc>
        <w:tc>
          <w:tcPr>
            <w:tcW w:w="1889" w:type="dxa"/>
          </w:tcPr>
          <w:p>
            <w:pPr>
              <w:pStyle w:val="TableParagraph"/>
              <w:spacing w:line="237" w:lineRule="exact" w:before="62"/>
              <w:ind w:left="155"/>
              <w:rPr>
                <w:b/>
                <w:sz w:val="22"/>
              </w:rPr>
            </w:pPr>
            <w:r>
              <w:rPr>
                <w:b/>
                <w:sz w:val="22"/>
              </w:rPr>
              <w:t>$81,754,000</w:t>
            </w:r>
          </w:p>
        </w:tc>
        <w:tc>
          <w:tcPr>
            <w:tcW w:w="2340" w:type="dxa"/>
          </w:tcPr>
          <w:p>
            <w:pPr>
              <w:pStyle w:val="TableParagraph"/>
              <w:spacing w:before="0"/>
              <w:ind w:left="0"/>
              <w:rPr>
                <w:rFonts w:ascii="Times New Roman"/>
                <w:sz w:val="20"/>
              </w:rPr>
            </w:pPr>
          </w:p>
        </w:tc>
      </w:tr>
    </w:tbl>
    <w:p>
      <w:pPr>
        <w:pStyle w:val="BodyText"/>
        <w:spacing w:before="119"/>
        <w:ind w:left="119" w:right="236"/>
        <w:jc w:val="both"/>
      </w:pPr>
      <w:r>
        <w:rPr/>
        <w:t>Long-range</w:t>
      </w:r>
      <w:r>
        <w:rPr>
          <w:spacing w:val="-6"/>
        </w:rPr>
        <w:t> </w:t>
      </w:r>
      <w:r>
        <w:rPr/>
        <w:t>capital</w:t>
      </w:r>
      <w:r>
        <w:rPr>
          <w:spacing w:val="-6"/>
        </w:rPr>
        <w:t> </w:t>
      </w:r>
      <w:r>
        <w:rPr/>
        <w:t>projects</w:t>
      </w:r>
      <w:r>
        <w:rPr>
          <w:spacing w:val="-5"/>
        </w:rPr>
        <w:t> </w:t>
      </w:r>
      <w:r>
        <w:rPr/>
        <w:t>for</w:t>
      </w:r>
      <w:r>
        <w:rPr>
          <w:spacing w:val="-7"/>
        </w:rPr>
        <w:t> </w:t>
      </w:r>
      <w:r>
        <w:rPr/>
        <w:t>the</w:t>
      </w:r>
      <w:r>
        <w:rPr>
          <w:spacing w:val="-5"/>
        </w:rPr>
        <w:t> </w:t>
      </w:r>
      <w:r>
        <w:rPr/>
        <w:t>power</w:t>
      </w:r>
      <w:r>
        <w:rPr>
          <w:spacing w:val="-6"/>
        </w:rPr>
        <w:t> </w:t>
      </w:r>
      <w:r>
        <w:rPr/>
        <w:t>supply</w:t>
      </w:r>
      <w:r>
        <w:rPr>
          <w:spacing w:val="-8"/>
        </w:rPr>
        <w:t> </w:t>
      </w:r>
      <w:r>
        <w:rPr/>
        <w:t>system</w:t>
      </w:r>
      <w:r>
        <w:rPr>
          <w:spacing w:val="-5"/>
        </w:rPr>
        <w:t> </w:t>
      </w:r>
      <w:r>
        <w:rPr/>
        <w:t>are</w:t>
      </w:r>
      <w:r>
        <w:rPr>
          <w:spacing w:val="-5"/>
        </w:rPr>
        <w:t> </w:t>
      </w:r>
      <w:r>
        <w:rPr/>
        <w:t>identified</w:t>
      </w:r>
      <w:r>
        <w:rPr>
          <w:spacing w:val="-7"/>
        </w:rPr>
        <w:t> </w:t>
      </w:r>
      <w:r>
        <w:rPr/>
        <w:t>and</w:t>
      </w:r>
      <w:r>
        <w:rPr>
          <w:spacing w:val="-6"/>
        </w:rPr>
        <w:t> </w:t>
      </w:r>
      <w:r>
        <w:rPr/>
        <w:t>will</w:t>
      </w:r>
      <w:r>
        <w:rPr>
          <w:spacing w:val="-6"/>
        </w:rPr>
        <w:t> </w:t>
      </w:r>
      <w:r>
        <w:rPr/>
        <w:t>be</w:t>
      </w:r>
      <w:r>
        <w:rPr>
          <w:spacing w:val="-6"/>
        </w:rPr>
        <w:t> </w:t>
      </w:r>
      <w:r>
        <w:rPr/>
        <w:t>based</w:t>
      </w:r>
      <w:r>
        <w:rPr>
          <w:spacing w:val="-6"/>
        </w:rPr>
        <w:t> </w:t>
      </w:r>
      <w:r>
        <w:rPr/>
        <w:t>on</w:t>
      </w:r>
      <w:r>
        <w:rPr>
          <w:spacing w:val="-7"/>
        </w:rPr>
        <w:t> </w:t>
      </w:r>
      <w:r>
        <w:rPr/>
        <w:t>the</w:t>
      </w:r>
      <w:r>
        <w:rPr>
          <w:spacing w:val="-6"/>
        </w:rPr>
        <w:t> </w:t>
      </w:r>
      <w:r>
        <w:rPr/>
        <w:t>need for improvements to serve growth in the second planning period and on the ability of the City to finance</w:t>
      </w:r>
      <w:r>
        <w:rPr>
          <w:spacing w:val="-4"/>
        </w:rPr>
        <w:t> </w:t>
      </w:r>
      <w:r>
        <w:rPr/>
        <w:t>them.</w:t>
      </w:r>
      <w:r>
        <w:rPr>
          <w:spacing w:val="-4"/>
        </w:rPr>
        <w:t> </w:t>
      </w:r>
      <w:r>
        <w:rPr/>
        <w:t>Implementation</w:t>
      </w:r>
      <w:r>
        <w:rPr>
          <w:spacing w:val="-4"/>
        </w:rPr>
        <w:t> </w:t>
      </w:r>
      <w:r>
        <w:rPr/>
        <w:t>of</w:t>
      </w:r>
      <w:r>
        <w:rPr>
          <w:spacing w:val="-4"/>
        </w:rPr>
        <w:t> </w:t>
      </w:r>
      <w:r>
        <w:rPr/>
        <w:t>improvements</w:t>
      </w:r>
      <w:r>
        <w:rPr>
          <w:spacing w:val="-3"/>
        </w:rPr>
        <w:t> </w:t>
      </w:r>
      <w:r>
        <w:rPr/>
        <w:t>will</w:t>
      </w:r>
      <w:r>
        <w:rPr>
          <w:spacing w:val="-6"/>
        </w:rPr>
        <w:t> </w:t>
      </w:r>
      <w:r>
        <w:rPr/>
        <w:t>be</w:t>
      </w:r>
      <w:r>
        <w:rPr>
          <w:spacing w:val="-4"/>
        </w:rPr>
        <w:t> </w:t>
      </w:r>
      <w:r>
        <w:rPr/>
        <w:t>planned</w:t>
      </w:r>
      <w:r>
        <w:rPr>
          <w:spacing w:val="-4"/>
        </w:rPr>
        <w:t> </w:t>
      </w:r>
      <w:r>
        <w:rPr/>
        <w:t>as</w:t>
      </w:r>
      <w:r>
        <w:rPr>
          <w:spacing w:val="-3"/>
        </w:rPr>
        <w:t> </w:t>
      </w:r>
      <w:r>
        <w:rPr/>
        <w:t>part</w:t>
      </w:r>
      <w:r>
        <w:rPr>
          <w:spacing w:val="-5"/>
        </w:rPr>
        <w:t> </w:t>
      </w:r>
      <w:r>
        <w:rPr/>
        <w:t>of</w:t>
      </w:r>
      <w:r>
        <w:rPr>
          <w:spacing w:val="-3"/>
        </w:rPr>
        <w:t> </w:t>
      </w:r>
      <w:r>
        <w:rPr/>
        <w:t>an</w:t>
      </w:r>
      <w:r>
        <w:rPr>
          <w:spacing w:val="-5"/>
        </w:rPr>
        <w:t> </w:t>
      </w:r>
      <w:r>
        <w:rPr/>
        <w:t>overall</w:t>
      </w:r>
      <w:r>
        <w:rPr>
          <w:spacing w:val="-3"/>
        </w:rPr>
        <w:t> </w:t>
      </w:r>
      <w:r>
        <w:rPr/>
        <w:t>finance</w:t>
      </w:r>
      <w:r>
        <w:rPr>
          <w:spacing w:val="-4"/>
        </w:rPr>
        <w:t> </w:t>
      </w:r>
      <w:r>
        <w:rPr/>
        <w:t>plan</w:t>
      </w:r>
      <w:r>
        <w:rPr>
          <w:spacing w:val="-5"/>
        </w:rPr>
        <w:t> </w:t>
      </w:r>
      <w:r>
        <w:rPr/>
        <w:t>for all</w:t>
      </w:r>
      <w:r>
        <w:rPr>
          <w:spacing w:val="-10"/>
        </w:rPr>
        <w:t> </w:t>
      </w:r>
      <w:r>
        <w:rPr/>
        <w:t>City-owned</w:t>
      </w:r>
      <w:r>
        <w:rPr>
          <w:spacing w:val="-13"/>
        </w:rPr>
        <w:t> </w:t>
      </w:r>
      <w:r>
        <w:rPr/>
        <w:t>utilities</w:t>
      </w:r>
      <w:r>
        <w:rPr>
          <w:spacing w:val="-8"/>
        </w:rPr>
        <w:t> </w:t>
      </w:r>
      <w:r>
        <w:rPr/>
        <w:t>and</w:t>
      </w:r>
      <w:r>
        <w:rPr>
          <w:spacing w:val="-10"/>
        </w:rPr>
        <w:t> </w:t>
      </w:r>
      <w:r>
        <w:rPr/>
        <w:t>capital</w:t>
      </w:r>
      <w:r>
        <w:rPr>
          <w:spacing w:val="-10"/>
        </w:rPr>
        <w:t> </w:t>
      </w:r>
      <w:r>
        <w:rPr/>
        <w:t>facilities.</w:t>
      </w:r>
      <w:r>
        <w:rPr>
          <w:spacing w:val="-9"/>
        </w:rPr>
        <w:t> </w:t>
      </w:r>
      <w:r>
        <w:rPr/>
        <w:t>Projects</w:t>
      </w:r>
      <w:r>
        <w:rPr>
          <w:spacing w:val="-9"/>
        </w:rPr>
        <w:t> </w:t>
      </w:r>
      <w:r>
        <w:rPr/>
        <w:t>and</w:t>
      </w:r>
      <w:r>
        <w:rPr>
          <w:spacing w:val="-10"/>
        </w:rPr>
        <w:t> </w:t>
      </w:r>
      <w:r>
        <w:rPr/>
        <w:t>related</w:t>
      </w:r>
      <w:r>
        <w:rPr>
          <w:spacing w:val="-10"/>
        </w:rPr>
        <w:t> </w:t>
      </w:r>
      <w:r>
        <w:rPr/>
        <w:t>costs</w:t>
      </w:r>
      <w:r>
        <w:rPr>
          <w:spacing w:val="-10"/>
        </w:rPr>
        <w:t> </w:t>
      </w:r>
      <w:r>
        <w:rPr/>
        <w:t>identified</w:t>
      </w:r>
      <w:r>
        <w:rPr>
          <w:spacing w:val="-10"/>
        </w:rPr>
        <w:t> </w:t>
      </w:r>
      <w:r>
        <w:rPr/>
        <w:t>through</w:t>
      </w:r>
      <w:r>
        <w:rPr>
          <w:spacing w:val="-10"/>
        </w:rPr>
        <w:t> </w:t>
      </w:r>
      <w:r>
        <w:rPr/>
        <w:t>2022</w:t>
      </w:r>
      <w:r>
        <w:rPr>
          <w:spacing w:val="-9"/>
        </w:rPr>
        <w:t> </w:t>
      </w:r>
      <w:r>
        <w:rPr/>
        <w:t>by</w:t>
      </w:r>
      <w:r>
        <w:rPr>
          <w:spacing w:val="-11"/>
        </w:rPr>
        <w:t> </w:t>
      </w:r>
      <w:r>
        <w:rPr/>
        <w:t>the Energy Services Department</w:t>
      </w:r>
      <w:r>
        <w:rPr>
          <w:spacing w:val="-6"/>
        </w:rPr>
        <w:t> </w:t>
      </w:r>
      <w:r>
        <w:rPr/>
        <w:t>include:</w:t>
      </w:r>
    </w:p>
    <w:p>
      <w:pPr>
        <w:pStyle w:val="ListParagraph"/>
        <w:numPr>
          <w:ilvl w:val="1"/>
          <w:numId w:val="10"/>
        </w:numPr>
        <w:tabs>
          <w:tab w:pos="841" w:val="left" w:leader="none"/>
        </w:tabs>
        <w:spacing w:line="240" w:lineRule="auto" w:before="62" w:after="0"/>
        <w:ind w:left="840" w:right="234" w:hanging="361"/>
        <w:jc w:val="both"/>
        <w:rPr>
          <w:sz w:val="22"/>
        </w:rPr>
      </w:pPr>
      <w:r>
        <w:rPr>
          <w:sz w:val="22"/>
        </w:rPr>
        <w:t>Dallas Road Area Improvement - Plan, design, and construct a new electrical system substation</w:t>
      </w:r>
      <w:r>
        <w:rPr>
          <w:spacing w:val="-15"/>
          <w:sz w:val="22"/>
        </w:rPr>
        <w:t> </w:t>
      </w:r>
      <w:r>
        <w:rPr>
          <w:sz w:val="22"/>
        </w:rPr>
        <w:t>and</w:t>
      </w:r>
      <w:r>
        <w:rPr>
          <w:spacing w:val="-14"/>
          <w:sz w:val="22"/>
        </w:rPr>
        <w:t> </w:t>
      </w:r>
      <w:r>
        <w:rPr>
          <w:sz w:val="22"/>
        </w:rPr>
        <w:t>connect</w:t>
      </w:r>
      <w:r>
        <w:rPr>
          <w:spacing w:val="-14"/>
          <w:sz w:val="22"/>
        </w:rPr>
        <w:t> </w:t>
      </w:r>
      <w:r>
        <w:rPr>
          <w:sz w:val="22"/>
        </w:rPr>
        <w:t>via</w:t>
      </w:r>
      <w:r>
        <w:rPr>
          <w:spacing w:val="-14"/>
          <w:sz w:val="22"/>
        </w:rPr>
        <w:t> </w:t>
      </w:r>
      <w:r>
        <w:rPr>
          <w:sz w:val="22"/>
        </w:rPr>
        <w:t>new</w:t>
      </w:r>
      <w:r>
        <w:rPr>
          <w:spacing w:val="-14"/>
          <w:sz w:val="22"/>
        </w:rPr>
        <w:t> </w:t>
      </w:r>
      <w:r>
        <w:rPr>
          <w:sz w:val="22"/>
        </w:rPr>
        <w:t>and</w:t>
      </w:r>
      <w:r>
        <w:rPr>
          <w:spacing w:val="-14"/>
          <w:sz w:val="22"/>
        </w:rPr>
        <w:t> </w:t>
      </w:r>
      <w:r>
        <w:rPr>
          <w:sz w:val="22"/>
        </w:rPr>
        <w:t>existing</w:t>
      </w:r>
      <w:r>
        <w:rPr>
          <w:spacing w:val="-13"/>
          <w:sz w:val="22"/>
        </w:rPr>
        <w:t> </w:t>
      </w:r>
      <w:r>
        <w:rPr>
          <w:sz w:val="22"/>
        </w:rPr>
        <w:t>transmission</w:t>
      </w:r>
      <w:r>
        <w:rPr>
          <w:spacing w:val="-15"/>
          <w:sz w:val="22"/>
        </w:rPr>
        <w:t> </w:t>
      </w:r>
      <w:r>
        <w:rPr>
          <w:sz w:val="22"/>
        </w:rPr>
        <w:t>power</w:t>
      </w:r>
      <w:r>
        <w:rPr>
          <w:spacing w:val="-14"/>
          <w:sz w:val="22"/>
        </w:rPr>
        <w:t> </w:t>
      </w:r>
      <w:r>
        <w:rPr>
          <w:sz w:val="22"/>
        </w:rPr>
        <w:t>lines</w:t>
      </w:r>
      <w:r>
        <w:rPr>
          <w:spacing w:val="-13"/>
          <w:sz w:val="22"/>
        </w:rPr>
        <w:t> </w:t>
      </w:r>
      <w:r>
        <w:rPr>
          <w:sz w:val="22"/>
        </w:rPr>
        <w:t>into</w:t>
      </w:r>
      <w:r>
        <w:rPr>
          <w:spacing w:val="-13"/>
          <w:sz w:val="22"/>
        </w:rPr>
        <w:t> </w:t>
      </w:r>
      <w:r>
        <w:rPr>
          <w:sz w:val="22"/>
        </w:rPr>
        <w:t>the</w:t>
      </w:r>
      <w:r>
        <w:rPr>
          <w:spacing w:val="-16"/>
          <w:sz w:val="22"/>
        </w:rPr>
        <w:t> </w:t>
      </w:r>
      <w:r>
        <w:rPr>
          <w:sz w:val="22"/>
        </w:rPr>
        <w:t>electric</w:t>
      </w:r>
      <w:r>
        <w:rPr>
          <w:spacing w:val="-13"/>
          <w:sz w:val="22"/>
        </w:rPr>
        <w:t> </w:t>
      </w:r>
      <w:r>
        <w:rPr>
          <w:sz w:val="22"/>
        </w:rPr>
        <w:t>system grid. Total Estimated Cost:</w:t>
      </w:r>
      <w:r>
        <w:rPr>
          <w:spacing w:val="-8"/>
          <w:sz w:val="22"/>
        </w:rPr>
        <w:t> </w:t>
      </w:r>
      <w:r>
        <w:rPr>
          <w:sz w:val="22"/>
        </w:rPr>
        <w:t>$9,222,000.</w:t>
      </w:r>
    </w:p>
    <w:p>
      <w:pPr>
        <w:pStyle w:val="ListParagraph"/>
        <w:numPr>
          <w:ilvl w:val="1"/>
          <w:numId w:val="10"/>
        </w:numPr>
        <w:tabs>
          <w:tab w:pos="841" w:val="left" w:leader="none"/>
        </w:tabs>
        <w:spacing w:line="240" w:lineRule="auto" w:before="59" w:after="0"/>
        <w:ind w:left="840" w:right="234" w:hanging="361"/>
        <w:jc w:val="both"/>
        <w:rPr>
          <w:sz w:val="22"/>
        </w:rPr>
      </w:pPr>
      <w:r>
        <w:rPr>
          <w:sz w:val="22"/>
        </w:rPr>
        <w:t>Kingsgate Substation - New substation for the Horn Rapids Industrial Park. One 28,000 KVA capacity transformer and major materials purchased by City. Substation to be constructed and commissioned by the end of 2021. Total Estimated Cost:</w:t>
      </w:r>
      <w:r>
        <w:rPr>
          <w:spacing w:val="-14"/>
          <w:sz w:val="22"/>
        </w:rPr>
        <w:t> </w:t>
      </w:r>
      <w:r>
        <w:rPr>
          <w:sz w:val="22"/>
        </w:rPr>
        <w:t>$4,236,000.</w:t>
      </w:r>
    </w:p>
    <w:p>
      <w:pPr>
        <w:pStyle w:val="ListParagraph"/>
        <w:numPr>
          <w:ilvl w:val="1"/>
          <w:numId w:val="10"/>
        </w:numPr>
        <w:tabs>
          <w:tab w:pos="841" w:val="left" w:leader="none"/>
        </w:tabs>
        <w:spacing w:line="240" w:lineRule="auto" w:before="59" w:after="0"/>
        <w:ind w:left="840" w:right="233" w:hanging="361"/>
        <w:jc w:val="both"/>
        <w:rPr>
          <w:sz w:val="22"/>
        </w:rPr>
      </w:pPr>
      <w:r>
        <w:rPr>
          <w:sz w:val="22"/>
        </w:rPr>
        <w:t>Leslie Rd Substation - Plan, design, and construct a new electrical system substation and connect into the electrical system grid operated by the BPA. Additionally, plan, design, and construct primary underground distribution feeders from new substation to the City's new and existing electrical system. Total Estimated Cost:</w:t>
      </w:r>
      <w:r>
        <w:rPr>
          <w:spacing w:val="-11"/>
          <w:sz w:val="22"/>
        </w:rPr>
        <w:t> </w:t>
      </w:r>
      <w:r>
        <w:rPr>
          <w:sz w:val="22"/>
        </w:rPr>
        <w:t>$10,081,000.</w:t>
      </w:r>
    </w:p>
    <w:p>
      <w:pPr>
        <w:pStyle w:val="ListParagraph"/>
        <w:numPr>
          <w:ilvl w:val="1"/>
          <w:numId w:val="10"/>
        </w:numPr>
        <w:tabs>
          <w:tab w:pos="841" w:val="left" w:leader="none"/>
        </w:tabs>
        <w:spacing w:line="240" w:lineRule="auto" w:before="61" w:after="0"/>
        <w:ind w:left="840" w:right="234" w:hanging="361"/>
        <w:jc w:val="both"/>
        <w:rPr>
          <w:sz w:val="22"/>
        </w:rPr>
      </w:pPr>
      <w:r>
        <w:rPr>
          <w:sz w:val="22"/>
        </w:rPr>
        <w:t>Smart Grid – Advanced Metering Infrastructure - Complete a detailed design and implement an electrical utility smart grid program to cost-effectively improve utility operations and provide the utility customers with options to control their power consumption and usage patterns. Total Estimated Cost:</w:t>
      </w:r>
      <w:r>
        <w:rPr>
          <w:spacing w:val="-13"/>
          <w:sz w:val="22"/>
        </w:rPr>
        <w:t> </w:t>
      </w:r>
      <w:r>
        <w:rPr>
          <w:sz w:val="22"/>
        </w:rPr>
        <w:t>$10,600,000.</w:t>
      </w:r>
    </w:p>
    <w:p>
      <w:pPr>
        <w:pStyle w:val="ListParagraph"/>
        <w:numPr>
          <w:ilvl w:val="1"/>
          <w:numId w:val="10"/>
        </w:numPr>
        <w:tabs>
          <w:tab w:pos="841" w:val="left" w:leader="none"/>
        </w:tabs>
        <w:spacing w:line="240" w:lineRule="auto" w:before="60" w:after="0"/>
        <w:ind w:left="840" w:right="234" w:hanging="360"/>
        <w:jc w:val="both"/>
        <w:rPr>
          <w:sz w:val="22"/>
        </w:rPr>
      </w:pPr>
      <w:r>
        <w:rPr>
          <w:sz w:val="22"/>
        </w:rPr>
        <w:t>Purchase Southwest Service Area Infrastructure - Per 2005 Electrical Service Area Agreement,</w:t>
      </w:r>
      <w:r>
        <w:rPr>
          <w:spacing w:val="-6"/>
          <w:sz w:val="22"/>
        </w:rPr>
        <w:t> </w:t>
      </w:r>
      <w:r>
        <w:rPr>
          <w:sz w:val="22"/>
        </w:rPr>
        <w:t>purchase</w:t>
      </w:r>
      <w:r>
        <w:rPr>
          <w:spacing w:val="-5"/>
          <w:sz w:val="22"/>
        </w:rPr>
        <w:t> </w:t>
      </w:r>
      <w:r>
        <w:rPr>
          <w:sz w:val="22"/>
        </w:rPr>
        <w:t>the</w:t>
      </w:r>
      <w:r>
        <w:rPr>
          <w:spacing w:val="-7"/>
          <w:sz w:val="22"/>
        </w:rPr>
        <w:t> </w:t>
      </w:r>
      <w:r>
        <w:rPr>
          <w:sz w:val="22"/>
        </w:rPr>
        <w:t>depreciated</w:t>
      </w:r>
      <w:r>
        <w:rPr>
          <w:spacing w:val="-7"/>
          <w:sz w:val="22"/>
        </w:rPr>
        <w:t> </w:t>
      </w:r>
      <w:r>
        <w:rPr>
          <w:sz w:val="22"/>
        </w:rPr>
        <w:t>value</w:t>
      </w:r>
      <w:r>
        <w:rPr>
          <w:spacing w:val="-8"/>
          <w:sz w:val="22"/>
        </w:rPr>
        <w:t> </w:t>
      </w:r>
      <w:r>
        <w:rPr>
          <w:sz w:val="22"/>
        </w:rPr>
        <w:t>of</w:t>
      </w:r>
      <w:r>
        <w:rPr>
          <w:spacing w:val="-5"/>
          <w:sz w:val="22"/>
        </w:rPr>
        <w:t> </w:t>
      </w:r>
      <w:r>
        <w:rPr>
          <w:sz w:val="22"/>
        </w:rPr>
        <w:t>BPUD</w:t>
      </w:r>
      <w:r>
        <w:rPr>
          <w:spacing w:val="-6"/>
          <w:sz w:val="22"/>
        </w:rPr>
        <w:t> </w:t>
      </w:r>
      <w:r>
        <w:rPr>
          <w:sz w:val="22"/>
        </w:rPr>
        <w:t>infrastructure</w:t>
      </w:r>
      <w:r>
        <w:rPr>
          <w:spacing w:val="-5"/>
          <w:sz w:val="22"/>
        </w:rPr>
        <w:t> </w:t>
      </w:r>
      <w:r>
        <w:rPr>
          <w:sz w:val="22"/>
        </w:rPr>
        <w:t>currently</w:t>
      </w:r>
      <w:r>
        <w:rPr>
          <w:spacing w:val="-9"/>
          <w:sz w:val="22"/>
        </w:rPr>
        <w:t> </w:t>
      </w:r>
      <w:r>
        <w:rPr>
          <w:sz w:val="22"/>
        </w:rPr>
        <w:t>serving</w:t>
      </w:r>
      <w:r>
        <w:rPr>
          <w:spacing w:val="-5"/>
          <w:sz w:val="22"/>
        </w:rPr>
        <w:t> </w:t>
      </w:r>
      <w:r>
        <w:rPr>
          <w:sz w:val="22"/>
        </w:rPr>
        <w:t>Hidden Hills Phase 1, Badger Mountain Irrigation District pumping station, and Reata Ridge in 2015 and other PUD facilities in 2020 serving any new City-annexed properties in the southwest service area. Total Estimated Cost:</w:t>
      </w:r>
      <w:r>
        <w:rPr>
          <w:spacing w:val="-7"/>
          <w:sz w:val="22"/>
        </w:rPr>
        <w:t> </w:t>
      </w:r>
      <w:r>
        <w:rPr>
          <w:sz w:val="22"/>
        </w:rPr>
        <w:t>$812,000.</w:t>
      </w:r>
    </w:p>
    <w:p>
      <w:pPr>
        <w:pStyle w:val="BodyText"/>
        <w:spacing w:before="119"/>
        <w:ind w:left="121" w:right="233"/>
        <w:jc w:val="both"/>
      </w:pPr>
      <w:r>
        <w:rPr/>
        <w:t>The capital improvements identified by the City will address deficiencies resulting from growth during</w:t>
      </w:r>
      <w:r>
        <w:rPr>
          <w:spacing w:val="-6"/>
        </w:rPr>
        <w:t> </w:t>
      </w:r>
      <w:r>
        <w:rPr/>
        <w:t>the</w:t>
      </w:r>
      <w:r>
        <w:rPr>
          <w:spacing w:val="-6"/>
        </w:rPr>
        <w:t> </w:t>
      </w:r>
      <w:r>
        <w:rPr/>
        <w:t>second</w:t>
      </w:r>
      <w:r>
        <w:rPr>
          <w:spacing w:val="-7"/>
        </w:rPr>
        <w:t> </w:t>
      </w:r>
      <w:r>
        <w:rPr/>
        <w:t>planning</w:t>
      </w:r>
      <w:r>
        <w:rPr>
          <w:spacing w:val="-5"/>
        </w:rPr>
        <w:t> </w:t>
      </w:r>
      <w:r>
        <w:rPr/>
        <w:t>period.</w:t>
      </w:r>
      <w:r>
        <w:rPr>
          <w:spacing w:val="-7"/>
        </w:rPr>
        <w:t> </w:t>
      </w:r>
      <w:r>
        <w:rPr/>
        <w:t>Mitigating</w:t>
      </w:r>
      <w:r>
        <w:rPr>
          <w:spacing w:val="-5"/>
        </w:rPr>
        <w:t> </w:t>
      </w:r>
      <w:r>
        <w:rPr/>
        <w:t>system</w:t>
      </w:r>
      <w:r>
        <w:rPr>
          <w:spacing w:val="-6"/>
        </w:rPr>
        <w:t> </w:t>
      </w:r>
      <w:r>
        <w:rPr/>
        <w:t>improvements</w:t>
      </w:r>
      <w:r>
        <w:rPr>
          <w:spacing w:val="-5"/>
        </w:rPr>
        <w:t> </w:t>
      </w:r>
      <w:r>
        <w:rPr/>
        <w:t>will</w:t>
      </w:r>
      <w:r>
        <w:rPr>
          <w:spacing w:val="-8"/>
        </w:rPr>
        <w:t> </w:t>
      </w:r>
      <w:r>
        <w:rPr/>
        <w:t>have</w:t>
      </w:r>
      <w:r>
        <w:rPr>
          <w:spacing w:val="-6"/>
        </w:rPr>
        <w:t> </w:t>
      </w:r>
      <w:r>
        <w:rPr/>
        <w:t>to</w:t>
      </w:r>
      <w:r>
        <w:rPr>
          <w:spacing w:val="-6"/>
        </w:rPr>
        <w:t> </w:t>
      </w:r>
      <w:r>
        <w:rPr/>
        <w:t>be</w:t>
      </w:r>
      <w:r>
        <w:rPr>
          <w:spacing w:val="-6"/>
        </w:rPr>
        <w:t> </w:t>
      </w:r>
      <w:r>
        <w:rPr/>
        <w:t>identified</w:t>
      </w:r>
      <w:r>
        <w:rPr>
          <w:spacing w:val="-7"/>
        </w:rPr>
        <w:t> </w:t>
      </w:r>
      <w:r>
        <w:rPr/>
        <w:t>by</w:t>
      </w:r>
      <w:r>
        <w:rPr>
          <w:spacing w:val="-9"/>
        </w:rPr>
        <w:t> </w:t>
      </w:r>
      <w:r>
        <w:rPr/>
        <w:t>the City for the second planning</w:t>
      </w:r>
      <w:r>
        <w:rPr>
          <w:spacing w:val="-6"/>
        </w:rPr>
        <w:t> </w:t>
      </w:r>
      <w:r>
        <w:rPr/>
        <w:t>period.</w:t>
      </w:r>
    </w:p>
    <w:p>
      <w:pPr>
        <w:spacing w:after="0"/>
        <w:jc w:val="both"/>
        <w:sectPr>
          <w:pgSz w:w="12240" w:h="15840"/>
          <w:pgMar w:header="0" w:footer="1052" w:top="1360" w:bottom="1320" w:left="1320" w:right="1200"/>
        </w:sectPr>
      </w:pPr>
    </w:p>
    <w:p>
      <w:pPr>
        <w:spacing w:before="79"/>
        <w:ind w:left="120" w:right="0" w:firstLine="0"/>
        <w:jc w:val="left"/>
        <w:rPr>
          <w:rFonts w:ascii="Arial"/>
          <w:b/>
          <w:sz w:val="20"/>
        </w:rPr>
      </w:pPr>
      <w:bookmarkStart w:name="_bookmark79" w:id="222"/>
      <w:bookmarkEnd w:id="222"/>
      <w:r>
        <w:rPr/>
      </w:r>
      <w:r>
        <w:rPr>
          <w:rFonts w:ascii="Arial"/>
          <w:b/>
          <w:sz w:val="20"/>
        </w:rPr>
        <w:t>Figure U-6: Major Electrical Transmission Lines</w:t>
      </w:r>
    </w:p>
    <w:p>
      <w:pPr>
        <w:spacing w:after="0"/>
        <w:jc w:val="left"/>
        <w:rPr>
          <w:rFonts w:ascii="Arial"/>
          <w:sz w:val="20"/>
        </w:rPr>
        <w:sectPr>
          <w:pgSz w:w="12240" w:h="15840"/>
          <w:pgMar w:header="0" w:footer="1052" w:top="1360" w:bottom="1320" w:left="1320" w:right="1200"/>
        </w:sectPr>
      </w:pPr>
    </w:p>
    <w:p>
      <w:pPr>
        <w:pStyle w:val="Heading2"/>
        <w:ind w:left="120"/>
      </w:pPr>
      <w:bookmarkStart w:name="Utilities by Other Providers" w:id="223"/>
      <w:bookmarkEnd w:id="223"/>
      <w:r>
        <w:rPr>
          <w:b w:val="0"/>
        </w:rPr>
      </w:r>
      <w:bookmarkStart w:name="Section One" w:id="224"/>
      <w:bookmarkEnd w:id="224"/>
      <w:r>
        <w:rPr>
          <w:b w:val="0"/>
        </w:rPr>
      </w:r>
      <w:bookmarkStart w:name="_bookmark80" w:id="225"/>
      <w:bookmarkEnd w:id="225"/>
      <w:r>
        <w:rPr>
          <w:b w:val="0"/>
        </w:rPr>
      </w:r>
      <w:bookmarkStart w:name="_bookmark81" w:id="226"/>
      <w:bookmarkEnd w:id="226"/>
      <w:r>
        <w:rPr>
          <w:b w:val="0"/>
        </w:rPr>
      </w:r>
      <w:r>
        <w:rPr/>
        <w:t>UTILITIES BY OTHER PROVIDERS</w:t>
      </w:r>
    </w:p>
    <w:p>
      <w:pPr>
        <w:pStyle w:val="Heading7"/>
        <w:spacing w:before="199"/>
      </w:pPr>
      <w:r>
        <w:rPr>
          <w:color w:val="4F81BC"/>
        </w:rPr>
        <w:t>SECTION ONE</w:t>
      </w:r>
    </w:p>
    <w:p>
      <w:pPr>
        <w:pStyle w:val="Heading6"/>
        <w:spacing w:before="201"/>
        <w:ind w:left="120"/>
      </w:pPr>
      <w:bookmarkStart w:name="Natural Gas Supply" w:id="227"/>
      <w:bookmarkEnd w:id="227"/>
      <w:r>
        <w:rPr>
          <w:b w:val="0"/>
        </w:rPr>
      </w:r>
      <w:bookmarkStart w:name="_bookmark82" w:id="228"/>
      <w:bookmarkEnd w:id="228"/>
      <w:r>
        <w:rPr>
          <w:b w:val="0"/>
        </w:rPr>
      </w:r>
      <w:r>
        <w:rPr/>
        <w:t>NATURAL GAS SUPPLY</w:t>
      </w:r>
    </w:p>
    <w:p>
      <w:pPr>
        <w:spacing w:before="199"/>
        <w:ind w:left="120" w:right="0" w:firstLine="0"/>
        <w:jc w:val="left"/>
        <w:rPr>
          <w:b/>
          <w:sz w:val="24"/>
        </w:rPr>
      </w:pPr>
      <w:bookmarkStart w:name="EXISTING CONDITIONS" w:id="229"/>
      <w:bookmarkEnd w:id="229"/>
      <w:r>
        <w:rPr/>
      </w:r>
      <w:r>
        <w:rPr>
          <w:b/>
          <w:sz w:val="24"/>
        </w:rPr>
        <w:t>EXISTING CONDITIONS</w:t>
      </w:r>
    </w:p>
    <w:p>
      <w:pPr>
        <w:pStyle w:val="BodyText"/>
        <w:spacing w:before="120"/>
        <w:ind w:left="120" w:right="234"/>
        <w:jc w:val="both"/>
      </w:pPr>
      <w:r>
        <w:rPr/>
        <w:t>Cascade Natural Gas Corporation builds, operates, and maintains natural gas distribution facilities serving the City of Richland. Cascade is an investor-owned utility serving customers in 68 communities in Washington and Oregon. Interstate pipelines transmit Cascade's natural gas from production areas in the Rocky Mountains and western Canada. The Cascade headquarters is located in Kennewick, WA (Cascade Natural Gas, 2017).</w:t>
      </w:r>
    </w:p>
    <w:p>
      <w:pPr>
        <w:pStyle w:val="BodyText"/>
        <w:spacing w:before="121"/>
        <w:ind w:left="120" w:right="235" w:hanging="1"/>
        <w:jc w:val="both"/>
      </w:pPr>
      <w:r>
        <w:rPr/>
        <w:t>Cascade's</w:t>
      </w:r>
      <w:r>
        <w:rPr>
          <w:spacing w:val="-6"/>
        </w:rPr>
        <w:t> </w:t>
      </w:r>
      <w:r>
        <w:rPr/>
        <w:t>service</w:t>
      </w:r>
      <w:r>
        <w:rPr>
          <w:spacing w:val="-3"/>
        </w:rPr>
        <w:t> </w:t>
      </w:r>
      <w:r>
        <w:rPr/>
        <w:t>areas</w:t>
      </w:r>
      <w:r>
        <w:rPr>
          <w:spacing w:val="-3"/>
        </w:rPr>
        <w:t> </w:t>
      </w:r>
      <w:r>
        <w:rPr/>
        <w:t>are</w:t>
      </w:r>
      <w:r>
        <w:rPr>
          <w:spacing w:val="-3"/>
        </w:rPr>
        <w:t> </w:t>
      </w:r>
      <w:r>
        <w:rPr/>
        <w:t>concentrated</w:t>
      </w:r>
      <w:r>
        <w:rPr>
          <w:spacing w:val="-4"/>
        </w:rPr>
        <w:t> </w:t>
      </w:r>
      <w:r>
        <w:rPr/>
        <w:t>in</w:t>
      </w:r>
      <w:r>
        <w:rPr>
          <w:spacing w:val="-5"/>
        </w:rPr>
        <w:t> </w:t>
      </w:r>
      <w:r>
        <w:rPr/>
        <w:t>western,</w:t>
      </w:r>
      <w:r>
        <w:rPr>
          <w:spacing w:val="-3"/>
        </w:rPr>
        <w:t> </w:t>
      </w:r>
      <w:r>
        <w:rPr/>
        <w:t>central,</w:t>
      </w:r>
      <w:r>
        <w:rPr>
          <w:spacing w:val="-4"/>
        </w:rPr>
        <w:t> </w:t>
      </w:r>
      <w:r>
        <w:rPr/>
        <w:t>and</w:t>
      </w:r>
      <w:r>
        <w:rPr>
          <w:spacing w:val="-3"/>
        </w:rPr>
        <w:t> </w:t>
      </w:r>
      <w:r>
        <w:rPr/>
        <w:t>southeast</w:t>
      </w:r>
      <w:r>
        <w:rPr>
          <w:spacing w:val="-4"/>
        </w:rPr>
        <w:t> </w:t>
      </w:r>
      <w:r>
        <w:rPr/>
        <w:t>Washington;</w:t>
      </w:r>
      <w:r>
        <w:rPr>
          <w:spacing w:val="-5"/>
        </w:rPr>
        <w:t> </w:t>
      </w:r>
      <w:r>
        <w:rPr/>
        <w:t>and</w:t>
      </w:r>
      <w:r>
        <w:rPr>
          <w:spacing w:val="-4"/>
        </w:rPr>
        <w:t> </w:t>
      </w:r>
      <w:r>
        <w:rPr/>
        <w:t>central</w:t>
      </w:r>
      <w:bookmarkStart w:name="LEVEL OF SERVICE" w:id="230"/>
      <w:bookmarkEnd w:id="230"/>
      <w:r>
        <w:rPr/>
      </w:r>
      <w:r>
        <w:rPr/>
        <w:t> and eastern Oregon. Richland’s natural gas supply system currently meets existing</w:t>
      </w:r>
      <w:r>
        <w:rPr>
          <w:spacing w:val="-21"/>
        </w:rPr>
        <w:t> </w:t>
      </w:r>
      <w:r>
        <w:rPr/>
        <w:t>demand.</w:t>
      </w:r>
    </w:p>
    <w:p>
      <w:pPr>
        <w:spacing w:before="200"/>
        <w:ind w:left="120" w:right="0" w:firstLine="0"/>
        <w:jc w:val="left"/>
        <w:rPr>
          <w:b/>
          <w:sz w:val="24"/>
        </w:rPr>
      </w:pPr>
      <w:r>
        <w:rPr>
          <w:b/>
          <w:sz w:val="24"/>
        </w:rPr>
        <w:t>LEVEL OF SERVICE</w:t>
      </w:r>
    </w:p>
    <w:p>
      <w:pPr>
        <w:pStyle w:val="BodyText"/>
        <w:spacing w:before="119"/>
        <w:ind w:left="120" w:right="236"/>
        <w:jc w:val="both"/>
      </w:pPr>
      <w:r>
        <w:rPr/>
        <w:t>Natural</w:t>
      </w:r>
      <w:r>
        <w:rPr>
          <w:spacing w:val="-10"/>
        </w:rPr>
        <w:t> </w:t>
      </w:r>
      <w:r>
        <w:rPr/>
        <w:t>gas</w:t>
      </w:r>
      <w:r>
        <w:rPr>
          <w:spacing w:val="-9"/>
        </w:rPr>
        <w:t> </w:t>
      </w:r>
      <w:r>
        <w:rPr/>
        <w:t>service</w:t>
      </w:r>
      <w:r>
        <w:rPr>
          <w:spacing w:val="-9"/>
        </w:rPr>
        <w:t> </w:t>
      </w:r>
      <w:r>
        <w:rPr/>
        <w:t>and</w:t>
      </w:r>
      <w:r>
        <w:rPr>
          <w:spacing w:val="-10"/>
        </w:rPr>
        <w:t> </w:t>
      </w:r>
      <w:r>
        <w:rPr/>
        <w:t>availability</w:t>
      </w:r>
      <w:r>
        <w:rPr>
          <w:spacing w:val="-10"/>
        </w:rPr>
        <w:t> </w:t>
      </w:r>
      <w:r>
        <w:rPr/>
        <w:t>are</w:t>
      </w:r>
      <w:r>
        <w:rPr>
          <w:spacing w:val="-10"/>
        </w:rPr>
        <w:t> </w:t>
      </w:r>
      <w:r>
        <w:rPr/>
        <w:t>currently</w:t>
      </w:r>
      <w:r>
        <w:rPr>
          <w:spacing w:val="-10"/>
        </w:rPr>
        <w:t> </w:t>
      </w:r>
      <w:r>
        <w:rPr/>
        <w:t>sufficient</w:t>
      </w:r>
      <w:r>
        <w:rPr>
          <w:spacing w:val="-10"/>
        </w:rPr>
        <w:t> </w:t>
      </w:r>
      <w:r>
        <w:rPr/>
        <w:t>to</w:t>
      </w:r>
      <w:r>
        <w:rPr>
          <w:spacing w:val="-10"/>
        </w:rPr>
        <w:t> </w:t>
      </w:r>
      <w:r>
        <w:rPr/>
        <w:t>meet</w:t>
      </w:r>
      <w:r>
        <w:rPr>
          <w:spacing w:val="-9"/>
        </w:rPr>
        <w:t> </w:t>
      </w:r>
      <w:r>
        <w:rPr/>
        <w:t>existing</w:t>
      </w:r>
      <w:r>
        <w:rPr>
          <w:spacing w:val="-9"/>
        </w:rPr>
        <w:t> </w:t>
      </w:r>
      <w:r>
        <w:rPr/>
        <w:t>demand.</w:t>
      </w:r>
      <w:r>
        <w:rPr>
          <w:spacing w:val="-9"/>
        </w:rPr>
        <w:t> </w:t>
      </w:r>
      <w:r>
        <w:rPr/>
        <w:t>Cascade</w:t>
      </w:r>
      <w:r>
        <w:rPr>
          <w:spacing w:val="-12"/>
        </w:rPr>
        <w:t> </w:t>
      </w:r>
      <w:r>
        <w:rPr/>
        <w:t>Natural Gas works with its suppliers to ensure that local gas supply needs are</w:t>
      </w:r>
      <w:r>
        <w:rPr>
          <w:spacing w:val="-17"/>
        </w:rPr>
        <w:t> </w:t>
      </w:r>
      <w:r>
        <w:rPr/>
        <w:t>met.</w:t>
      </w:r>
    </w:p>
    <w:p>
      <w:pPr>
        <w:pStyle w:val="BodyText"/>
        <w:spacing w:before="120"/>
        <w:ind w:left="120" w:right="236"/>
        <w:jc w:val="both"/>
      </w:pPr>
      <w:r>
        <w:rPr/>
        <w:t>Future levels of availability and service will be maintainable through market demand. Cascade Natural Gas and its affiliates will need to coordinate with the City to ensure that future service extensions are consistent with local growth plans.</w:t>
      </w:r>
    </w:p>
    <w:p>
      <w:pPr>
        <w:spacing w:before="201"/>
        <w:ind w:left="120" w:right="0" w:firstLine="0"/>
        <w:jc w:val="left"/>
        <w:rPr>
          <w:b/>
          <w:sz w:val="24"/>
        </w:rPr>
      </w:pPr>
      <w:bookmarkStart w:name="FUTURE DEFICIENCIES AND RECOMMENDATIONS" w:id="231"/>
      <w:bookmarkEnd w:id="231"/>
      <w:r>
        <w:rPr/>
      </w:r>
      <w:r>
        <w:rPr>
          <w:b/>
          <w:sz w:val="24"/>
        </w:rPr>
        <w:t>FUTURE DEFICIENCIES AND RECOMMENDATIONS</w:t>
      </w:r>
    </w:p>
    <w:p>
      <w:pPr>
        <w:pStyle w:val="BodyText"/>
        <w:spacing w:before="119"/>
        <w:ind w:left="120" w:right="233"/>
        <w:jc w:val="both"/>
      </w:pPr>
      <w:r>
        <w:rPr/>
        <w:t>Natural gas will be made available concurrently with growth to the best of the purveyor’s ability. No deficiencies in the natural gas supply have been identified. The City will promote locating utility</w:t>
      </w:r>
      <w:bookmarkStart w:name="Section Two" w:id="232"/>
      <w:bookmarkEnd w:id="232"/>
      <w:r>
        <w:rPr/>
      </w:r>
      <w:bookmarkStart w:name="_bookmark83" w:id="233"/>
      <w:bookmarkEnd w:id="233"/>
      <w:r>
        <w:rPr/>
      </w:r>
      <w:r>
        <w:rPr/>
        <w:t> distribution lines together and using existing utility easements wherever possible.</w:t>
      </w:r>
    </w:p>
    <w:p>
      <w:pPr>
        <w:pStyle w:val="Heading7"/>
        <w:spacing w:before="199"/>
        <w:jc w:val="both"/>
      </w:pPr>
      <w:r>
        <w:rPr>
          <w:color w:val="4F81BC"/>
        </w:rPr>
        <w:t>SECTION TWO</w:t>
      </w:r>
    </w:p>
    <w:p>
      <w:pPr>
        <w:pStyle w:val="Heading6"/>
        <w:spacing w:before="200"/>
        <w:ind w:left="120"/>
      </w:pPr>
      <w:bookmarkStart w:name="Telecommunications" w:id="234"/>
      <w:bookmarkEnd w:id="234"/>
      <w:r>
        <w:rPr>
          <w:b w:val="0"/>
        </w:rPr>
      </w:r>
      <w:bookmarkStart w:name="_bookmark84" w:id="235"/>
      <w:bookmarkEnd w:id="235"/>
      <w:r>
        <w:rPr>
          <w:b w:val="0"/>
        </w:rPr>
      </w:r>
      <w:r>
        <w:rPr/>
        <w:t>TELECOMMUNICATIONS</w:t>
      </w:r>
    </w:p>
    <w:p>
      <w:pPr>
        <w:spacing w:before="203"/>
        <w:ind w:left="120" w:right="0" w:firstLine="0"/>
        <w:jc w:val="left"/>
        <w:rPr>
          <w:b/>
          <w:sz w:val="24"/>
        </w:rPr>
      </w:pPr>
      <w:bookmarkStart w:name="EXISTING CONDITIONS" w:id="236"/>
      <w:bookmarkEnd w:id="236"/>
      <w:r>
        <w:rPr/>
      </w:r>
      <w:r>
        <w:rPr>
          <w:b/>
          <w:sz w:val="24"/>
        </w:rPr>
        <w:t>EXISTING CONDITIONS</w:t>
      </w:r>
    </w:p>
    <w:p>
      <w:pPr>
        <w:pStyle w:val="BodyText"/>
        <w:spacing w:before="119"/>
        <w:ind w:left="120" w:right="234"/>
        <w:jc w:val="both"/>
      </w:pPr>
      <w:r>
        <w:rPr/>
        <w:t>Telecommunications</w:t>
      </w:r>
      <w:r>
        <w:rPr>
          <w:spacing w:val="-11"/>
        </w:rPr>
        <w:t> </w:t>
      </w:r>
      <w:r>
        <w:rPr/>
        <w:t>is</w:t>
      </w:r>
      <w:r>
        <w:rPr>
          <w:spacing w:val="-11"/>
        </w:rPr>
        <w:t> </w:t>
      </w:r>
      <w:r>
        <w:rPr/>
        <w:t>the</w:t>
      </w:r>
      <w:r>
        <w:rPr>
          <w:spacing w:val="-12"/>
        </w:rPr>
        <w:t> </w:t>
      </w:r>
      <w:r>
        <w:rPr/>
        <w:t>transmission</w:t>
      </w:r>
      <w:r>
        <w:rPr>
          <w:spacing w:val="-15"/>
        </w:rPr>
        <w:t> </w:t>
      </w:r>
      <w:r>
        <w:rPr/>
        <w:t>of</w:t>
      </w:r>
      <w:r>
        <w:rPr>
          <w:spacing w:val="-15"/>
        </w:rPr>
        <w:t> </w:t>
      </w:r>
      <w:r>
        <w:rPr/>
        <w:t>information</w:t>
      </w:r>
      <w:r>
        <w:rPr>
          <w:spacing w:val="-12"/>
        </w:rPr>
        <w:t> </w:t>
      </w:r>
      <w:r>
        <w:rPr/>
        <w:t>by</w:t>
      </w:r>
      <w:r>
        <w:rPr>
          <w:spacing w:val="-13"/>
        </w:rPr>
        <w:t> </w:t>
      </w:r>
      <w:r>
        <w:rPr/>
        <w:t>wire,</w:t>
      </w:r>
      <w:r>
        <w:rPr>
          <w:spacing w:val="-12"/>
        </w:rPr>
        <w:t> </w:t>
      </w:r>
      <w:r>
        <w:rPr/>
        <w:t>radio,</w:t>
      </w:r>
      <w:r>
        <w:rPr>
          <w:spacing w:val="-14"/>
        </w:rPr>
        <w:t> </w:t>
      </w:r>
      <w:r>
        <w:rPr/>
        <w:t>optical</w:t>
      </w:r>
      <w:r>
        <w:rPr>
          <w:spacing w:val="-15"/>
        </w:rPr>
        <w:t> </w:t>
      </w:r>
      <w:r>
        <w:rPr/>
        <w:t>cable,</w:t>
      </w:r>
      <w:r>
        <w:rPr>
          <w:spacing w:val="-14"/>
        </w:rPr>
        <w:t> </w:t>
      </w:r>
      <w:r>
        <w:rPr/>
        <w:t>electromagnetic, or other similar means. In Richland, telecommunication utilities include telephone, cellular telephone, Internet, and cable</w:t>
      </w:r>
      <w:r>
        <w:rPr>
          <w:spacing w:val="-8"/>
        </w:rPr>
        <w:t> </w:t>
      </w:r>
      <w:r>
        <w:rPr/>
        <w:t>television.</w:t>
      </w:r>
    </w:p>
    <w:p>
      <w:pPr>
        <w:pStyle w:val="BodyText"/>
        <w:spacing w:before="119"/>
        <w:ind w:left="119" w:right="232"/>
        <w:jc w:val="both"/>
      </w:pPr>
      <w:r>
        <w:rPr/>
        <w:t>The telecommunications industry is undergoing tremendous advances in technology as cellular and optical</w:t>
      </w:r>
      <w:r>
        <w:rPr>
          <w:spacing w:val="-8"/>
        </w:rPr>
        <w:t> </w:t>
      </w:r>
      <w:r>
        <w:rPr/>
        <w:t>fiber</w:t>
      </w:r>
      <w:r>
        <w:rPr>
          <w:spacing w:val="-8"/>
        </w:rPr>
        <w:t> </w:t>
      </w:r>
      <w:r>
        <w:rPr/>
        <w:t>technologies</w:t>
      </w:r>
      <w:r>
        <w:rPr>
          <w:spacing w:val="-7"/>
        </w:rPr>
        <w:t> </w:t>
      </w:r>
      <w:r>
        <w:rPr/>
        <w:t>transform</w:t>
      </w:r>
      <w:r>
        <w:rPr>
          <w:spacing w:val="-7"/>
        </w:rPr>
        <w:t> </w:t>
      </w:r>
      <w:r>
        <w:rPr/>
        <w:t>the</w:t>
      </w:r>
      <w:r>
        <w:rPr>
          <w:spacing w:val="-7"/>
        </w:rPr>
        <w:t> </w:t>
      </w:r>
      <w:r>
        <w:rPr/>
        <w:t>way</w:t>
      </w:r>
      <w:r>
        <w:rPr>
          <w:spacing w:val="-9"/>
        </w:rPr>
        <w:t> </w:t>
      </w:r>
      <w:r>
        <w:rPr/>
        <w:t>service</w:t>
      </w:r>
      <w:r>
        <w:rPr>
          <w:spacing w:val="-9"/>
        </w:rPr>
        <w:t> </w:t>
      </w:r>
      <w:r>
        <w:rPr/>
        <w:t>is</w:t>
      </w:r>
      <w:r>
        <w:rPr>
          <w:spacing w:val="-7"/>
        </w:rPr>
        <w:t> </w:t>
      </w:r>
      <w:r>
        <w:rPr/>
        <w:t>delivered.</w:t>
      </w:r>
      <w:r>
        <w:rPr>
          <w:spacing w:val="-7"/>
        </w:rPr>
        <w:t> </w:t>
      </w:r>
      <w:r>
        <w:rPr/>
        <w:t>Additionally,</w:t>
      </w:r>
      <w:r>
        <w:rPr>
          <w:spacing w:val="-10"/>
        </w:rPr>
        <w:t> </w:t>
      </w:r>
      <w:r>
        <w:rPr/>
        <w:t>advances</w:t>
      </w:r>
      <w:r>
        <w:rPr>
          <w:spacing w:val="-6"/>
        </w:rPr>
        <w:t> </w:t>
      </w:r>
      <w:r>
        <w:rPr/>
        <w:t>in</w:t>
      </w:r>
      <w:r>
        <w:rPr>
          <w:spacing w:val="-8"/>
        </w:rPr>
        <w:t> </w:t>
      </w:r>
      <w:r>
        <w:rPr/>
        <w:t>computer technology, particularly the Internet, will have an impact on the type and quantity of services provided by the industry. As the distinctions that separate data, video, and voice technologies disappear,</w:t>
      </w:r>
      <w:r>
        <w:rPr>
          <w:spacing w:val="-15"/>
        </w:rPr>
        <w:t> </w:t>
      </w:r>
      <w:r>
        <w:rPr/>
        <w:t>it</w:t>
      </w:r>
      <w:r>
        <w:rPr>
          <w:spacing w:val="-14"/>
        </w:rPr>
        <w:t> </w:t>
      </w:r>
      <w:r>
        <w:rPr/>
        <w:t>becomes</w:t>
      </w:r>
      <w:r>
        <w:rPr>
          <w:spacing w:val="-13"/>
        </w:rPr>
        <w:t> </w:t>
      </w:r>
      <w:r>
        <w:rPr/>
        <w:t>more</w:t>
      </w:r>
      <w:r>
        <w:rPr>
          <w:spacing w:val="-15"/>
        </w:rPr>
        <w:t> </w:t>
      </w:r>
      <w:r>
        <w:rPr/>
        <w:t>difficult</w:t>
      </w:r>
      <w:r>
        <w:rPr>
          <w:spacing w:val="-14"/>
        </w:rPr>
        <w:t> </w:t>
      </w:r>
      <w:r>
        <w:rPr/>
        <w:t>to</w:t>
      </w:r>
      <w:r>
        <w:rPr>
          <w:spacing w:val="-14"/>
        </w:rPr>
        <w:t> </w:t>
      </w:r>
      <w:r>
        <w:rPr/>
        <w:t>assess</w:t>
      </w:r>
      <w:r>
        <w:rPr>
          <w:spacing w:val="-14"/>
        </w:rPr>
        <w:t> </w:t>
      </w:r>
      <w:r>
        <w:rPr/>
        <w:t>the</w:t>
      </w:r>
      <w:r>
        <w:rPr>
          <w:spacing w:val="-14"/>
        </w:rPr>
        <w:t> </w:t>
      </w:r>
      <w:r>
        <w:rPr/>
        <w:t>future</w:t>
      </w:r>
      <w:r>
        <w:rPr>
          <w:spacing w:val="-14"/>
        </w:rPr>
        <w:t> </w:t>
      </w:r>
      <w:r>
        <w:rPr/>
        <w:t>configuration</w:t>
      </w:r>
      <w:r>
        <w:rPr>
          <w:spacing w:val="-16"/>
        </w:rPr>
        <w:t> </w:t>
      </w:r>
      <w:r>
        <w:rPr/>
        <w:t>of</w:t>
      </w:r>
      <w:r>
        <w:rPr>
          <w:spacing w:val="-14"/>
        </w:rPr>
        <w:t> </w:t>
      </w:r>
      <w:r>
        <w:rPr/>
        <w:t>telecommunications</w:t>
      </w:r>
      <w:r>
        <w:rPr>
          <w:spacing w:val="-13"/>
        </w:rPr>
        <w:t> </w:t>
      </w:r>
      <w:r>
        <w:rPr/>
        <w:t>service.</w:t>
      </w:r>
    </w:p>
    <w:p>
      <w:pPr>
        <w:pStyle w:val="BodyText"/>
        <w:spacing w:before="122"/>
        <w:ind w:left="120" w:right="232"/>
        <w:jc w:val="both"/>
      </w:pPr>
      <w:r>
        <w:rPr/>
        <w:t>Many telecommunication utilities are under the directive by their licensing agency and franchise agreements to provide a specific level of service to their service area. Most of these utilities are regulated at the state level by the Washington Utilities and Transportation Commission.</w:t>
      </w:r>
    </w:p>
    <w:p>
      <w:pPr>
        <w:spacing w:after="0"/>
        <w:jc w:val="both"/>
        <w:sectPr>
          <w:pgSz w:w="12240" w:h="15840"/>
          <w:pgMar w:header="0" w:footer="1052" w:top="1360" w:bottom="1320" w:left="1320" w:right="1200"/>
        </w:sectPr>
      </w:pPr>
    </w:p>
    <w:p>
      <w:pPr>
        <w:pStyle w:val="BodyText"/>
        <w:spacing w:before="80"/>
        <w:ind w:left="120" w:right="235"/>
        <w:jc w:val="both"/>
      </w:pPr>
      <w:r>
        <w:rPr/>
        <w:t>Nearly all land uses require one or more of the utilities involving telecommunications. As growth occurs</w:t>
      </w:r>
      <w:r>
        <w:rPr>
          <w:spacing w:val="-11"/>
        </w:rPr>
        <w:t> </w:t>
      </w:r>
      <w:r>
        <w:rPr/>
        <w:t>within</w:t>
      </w:r>
      <w:r>
        <w:rPr>
          <w:spacing w:val="-11"/>
        </w:rPr>
        <w:t> </w:t>
      </w:r>
      <w:r>
        <w:rPr/>
        <w:t>the</w:t>
      </w:r>
      <w:r>
        <w:rPr>
          <w:spacing w:val="-11"/>
        </w:rPr>
        <w:t> </w:t>
      </w:r>
      <w:r>
        <w:rPr/>
        <w:t>residential,</w:t>
      </w:r>
      <w:r>
        <w:rPr>
          <w:spacing w:val="-11"/>
        </w:rPr>
        <w:t> </w:t>
      </w:r>
      <w:r>
        <w:rPr/>
        <w:t>commercial,</w:t>
      </w:r>
      <w:r>
        <w:rPr>
          <w:spacing w:val="-11"/>
        </w:rPr>
        <w:t> </w:t>
      </w:r>
      <w:r>
        <w:rPr/>
        <w:t>and</w:t>
      </w:r>
      <w:r>
        <w:rPr>
          <w:spacing w:val="-12"/>
        </w:rPr>
        <w:t> </w:t>
      </w:r>
      <w:r>
        <w:rPr/>
        <w:t>industrial</w:t>
      </w:r>
      <w:r>
        <w:rPr>
          <w:spacing w:val="-11"/>
        </w:rPr>
        <w:t> </w:t>
      </w:r>
      <w:r>
        <w:rPr/>
        <w:t>areas</w:t>
      </w:r>
      <w:r>
        <w:rPr>
          <w:spacing w:val="-11"/>
        </w:rPr>
        <w:t> </w:t>
      </w:r>
      <w:r>
        <w:rPr/>
        <w:t>throughout</w:t>
      </w:r>
      <w:r>
        <w:rPr>
          <w:spacing w:val="-11"/>
        </w:rPr>
        <w:t> </w:t>
      </w:r>
      <w:r>
        <w:rPr/>
        <w:t>the</w:t>
      </w:r>
      <w:r>
        <w:rPr>
          <w:spacing w:val="-13"/>
        </w:rPr>
        <w:t> </w:t>
      </w:r>
      <w:r>
        <w:rPr/>
        <w:t>City</w:t>
      </w:r>
      <w:r>
        <w:rPr>
          <w:spacing w:val="-12"/>
        </w:rPr>
        <w:t> </w:t>
      </w:r>
      <w:r>
        <w:rPr/>
        <w:t>and</w:t>
      </w:r>
      <w:r>
        <w:rPr>
          <w:spacing w:val="-12"/>
        </w:rPr>
        <w:t> </w:t>
      </w:r>
      <w:r>
        <w:rPr/>
        <w:t>urban</w:t>
      </w:r>
      <w:r>
        <w:rPr>
          <w:spacing w:val="-12"/>
        </w:rPr>
        <w:t> </w:t>
      </w:r>
      <w:r>
        <w:rPr/>
        <w:t>growth area, demand for reliable telecommunication services is placed on these</w:t>
      </w:r>
      <w:r>
        <w:rPr>
          <w:spacing w:val="-19"/>
        </w:rPr>
        <w:t> </w:t>
      </w:r>
      <w:r>
        <w:rPr/>
        <w:t>utilities.</w:t>
      </w:r>
    </w:p>
    <w:p>
      <w:pPr>
        <w:pStyle w:val="BodyText"/>
        <w:spacing w:before="119"/>
        <w:ind w:left="120" w:right="235"/>
        <w:jc w:val="both"/>
      </w:pPr>
      <w:r>
        <w:rPr/>
        <w:t>Many new providers have entered the market and provide options that create a very competitive environment in the telecommunications field; therefore, it is very difficult to accurately assess the way in which telecommunications will be provided throughout the City.</w:t>
      </w:r>
    </w:p>
    <w:p>
      <w:pPr>
        <w:pStyle w:val="BodyText"/>
        <w:spacing w:before="121"/>
        <w:ind w:left="120" w:right="234"/>
        <w:jc w:val="both"/>
      </w:pPr>
      <w:r>
        <w:rPr/>
        <w:t>While</w:t>
      </w:r>
      <w:r>
        <w:rPr>
          <w:spacing w:val="-5"/>
        </w:rPr>
        <w:t> </w:t>
      </w:r>
      <w:r>
        <w:rPr/>
        <w:t>the</w:t>
      </w:r>
      <w:r>
        <w:rPr>
          <w:spacing w:val="-5"/>
        </w:rPr>
        <w:t> </w:t>
      </w:r>
      <w:r>
        <w:rPr/>
        <w:t>provision</w:t>
      </w:r>
      <w:r>
        <w:rPr>
          <w:spacing w:val="-6"/>
        </w:rPr>
        <w:t> </w:t>
      </w:r>
      <w:r>
        <w:rPr/>
        <w:t>of</w:t>
      </w:r>
      <w:r>
        <w:rPr>
          <w:spacing w:val="-5"/>
        </w:rPr>
        <w:t> </w:t>
      </w:r>
      <w:r>
        <w:rPr/>
        <w:t>advanced</w:t>
      </w:r>
      <w:r>
        <w:rPr>
          <w:spacing w:val="-8"/>
        </w:rPr>
        <w:t> </w:t>
      </w:r>
      <w:r>
        <w:rPr/>
        <w:t>communications</w:t>
      </w:r>
      <w:r>
        <w:rPr>
          <w:spacing w:val="-4"/>
        </w:rPr>
        <w:t> </w:t>
      </w:r>
      <w:r>
        <w:rPr/>
        <w:t>technology</w:t>
      </w:r>
      <w:r>
        <w:rPr>
          <w:spacing w:val="-6"/>
        </w:rPr>
        <w:t> </w:t>
      </w:r>
      <w:r>
        <w:rPr/>
        <w:t>is</w:t>
      </w:r>
      <w:r>
        <w:rPr>
          <w:spacing w:val="-4"/>
        </w:rPr>
        <w:t> </w:t>
      </w:r>
      <w:r>
        <w:rPr/>
        <w:t>important</w:t>
      </w:r>
      <w:r>
        <w:rPr>
          <w:spacing w:val="-6"/>
        </w:rPr>
        <w:t> </w:t>
      </w:r>
      <w:r>
        <w:rPr/>
        <w:t>to</w:t>
      </w:r>
      <w:r>
        <w:rPr>
          <w:spacing w:val="-7"/>
        </w:rPr>
        <w:t> </w:t>
      </w:r>
      <w:r>
        <w:rPr/>
        <w:t>the</w:t>
      </w:r>
      <w:r>
        <w:rPr>
          <w:spacing w:val="-5"/>
        </w:rPr>
        <w:t> </w:t>
      </w:r>
      <w:r>
        <w:rPr/>
        <w:t>City’s</w:t>
      </w:r>
      <w:r>
        <w:rPr>
          <w:spacing w:val="-4"/>
        </w:rPr>
        <w:t> </w:t>
      </w:r>
      <w:r>
        <w:rPr/>
        <w:t>residents</w:t>
      </w:r>
      <w:r>
        <w:rPr>
          <w:spacing w:val="-7"/>
        </w:rPr>
        <w:t> </w:t>
      </w:r>
      <w:r>
        <w:rPr/>
        <w:t>and businesses, and vital to the continued economic development of the City, the associated infrastructure</w:t>
      </w:r>
      <w:r>
        <w:rPr>
          <w:spacing w:val="-15"/>
        </w:rPr>
        <w:t> </w:t>
      </w:r>
      <w:r>
        <w:rPr/>
        <w:t>can</w:t>
      </w:r>
      <w:r>
        <w:rPr>
          <w:spacing w:val="-15"/>
        </w:rPr>
        <w:t> </w:t>
      </w:r>
      <w:r>
        <w:rPr/>
        <w:t>be</w:t>
      </w:r>
      <w:r>
        <w:rPr>
          <w:spacing w:val="-15"/>
        </w:rPr>
        <w:t> </w:t>
      </w:r>
      <w:r>
        <w:rPr/>
        <w:t>aesthetically</w:t>
      </w:r>
      <w:r>
        <w:rPr>
          <w:spacing w:val="-15"/>
        </w:rPr>
        <w:t> </w:t>
      </w:r>
      <w:r>
        <w:rPr/>
        <w:t>unattractive</w:t>
      </w:r>
      <w:r>
        <w:rPr>
          <w:spacing w:val="-14"/>
        </w:rPr>
        <w:t> </w:t>
      </w:r>
      <w:r>
        <w:rPr/>
        <w:t>and</w:t>
      </w:r>
      <w:r>
        <w:rPr>
          <w:spacing w:val="-15"/>
        </w:rPr>
        <w:t> </w:t>
      </w:r>
      <w:r>
        <w:rPr/>
        <w:t>present</w:t>
      </w:r>
      <w:r>
        <w:rPr>
          <w:spacing w:val="-14"/>
        </w:rPr>
        <w:t> </w:t>
      </w:r>
      <w:r>
        <w:rPr/>
        <w:t>negative</w:t>
      </w:r>
      <w:r>
        <w:rPr>
          <w:spacing w:val="-15"/>
        </w:rPr>
        <w:t> </w:t>
      </w:r>
      <w:r>
        <w:rPr/>
        <w:t>impacts</w:t>
      </w:r>
      <w:r>
        <w:rPr>
          <w:spacing w:val="-13"/>
        </w:rPr>
        <w:t> </w:t>
      </w:r>
      <w:r>
        <w:rPr/>
        <w:t>to</w:t>
      </w:r>
      <w:r>
        <w:rPr>
          <w:spacing w:val="-14"/>
        </w:rPr>
        <w:t> </w:t>
      </w:r>
      <w:r>
        <w:rPr/>
        <w:t>existing</w:t>
      </w:r>
      <w:r>
        <w:rPr>
          <w:spacing w:val="-14"/>
        </w:rPr>
        <w:t> </w:t>
      </w:r>
      <w:r>
        <w:rPr/>
        <w:t>services.</w:t>
      </w:r>
      <w:r>
        <w:rPr>
          <w:spacing w:val="-14"/>
        </w:rPr>
        <w:t> </w:t>
      </w:r>
      <w:r>
        <w:rPr/>
        <w:t>The City strives to encourage and facilitate the continued development of high quality communications infrastructure while minimizing any associated adverse impacts upon the community or upon the reliability of existing services that are often delivered via the public</w:t>
      </w:r>
      <w:r>
        <w:rPr>
          <w:spacing w:val="-19"/>
        </w:rPr>
        <w:t> </w:t>
      </w:r>
      <w:r>
        <w:rPr/>
        <w:t>rights-of-way.</w:t>
      </w:r>
    </w:p>
    <w:p>
      <w:pPr>
        <w:spacing w:before="200"/>
        <w:ind w:left="120" w:right="0" w:firstLine="0"/>
        <w:jc w:val="left"/>
        <w:rPr>
          <w:b/>
          <w:sz w:val="22"/>
        </w:rPr>
      </w:pPr>
      <w:bookmarkStart w:name="Cable TV" w:id="237"/>
      <w:bookmarkEnd w:id="237"/>
      <w:r>
        <w:rPr/>
      </w:r>
      <w:r>
        <w:rPr>
          <w:b/>
          <w:color w:val="C0504D"/>
          <w:sz w:val="22"/>
        </w:rPr>
        <w:t>Cable TV</w:t>
      </w:r>
    </w:p>
    <w:p>
      <w:pPr>
        <w:pStyle w:val="BodyText"/>
        <w:spacing w:before="119"/>
        <w:ind w:left="120" w:right="233"/>
        <w:jc w:val="both"/>
      </w:pPr>
      <w:r>
        <w:rPr/>
        <w:t>The City of Richland currently franchises Charter Communications Holding Company, LLC, to serve its population in compliance with Federal Communications Commission (FCC) regulations.</w:t>
      </w:r>
    </w:p>
    <w:p>
      <w:pPr>
        <w:pStyle w:val="BodyText"/>
        <w:spacing w:before="120"/>
        <w:ind w:left="120" w:right="234"/>
        <w:jc w:val="both"/>
      </w:pPr>
      <w:r>
        <w:rPr/>
        <w:t>Charter Communications provides television services in the Tri-Cities area from a central facility to individual subscriber sets. An electronic control center (“head-end” site) processes reception and generation for distribution through the cable system. The signal can be received from a hard line (cable), a satellite dish, a microwave antenna, or a TV antenna.</w:t>
      </w:r>
    </w:p>
    <w:p>
      <w:pPr>
        <w:pStyle w:val="BodyText"/>
        <w:spacing w:before="121"/>
        <w:ind w:left="120" w:right="231"/>
        <w:jc w:val="both"/>
      </w:pPr>
      <w:r>
        <w:rPr/>
        <w:t>Charter Communications’ direct cable facilities in Richland include trunk lines and smaller distribution lines. Distribution lines run either along poles on space leased from an electrical or telephone utility, or underground, along the street right of way.</w:t>
      </w:r>
    </w:p>
    <w:p>
      <w:pPr>
        <w:spacing w:before="200"/>
        <w:ind w:left="120" w:right="0" w:firstLine="0"/>
        <w:jc w:val="both"/>
        <w:rPr>
          <w:b/>
          <w:sz w:val="22"/>
        </w:rPr>
      </w:pPr>
      <w:bookmarkStart w:name="Phone and Internet" w:id="238"/>
      <w:bookmarkEnd w:id="238"/>
      <w:r>
        <w:rPr/>
      </w:r>
      <w:r>
        <w:rPr>
          <w:b/>
          <w:color w:val="C0504D"/>
          <w:sz w:val="22"/>
        </w:rPr>
        <w:t>Phone and Internet</w:t>
      </w:r>
    </w:p>
    <w:p>
      <w:pPr>
        <w:pStyle w:val="BodyText"/>
        <w:spacing w:before="119"/>
        <w:ind w:left="120" w:right="234"/>
        <w:jc w:val="both"/>
      </w:pPr>
      <w:r>
        <w:rPr/>
        <w:t>Basic and enhanced telecommunication services in Richland and much of the Northwest is provided by Frontier. For the cellular network, almost all nation-wide companies serve the City such as Verizon, Cellular One, U.S. Cellular, AT&amp;T Wireless, T-Mobile, and Cingular Wireless.</w:t>
      </w:r>
    </w:p>
    <w:p>
      <w:pPr>
        <w:pStyle w:val="BodyText"/>
        <w:spacing w:before="122"/>
        <w:ind w:left="120" w:right="231"/>
        <w:jc w:val="both"/>
      </w:pPr>
      <w:r>
        <w:rPr/>
        <w:t>Cell</w:t>
      </w:r>
      <w:r>
        <w:rPr>
          <w:spacing w:val="-11"/>
        </w:rPr>
        <w:t> </w:t>
      </w:r>
      <w:r>
        <w:rPr/>
        <w:t>towers</w:t>
      </w:r>
      <w:r>
        <w:rPr>
          <w:spacing w:val="-10"/>
        </w:rPr>
        <w:t> </w:t>
      </w:r>
      <w:r>
        <w:rPr/>
        <w:t>may</w:t>
      </w:r>
      <w:r>
        <w:rPr>
          <w:spacing w:val="-11"/>
        </w:rPr>
        <w:t> </w:t>
      </w:r>
      <w:r>
        <w:rPr/>
        <w:t>be</w:t>
      </w:r>
      <w:r>
        <w:rPr>
          <w:spacing w:val="-11"/>
        </w:rPr>
        <w:t> </w:t>
      </w:r>
      <w:r>
        <w:rPr/>
        <w:t>located</w:t>
      </w:r>
      <w:r>
        <w:rPr>
          <w:spacing w:val="-12"/>
        </w:rPr>
        <w:t> </w:t>
      </w:r>
      <w:r>
        <w:rPr/>
        <w:t>on</w:t>
      </w:r>
      <w:r>
        <w:rPr>
          <w:spacing w:val="-11"/>
        </w:rPr>
        <w:t> </w:t>
      </w:r>
      <w:r>
        <w:rPr/>
        <w:t>tall</w:t>
      </w:r>
      <w:r>
        <w:rPr>
          <w:spacing w:val="-11"/>
        </w:rPr>
        <w:t> </w:t>
      </w:r>
      <w:r>
        <w:rPr/>
        <w:t>poles,</w:t>
      </w:r>
      <w:r>
        <w:rPr>
          <w:spacing w:val="-11"/>
        </w:rPr>
        <w:t> </w:t>
      </w:r>
      <w:r>
        <w:rPr/>
        <w:t>lattice</w:t>
      </w:r>
      <w:r>
        <w:rPr>
          <w:spacing w:val="-10"/>
        </w:rPr>
        <w:t> </w:t>
      </w:r>
      <w:r>
        <w:rPr/>
        <w:t>towers,</w:t>
      </w:r>
      <w:r>
        <w:rPr>
          <w:spacing w:val="-11"/>
        </w:rPr>
        <w:t> </w:t>
      </w:r>
      <w:r>
        <w:rPr/>
        <w:t>or</w:t>
      </w:r>
      <w:r>
        <w:rPr>
          <w:spacing w:val="-12"/>
        </w:rPr>
        <w:t> </w:t>
      </w:r>
      <w:r>
        <w:rPr/>
        <w:t>buildings.</w:t>
      </w:r>
      <w:r>
        <w:rPr>
          <w:spacing w:val="-10"/>
        </w:rPr>
        <w:t> </w:t>
      </w:r>
      <w:r>
        <w:rPr/>
        <w:t>Each</w:t>
      </w:r>
      <w:r>
        <w:rPr>
          <w:spacing w:val="-11"/>
        </w:rPr>
        <w:t> </w:t>
      </w:r>
      <w:r>
        <w:rPr/>
        <w:t>cellular</w:t>
      </w:r>
      <w:r>
        <w:rPr>
          <w:spacing w:val="-12"/>
        </w:rPr>
        <w:t> </w:t>
      </w:r>
      <w:r>
        <w:rPr/>
        <w:t>site</w:t>
      </w:r>
      <w:r>
        <w:rPr>
          <w:spacing w:val="-10"/>
        </w:rPr>
        <w:t> </w:t>
      </w:r>
      <w:r>
        <w:rPr/>
        <w:t>facility</w:t>
      </w:r>
      <w:r>
        <w:rPr>
          <w:spacing w:val="-12"/>
        </w:rPr>
        <w:t> </w:t>
      </w:r>
      <w:r>
        <w:rPr/>
        <w:t>includes antennas, radios, air conditioners, and computerized switching equipment. Most sites also contain backup</w:t>
      </w:r>
      <w:r>
        <w:rPr>
          <w:spacing w:val="-12"/>
        </w:rPr>
        <w:t> </w:t>
      </w:r>
      <w:r>
        <w:rPr/>
        <w:t>power</w:t>
      </w:r>
      <w:r>
        <w:rPr>
          <w:spacing w:val="-12"/>
        </w:rPr>
        <w:t> </w:t>
      </w:r>
      <w:r>
        <w:rPr/>
        <w:t>equipment.</w:t>
      </w:r>
      <w:r>
        <w:rPr>
          <w:spacing w:val="-13"/>
        </w:rPr>
        <w:t> </w:t>
      </w:r>
      <w:r>
        <w:rPr/>
        <w:t>Sites</w:t>
      </w:r>
      <w:r>
        <w:rPr>
          <w:spacing w:val="-10"/>
        </w:rPr>
        <w:t> </w:t>
      </w:r>
      <w:r>
        <w:rPr/>
        <w:t>located</w:t>
      </w:r>
      <w:r>
        <w:rPr>
          <w:spacing w:val="-12"/>
        </w:rPr>
        <w:t> </w:t>
      </w:r>
      <w:r>
        <w:rPr/>
        <w:t>on</w:t>
      </w:r>
      <w:r>
        <w:rPr>
          <w:spacing w:val="-11"/>
        </w:rPr>
        <w:t> </w:t>
      </w:r>
      <w:r>
        <w:rPr/>
        <w:t>buildings</w:t>
      </w:r>
      <w:r>
        <w:rPr>
          <w:spacing w:val="-13"/>
        </w:rPr>
        <w:t> </w:t>
      </w:r>
      <w:r>
        <w:rPr/>
        <w:t>typically</w:t>
      </w:r>
      <w:r>
        <w:rPr>
          <w:spacing w:val="-12"/>
        </w:rPr>
        <w:t> </w:t>
      </w:r>
      <w:r>
        <w:rPr/>
        <w:t>house</w:t>
      </w:r>
      <w:r>
        <w:rPr>
          <w:spacing w:val="-10"/>
        </w:rPr>
        <w:t> </w:t>
      </w:r>
      <w:r>
        <w:rPr/>
        <w:t>the</w:t>
      </w:r>
      <w:r>
        <w:rPr>
          <w:spacing w:val="-11"/>
        </w:rPr>
        <w:t> </w:t>
      </w:r>
      <w:r>
        <w:rPr/>
        <w:t>associated</w:t>
      </w:r>
      <w:r>
        <w:rPr>
          <w:spacing w:val="-11"/>
        </w:rPr>
        <w:t> </w:t>
      </w:r>
      <w:r>
        <w:rPr/>
        <w:t>equipment</w:t>
      </w:r>
      <w:r>
        <w:rPr>
          <w:spacing w:val="-12"/>
        </w:rPr>
        <w:t> </w:t>
      </w:r>
      <w:r>
        <w:rPr/>
        <w:t>in</w:t>
      </w:r>
      <w:r>
        <w:rPr>
          <w:spacing w:val="-12"/>
        </w:rPr>
        <w:t> </w:t>
      </w:r>
      <w:r>
        <w:rPr/>
        <w:t>self- contained shelters. Cell sites do not emit smoke or loud noise during normal operation. The location of</w:t>
      </w:r>
      <w:r>
        <w:rPr>
          <w:spacing w:val="-10"/>
        </w:rPr>
        <w:t> </w:t>
      </w:r>
      <w:r>
        <w:rPr/>
        <w:t>cell</w:t>
      </w:r>
      <w:r>
        <w:rPr>
          <w:spacing w:val="-9"/>
        </w:rPr>
        <w:t> </w:t>
      </w:r>
      <w:r>
        <w:rPr/>
        <w:t>sites</w:t>
      </w:r>
      <w:r>
        <w:rPr>
          <w:spacing w:val="-9"/>
        </w:rPr>
        <w:t> </w:t>
      </w:r>
      <w:r>
        <w:rPr/>
        <w:t>is</w:t>
      </w:r>
      <w:r>
        <w:rPr>
          <w:spacing w:val="-8"/>
        </w:rPr>
        <w:t> </w:t>
      </w:r>
      <w:r>
        <w:rPr/>
        <w:t>typically</w:t>
      </w:r>
      <w:r>
        <w:rPr>
          <w:spacing w:val="-11"/>
        </w:rPr>
        <w:t> </w:t>
      </w:r>
      <w:r>
        <w:rPr/>
        <w:t>affected</w:t>
      </w:r>
      <w:r>
        <w:rPr>
          <w:spacing w:val="-9"/>
        </w:rPr>
        <w:t> </w:t>
      </w:r>
      <w:r>
        <w:rPr/>
        <w:t>by</w:t>
      </w:r>
      <w:r>
        <w:rPr>
          <w:spacing w:val="-10"/>
        </w:rPr>
        <w:t> </w:t>
      </w:r>
      <w:r>
        <w:rPr/>
        <w:t>terrain,</w:t>
      </w:r>
      <w:r>
        <w:rPr>
          <w:spacing w:val="-10"/>
        </w:rPr>
        <w:t> </w:t>
      </w:r>
      <w:r>
        <w:rPr/>
        <w:t>other</w:t>
      </w:r>
      <w:r>
        <w:rPr>
          <w:spacing w:val="-9"/>
        </w:rPr>
        <w:t> </w:t>
      </w:r>
      <w:r>
        <w:rPr/>
        <w:t>existing</w:t>
      </w:r>
      <w:r>
        <w:rPr>
          <w:spacing w:val="-11"/>
        </w:rPr>
        <w:t> </w:t>
      </w:r>
      <w:r>
        <w:rPr/>
        <w:t>cell</w:t>
      </w:r>
      <w:r>
        <w:rPr>
          <w:spacing w:val="-11"/>
        </w:rPr>
        <w:t> </w:t>
      </w:r>
      <w:r>
        <w:rPr/>
        <w:t>sites</w:t>
      </w:r>
      <w:r>
        <w:rPr>
          <w:spacing w:val="-8"/>
        </w:rPr>
        <w:t> </w:t>
      </w:r>
      <w:r>
        <w:rPr/>
        <w:t>with</w:t>
      </w:r>
      <w:r>
        <w:rPr>
          <w:spacing w:val="-10"/>
        </w:rPr>
        <w:t> </w:t>
      </w:r>
      <w:r>
        <w:rPr/>
        <w:t>which</w:t>
      </w:r>
      <w:r>
        <w:rPr>
          <w:spacing w:val="-9"/>
        </w:rPr>
        <w:t> </w:t>
      </w:r>
      <w:r>
        <w:rPr/>
        <w:t>new</w:t>
      </w:r>
      <w:r>
        <w:rPr>
          <w:spacing w:val="-11"/>
        </w:rPr>
        <w:t> </w:t>
      </w:r>
      <w:r>
        <w:rPr/>
        <w:t>sites</w:t>
      </w:r>
      <w:r>
        <w:rPr>
          <w:spacing w:val="-10"/>
        </w:rPr>
        <w:t> </w:t>
      </w:r>
      <w:r>
        <w:rPr/>
        <w:t>must</w:t>
      </w:r>
      <w:r>
        <w:rPr>
          <w:spacing w:val="-12"/>
        </w:rPr>
        <w:t> </w:t>
      </w:r>
      <w:r>
        <w:rPr/>
        <w:t>interact, and the cellular company’s ability to reach agreement on leases with potential land</w:t>
      </w:r>
      <w:r>
        <w:rPr>
          <w:spacing w:val="-19"/>
        </w:rPr>
        <w:t> </w:t>
      </w:r>
      <w:r>
        <w:rPr/>
        <w:t>owners.</w:t>
      </w:r>
    </w:p>
    <w:p>
      <w:pPr>
        <w:pStyle w:val="BodyText"/>
        <w:spacing w:before="120"/>
        <w:ind w:left="120" w:right="232"/>
        <w:jc w:val="both"/>
      </w:pPr>
      <w:r>
        <w:rPr/>
        <w:t>The Federal Communications Commission (FCC) licenses cellular companies to operate within strict guidelines. The license allows the licensee the right to use a group of radio frequencies to provide</w:t>
      </w:r>
      <w:bookmarkStart w:name="LEVEL OF SERVICE" w:id="239"/>
      <w:bookmarkEnd w:id="239"/>
      <w:r>
        <w:rPr/>
      </w:r>
      <w:r>
        <w:rPr/>
        <w:t> telephone service.</w:t>
      </w:r>
    </w:p>
    <w:p>
      <w:pPr>
        <w:spacing w:before="200"/>
        <w:ind w:left="120" w:right="0" w:firstLine="0"/>
        <w:jc w:val="left"/>
        <w:rPr>
          <w:b/>
          <w:sz w:val="24"/>
        </w:rPr>
      </w:pPr>
      <w:r>
        <w:rPr>
          <w:b/>
          <w:sz w:val="24"/>
        </w:rPr>
        <w:t>LEVEL OF SERVICE</w:t>
      </w:r>
    </w:p>
    <w:p>
      <w:pPr>
        <w:pStyle w:val="BodyText"/>
        <w:spacing w:before="119"/>
        <w:ind w:left="120" w:right="235"/>
        <w:jc w:val="both"/>
      </w:pPr>
      <w:r>
        <w:rPr/>
        <w:t>Federal and state regulations require that telecommunications purveyors provide adequate</w:t>
      </w:r>
      <w:bookmarkStart w:name="FUTURE DEFICIENCIES &amp; RECOMMENDATIONS" w:id="240"/>
      <w:bookmarkEnd w:id="240"/>
      <w:r>
        <w:rPr/>
      </w:r>
      <w:r>
        <w:rPr/>
        <w:t> telecommunications services on demand.</w:t>
      </w:r>
    </w:p>
    <w:p>
      <w:pPr>
        <w:spacing w:before="200"/>
        <w:ind w:left="120" w:right="0" w:firstLine="0"/>
        <w:jc w:val="left"/>
        <w:rPr>
          <w:b/>
          <w:sz w:val="24"/>
        </w:rPr>
      </w:pPr>
      <w:r>
        <w:rPr>
          <w:b/>
          <w:sz w:val="24"/>
        </w:rPr>
        <w:t>FUTURE DEFICIENCIES &amp; RECOMMENDATIONS</w:t>
      </w:r>
    </w:p>
    <w:p>
      <w:pPr>
        <w:pStyle w:val="BodyText"/>
        <w:spacing w:before="119"/>
        <w:ind w:left="120" w:right="236"/>
        <w:jc w:val="both"/>
      </w:pPr>
      <w:r>
        <w:rPr/>
        <w:t>No deficiencies in the telecommunications system were identified under the Comprehensive Plan, therefore, no improvement recommendations were developed.</w:t>
      </w:r>
    </w:p>
    <w:p>
      <w:pPr>
        <w:spacing w:after="0"/>
        <w:jc w:val="both"/>
        <w:sectPr>
          <w:pgSz w:w="12240" w:h="15840"/>
          <w:pgMar w:header="0" w:footer="1052" w:top="1360" w:bottom="1320" w:left="1320" w:right="1200"/>
        </w:sectPr>
      </w:pPr>
    </w:p>
    <w:p>
      <w:pPr>
        <w:pStyle w:val="Heading7"/>
        <w:jc w:val="both"/>
      </w:pPr>
      <w:bookmarkStart w:name="Section Three" w:id="241"/>
      <w:bookmarkEnd w:id="241"/>
      <w:r>
        <w:rPr/>
      </w:r>
      <w:bookmarkStart w:name="_bookmark85" w:id="242"/>
      <w:bookmarkEnd w:id="242"/>
      <w:r>
        <w:rPr/>
      </w:r>
      <w:r>
        <w:rPr>
          <w:color w:val="4F81BC"/>
        </w:rPr>
        <w:t>SECTION THREE</w:t>
      </w:r>
    </w:p>
    <w:p>
      <w:pPr>
        <w:pStyle w:val="Heading6"/>
        <w:ind w:left="119"/>
        <w:jc w:val="both"/>
      </w:pPr>
      <w:bookmarkStart w:name="Irrigation District Facilities" w:id="243"/>
      <w:bookmarkEnd w:id="243"/>
      <w:r>
        <w:rPr>
          <w:b w:val="0"/>
        </w:rPr>
      </w:r>
      <w:bookmarkStart w:name="EXISTING CONDITIONS" w:id="244"/>
      <w:bookmarkEnd w:id="244"/>
      <w:r>
        <w:rPr>
          <w:b w:val="0"/>
        </w:rPr>
      </w:r>
      <w:bookmarkStart w:name="_bookmark86" w:id="245"/>
      <w:bookmarkEnd w:id="245"/>
      <w:r>
        <w:rPr>
          <w:b w:val="0"/>
        </w:rPr>
      </w:r>
      <w:r>
        <w:rPr/>
        <w:t>IRRIGATION DISTRICT FACILITIES</w:t>
      </w:r>
    </w:p>
    <w:p>
      <w:pPr>
        <w:spacing w:before="202"/>
        <w:ind w:left="120" w:right="0" w:firstLine="0"/>
        <w:jc w:val="both"/>
        <w:rPr>
          <w:b/>
          <w:sz w:val="24"/>
        </w:rPr>
      </w:pPr>
      <w:r>
        <w:rPr>
          <w:b/>
          <w:sz w:val="24"/>
        </w:rPr>
        <w:t>EXISTING CONDITIONS</w:t>
      </w:r>
    </w:p>
    <w:p>
      <w:pPr>
        <w:pStyle w:val="BodyText"/>
        <w:spacing w:before="120"/>
        <w:ind w:left="120" w:right="236"/>
        <w:jc w:val="both"/>
      </w:pPr>
      <w:r>
        <w:rPr/>
        <w:t>Irrigation</w:t>
      </w:r>
      <w:r>
        <w:rPr>
          <w:spacing w:val="-5"/>
        </w:rPr>
        <w:t> </w:t>
      </w:r>
      <w:r>
        <w:rPr/>
        <w:t>is</w:t>
      </w:r>
      <w:r>
        <w:rPr>
          <w:spacing w:val="-2"/>
        </w:rPr>
        <w:t> </w:t>
      </w:r>
      <w:r>
        <w:rPr/>
        <w:t>not</w:t>
      </w:r>
      <w:r>
        <w:rPr>
          <w:spacing w:val="-5"/>
        </w:rPr>
        <w:t> </w:t>
      </w:r>
      <w:r>
        <w:rPr/>
        <w:t>typically</w:t>
      </w:r>
      <w:r>
        <w:rPr>
          <w:spacing w:val="-4"/>
        </w:rPr>
        <w:t> </w:t>
      </w:r>
      <w:r>
        <w:rPr/>
        <w:t>considered</w:t>
      </w:r>
      <w:r>
        <w:rPr>
          <w:spacing w:val="-4"/>
        </w:rPr>
        <w:t> </w:t>
      </w:r>
      <w:r>
        <w:rPr/>
        <w:t>an</w:t>
      </w:r>
      <w:r>
        <w:rPr>
          <w:spacing w:val="-4"/>
        </w:rPr>
        <w:t> </w:t>
      </w:r>
      <w:r>
        <w:rPr/>
        <w:t>urban</w:t>
      </w:r>
      <w:r>
        <w:rPr>
          <w:spacing w:val="-5"/>
        </w:rPr>
        <w:t> </w:t>
      </w:r>
      <w:r>
        <w:rPr/>
        <w:t>service,</w:t>
      </w:r>
      <w:r>
        <w:rPr>
          <w:spacing w:val="-3"/>
        </w:rPr>
        <w:t> </w:t>
      </w:r>
      <w:r>
        <w:rPr/>
        <w:t>nor</w:t>
      </w:r>
      <w:r>
        <w:rPr>
          <w:spacing w:val="-4"/>
        </w:rPr>
        <w:t> </w:t>
      </w:r>
      <w:r>
        <w:rPr/>
        <w:t>is</w:t>
      </w:r>
      <w:r>
        <w:rPr>
          <w:spacing w:val="-3"/>
        </w:rPr>
        <w:t> </w:t>
      </w:r>
      <w:r>
        <w:rPr/>
        <w:t>it</w:t>
      </w:r>
      <w:r>
        <w:rPr>
          <w:spacing w:val="-4"/>
        </w:rPr>
        <w:t> </w:t>
      </w:r>
      <w:r>
        <w:rPr/>
        <w:t>a</w:t>
      </w:r>
      <w:r>
        <w:rPr>
          <w:spacing w:val="-4"/>
        </w:rPr>
        <w:t> </w:t>
      </w:r>
      <w:r>
        <w:rPr/>
        <w:t>public</w:t>
      </w:r>
      <w:r>
        <w:rPr>
          <w:spacing w:val="-2"/>
        </w:rPr>
        <w:t> </w:t>
      </w:r>
      <w:r>
        <w:rPr/>
        <w:t>service</w:t>
      </w:r>
      <w:r>
        <w:rPr>
          <w:spacing w:val="-4"/>
        </w:rPr>
        <w:t> </w:t>
      </w:r>
      <w:r>
        <w:rPr/>
        <w:t>or</w:t>
      </w:r>
      <w:r>
        <w:rPr>
          <w:spacing w:val="-4"/>
        </w:rPr>
        <w:t> </w:t>
      </w:r>
      <w:r>
        <w:rPr/>
        <w:t>utility</w:t>
      </w:r>
      <w:r>
        <w:rPr>
          <w:spacing w:val="-4"/>
        </w:rPr>
        <w:t> </w:t>
      </w:r>
      <w:r>
        <w:rPr/>
        <w:t>provided</w:t>
      </w:r>
      <w:r>
        <w:rPr>
          <w:spacing w:val="-5"/>
        </w:rPr>
        <w:t> </w:t>
      </w:r>
      <w:r>
        <w:rPr/>
        <w:t>by the</w:t>
      </w:r>
      <w:r>
        <w:rPr>
          <w:spacing w:val="-10"/>
        </w:rPr>
        <w:t> </w:t>
      </w:r>
      <w:r>
        <w:rPr/>
        <w:t>City.</w:t>
      </w:r>
      <w:r>
        <w:rPr>
          <w:spacing w:val="-9"/>
        </w:rPr>
        <w:t> </w:t>
      </w:r>
      <w:r>
        <w:rPr/>
        <w:t>However,</w:t>
      </w:r>
      <w:r>
        <w:rPr>
          <w:spacing w:val="-10"/>
        </w:rPr>
        <w:t> </w:t>
      </w:r>
      <w:r>
        <w:rPr/>
        <w:t>irrigation</w:t>
      </w:r>
      <w:r>
        <w:rPr>
          <w:spacing w:val="-10"/>
        </w:rPr>
        <w:t> </w:t>
      </w:r>
      <w:r>
        <w:rPr/>
        <w:t>water</w:t>
      </w:r>
      <w:r>
        <w:rPr>
          <w:spacing w:val="-10"/>
        </w:rPr>
        <w:t> </w:t>
      </w:r>
      <w:r>
        <w:rPr/>
        <w:t>is</w:t>
      </w:r>
      <w:r>
        <w:rPr>
          <w:spacing w:val="-10"/>
        </w:rPr>
        <w:t> </w:t>
      </w:r>
      <w:r>
        <w:rPr/>
        <w:t>used</w:t>
      </w:r>
      <w:r>
        <w:rPr>
          <w:spacing w:val="-10"/>
        </w:rPr>
        <w:t> </w:t>
      </w:r>
      <w:r>
        <w:rPr/>
        <w:t>for</w:t>
      </w:r>
      <w:r>
        <w:rPr>
          <w:spacing w:val="-13"/>
        </w:rPr>
        <w:t> </w:t>
      </w:r>
      <w:r>
        <w:rPr/>
        <w:t>lawns</w:t>
      </w:r>
      <w:r>
        <w:rPr>
          <w:spacing w:val="-10"/>
        </w:rPr>
        <w:t> </w:t>
      </w:r>
      <w:r>
        <w:rPr/>
        <w:t>and</w:t>
      </w:r>
      <w:r>
        <w:rPr>
          <w:spacing w:val="-9"/>
        </w:rPr>
        <w:t> </w:t>
      </w:r>
      <w:r>
        <w:rPr/>
        <w:t>landscaping</w:t>
      </w:r>
      <w:r>
        <w:rPr>
          <w:spacing w:val="-9"/>
        </w:rPr>
        <w:t> </w:t>
      </w:r>
      <w:r>
        <w:rPr/>
        <w:t>by</w:t>
      </w:r>
      <w:r>
        <w:rPr>
          <w:spacing w:val="-10"/>
        </w:rPr>
        <w:t> </w:t>
      </w:r>
      <w:r>
        <w:rPr/>
        <w:t>public</w:t>
      </w:r>
      <w:r>
        <w:rPr>
          <w:spacing w:val="-11"/>
        </w:rPr>
        <w:t> </w:t>
      </w:r>
      <w:r>
        <w:rPr/>
        <w:t>facilities</w:t>
      </w:r>
      <w:r>
        <w:rPr>
          <w:spacing w:val="-8"/>
        </w:rPr>
        <w:t> </w:t>
      </w:r>
      <w:r>
        <w:rPr/>
        <w:t>and</w:t>
      </w:r>
      <w:r>
        <w:rPr>
          <w:spacing w:val="-12"/>
        </w:rPr>
        <w:t> </w:t>
      </w:r>
      <w:r>
        <w:rPr/>
        <w:t>grounds, schools, and residential subdivisions. Irrigation water lessens the demand on public drinking water supplies for these urban irrigation</w:t>
      </w:r>
      <w:r>
        <w:rPr>
          <w:spacing w:val="-9"/>
        </w:rPr>
        <w:t> </w:t>
      </w:r>
      <w:r>
        <w:rPr/>
        <w:t>purposes.</w:t>
      </w:r>
    </w:p>
    <w:p>
      <w:pPr>
        <w:pStyle w:val="BodyText"/>
        <w:spacing w:before="120"/>
        <w:ind w:left="119" w:right="236"/>
        <w:jc w:val="both"/>
      </w:pPr>
      <w:r>
        <w:rPr/>
        <w:t>Only</w:t>
      </w:r>
      <w:r>
        <w:rPr>
          <w:spacing w:val="-3"/>
        </w:rPr>
        <w:t> </w:t>
      </w:r>
      <w:r>
        <w:rPr/>
        <w:t>portions</w:t>
      </w:r>
      <w:r>
        <w:rPr>
          <w:spacing w:val="-1"/>
        </w:rPr>
        <w:t> </w:t>
      </w:r>
      <w:r>
        <w:rPr/>
        <w:t>of</w:t>
      </w:r>
      <w:r>
        <w:rPr>
          <w:spacing w:val="-2"/>
        </w:rPr>
        <w:t> </w:t>
      </w:r>
      <w:r>
        <w:rPr/>
        <w:t>the</w:t>
      </w:r>
      <w:r>
        <w:rPr>
          <w:spacing w:val="-2"/>
        </w:rPr>
        <w:t> </w:t>
      </w:r>
      <w:r>
        <w:rPr/>
        <w:t>City</w:t>
      </w:r>
      <w:r>
        <w:rPr>
          <w:spacing w:val="-2"/>
        </w:rPr>
        <w:t> </w:t>
      </w:r>
      <w:r>
        <w:rPr/>
        <w:t>of</w:t>
      </w:r>
      <w:r>
        <w:rPr>
          <w:spacing w:val="-2"/>
        </w:rPr>
        <w:t> </w:t>
      </w:r>
      <w:r>
        <w:rPr/>
        <w:t>Richland</w:t>
      </w:r>
      <w:r>
        <w:rPr>
          <w:spacing w:val="-4"/>
        </w:rPr>
        <w:t> </w:t>
      </w:r>
      <w:r>
        <w:rPr/>
        <w:t>currently</w:t>
      </w:r>
      <w:r>
        <w:rPr>
          <w:spacing w:val="-3"/>
        </w:rPr>
        <w:t> </w:t>
      </w:r>
      <w:r>
        <w:rPr/>
        <w:t>have</w:t>
      </w:r>
      <w:r>
        <w:rPr>
          <w:spacing w:val="-3"/>
        </w:rPr>
        <w:t> </w:t>
      </w:r>
      <w:r>
        <w:rPr/>
        <w:t>irrigation</w:t>
      </w:r>
      <w:r>
        <w:rPr>
          <w:spacing w:val="-3"/>
        </w:rPr>
        <w:t> </w:t>
      </w:r>
      <w:r>
        <w:rPr/>
        <w:t>services.</w:t>
      </w:r>
      <w:r>
        <w:rPr>
          <w:spacing w:val="-4"/>
        </w:rPr>
        <w:t> </w:t>
      </w:r>
      <w:r>
        <w:rPr/>
        <w:t>The</w:t>
      </w:r>
      <w:r>
        <w:rPr>
          <w:spacing w:val="-4"/>
        </w:rPr>
        <w:t> </w:t>
      </w:r>
      <w:r>
        <w:rPr/>
        <w:t>southern</w:t>
      </w:r>
      <w:r>
        <w:rPr>
          <w:spacing w:val="-2"/>
        </w:rPr>
        <w:t> </w:t>
      </w:r>
      <w:r>
        <w:rPr/>
        <w:t>part</w:t>
      </w:r>
      <w:r>
        <w:rPr>
          <w:spacing w:val="-5"/>
        </w:rPr>
        <w:t> </w:t>
      </w:r>
      <w:r>
        <w:rPr/>
        <w:t>of</w:t>
      </w:r>
      <w:r>
        <w:rPr>
          <w:spacing w:val="-2"/>
        </w:rPr>
        <w:t> </w:t>
      </w:r>
      <w:r>
        <w:rPr/>
        <w:t>the</w:t>
      </w:r>
      <w:r>
        <w:rPr>
          <w:spacing w:val="-2"/>
        </w:rPr>
        <w:t> </w:t>
      </w:r>
      <w:r>
        <w:rPr/>
        <w:t>City is served by the Columbia and Kennewick Irrigation Districts. Columbia Irrigation District operates an irrigation canal and a pump station in that</w:t>
      </w:r>
      <w:r>
        <w:rPr>
          <w:spacing w:val="-16"/>
        </w:rPr>
        <w:t> </w:t>
      </w:r>
      <w:r>
        <w:rPr/>
        <w:t>area.</w:t>
      </w:r>
    </w:p>
    <w:p>
      <w:pPr>
        <w:pStyle w:val="BodyText"/>
        <w:spacing w:before="119"/>
        <w:ind w:left="119" w:right="235"/>
        <w:jc w:val="both"/>
      </w:pPr>
      <w:r>
        <w:rPr/>
        <w:t>Within the unincorporated UGA, irrigation services are provided by the Columbia, Kennewick, and Badger Mountain Irrigation Districts. The Kennewick Irrigation District is composed of local improvement districts which collectively provide irrigation water for a large area in Richland. It serves an area along Keene Road and Gage Boulevard via Division 4 Canal and Amon Pump Lateral. The Badger Mountain Irrigation District serves irrigation water to 4,800 acres in the Badger Mountain vicinity. The service area in Richland City limits includes the Heritage Hills, Westcliffe, Crested Hills, and Country Ridge subdivisions; Badger Mountain School and Park; and Cherrywood and Sundance Badger Mountain School.</w:t>
      </w:r>
    </w:p>
    <w:p>
      <w:pPr>
        <w:spacing w:before="202"/>
        <w:ind w:left="120" w:right="0" w:firstLine="0"/>
        <w:jc w:val="both"/>
        <w:rPr>
          <w:b/>
          <w:sz w:val="24"/>
        </w:rPr>
      </w:pPr>
      <w:bookmarkStart w:name="FUTURE RECOMMENDATIONS" w:id="246"/>
      <w:bookmarkEnd w:id="246"/>
      <w:r>
        <w:rPr/>
      </w:r>
      <w:r>
        <w:rPr>
          <w:b/>
          <w:sz w:val="24"/>
        </w:rPr>
        <w:t>FUTURE RECOMMENDATIONS</w:t>
      </w:r>
    </w:p>
    <w:p>
      <w:pPr>
        <w:pStyle w:val="BodyText"/>
        <w:spacing w:before="120"/>
        <w:ind w:left="120"/>
        <w:jc w:val="both"/>
      </w:pPr>
      <w:r>
        <w:rPr/>
        <w:t>No improvement recommendations are made as part of this Comprehensive Plan.</w:t>
      </w:r>
    </w:p>
    <w:p>
      <w:pPr>
        <w:spacing w:after="0"/>
        <w:jc w:val="both"/>
        <w:sectPr>
          <w:pgSz w:w="12240" w:h="15840"/>
          <w:pgMar w:header="0" w:footer="1052" w:top="1420" w:bottom="1320" w:left="1320" w:right="1200"/>
        </w:sectPr>
      </w:pPr>
    </w:p>
    <w:p>
      <w:pPr>
        <w:pStyle w:val="Heading2"/>
        <w:ind w:left="120"/>
      </w:pPr>
      <w:bookmarkStart w:name="Capital Facilities" w:id="247"/>
      <w:bookmarkEnd w:id="247"/>
      <w:r>
        <w:rPr>
          <w:b w:val="0"/>
        </w:rPr>
      </w:r>
      <w:bookmarkStart w:name="Section One" w:id="248"/>
      <w:bookmarkEnd w:id="248"/>
      <w:r>
        <w:rPr>
          <w:b w:val="0"/>
        </w:rPr>
      </w:r>
      <w:bookmarkStart w:name="_bookmark87" w:id="249"/>
      <w:bookmarkEnd w:id="249"/>
      <w:r>
        <w:rPr>
          <w:b w:val="0"/>
        </w:rPr>
      </w:r>
      <w:bookmarkStart w:name="_bookmark88" w:id="250"/>
      <w:bookmarkEnd w:id="250"/>
      <w:r>
        <w:rPr>
          <w:b w:val="0"/>
        </w:rPr>
      </w:r>
      <w:r>
        <w:rPr/>
        <w:t>CAPITAL FACILITIES</w:t>
      </w:r>
    </w:p>
    <w:p>
      <w:pPr>
        <w:pStyle w:val="Heading7"/>
        <w:spacing w:before="199"/>
      </w:pPr>
      <w:r>
        <w:rPr>
          <w:color w:val="4F81BC"/>
        </w:rPr>
        <w:t>SECTION ONE</w:t>
      </w:r>
    </w:p>
    <w:p>
      <w:pPr>
        <w:pStyle w:val="Heading6"/>
        <w:spacing w:before="201"/>
        <w:ind w:left="120"/>
      </w:pPr>
      <w:bookmarkStart w:name="Introduction" w:id="251"/>
      <w:bookmarkEnd w:id="251"/>
      <w:r>
        <w:rPr>
          <w:b w:val="0"/>
        </w:rPr>
      </w:r>
      <w:bookmarkStart w:name="_bookmark89" w:id="252"/>
      <w:bookmarkEnd w:id="252"/>
      <w:r>
        <w:rPr>
          <w:b w:val="0"/>
        </w:rPr>
      </w:r>
      <w:r>
        <w:rPr/>
        <w:t>INTRODUCTION</w:t>
      </w:r>
    </w:p>
    <w:p>
      <w:pPr>
        <w:spacing w:before="199"/>
        <w:ind w:left="120" w:right="0" w:firstLine="0"/>
        <w:jc w:val="both"/>
        <w:rPr>
          <w:b/>
          <w:sz w:val="24"/>
        </w:rPr>
      </w:pPr>
      <w:bookmarkStart w:name="PURPOSE OF THE ELEMENT" w:id="253"/>
      <w:bookmarkEnd w:id="253"/>
      <w:r>
        <w:rPr/>
      </w:r>
      <w:r>
        <w:rPr>
          <w:b/>
          <w:sz w:val="24"/>
        </w:rPr>
        <w:t>PURPOSE OF THE ELEMENT</w:t>
      </w:r>
    </w:p>
    <w:p>
      <w:pPr>
        <w:pStyle w:val="BodyText"/>
        <w:spacing w:before="120"/>
        <w:ind w:left="120" w:right="235"/>
        <w:jc w:val="both"/>
      </w:pPr>
      <w:r>
        <w:rPr/>
        <w:t>The</w:t>
      </w:r>
      <w:r>
        <w:rPr>
          <w:spacing w:val="-10"/>
        </w:rPr>
        <w:t> </w:t>
      </w:r>
      <w:r>
        <w:rPr/>
        <w:t>Capital</w:t>
      </w:r>
      <w:r>
        <w:rPr>
          <w:spacing w:val="-7"/>
        </w:rPr>
        <w:t> </w:t>
      </w:r>
      <w:r>
        <w:rPr/>
        <w:t>Facilities</w:t>
      </w:r>
      <w:r>
        <w:rPr>
          <w:spacing w:val="-7"/>
        </w:rPr>
        <w:t> </w:t>
      </w:r>
      <w:r>
        <w:rPr/>
        <w:t>Element,</w:t>
      </w:r>
      <w:r>
        <w:rPr>
          <w:spacing w:val="-7"/>
        </w:rPr>
        <w:t> </w:t>
      </w:r>
      <w:r>
        <w:rPr/>
        <w:t>required</w:t>
      </w:r>
      <w:r>
        <w:rPr>
          <w:spacing w:val="-9"/>
        </w:rPr>
        <w:t> </w:t>
      </w:r>
      <w:r>
        <w:rPr/>
        <w:t>under</w:t>
      </w:r>
      <w:r>
        <w:rPr>
          <w:spacing w:val="-8"/>
        </w:rPr>
        <w:t> </w:t>
      </w:r>
      <w:r>
        <w:rPr/>
        <w:t>the</w:t>
      </w:r>
      <w:r>
        <w:rPr>
          <w:spacing w:val="-9"/>
        </w:rPr>
        <w:t> </w:t>
      </w:r>
      <w:r>
        <w:rPr/>
        <w:t>Washington</w:t>
      </w:r>
      <w:r>
        <w:rPr>
          <w:spacing w:val="-8"/>
        </w:rPr>
        <w:t> </w:t>
      </w:r>
      <w:r>
        <w:rPr/>
        <w:t>State</w:t>
      </w:r>
      <w:r>
        <w:rPr>
          <w:spacing w:val="-6"/>
        </w:rPr>
        <w:t> </w:t>
      </w:r>
      <w:r>
        <w:rPr/>
        <w:t>GMA,</w:t>
      </w:r>
      <w:r>
        <w:rPr>
          <w:spacing w:val="-7"/>
        </w:rPr>
        <w:t> </w:t>
      </w:r>
      <w:r>
        <w:rPr/>
        <w:t>addresses</w:t>
      </w:r>
      <w:r>
        <w:rPr>
          <w:spacing w:val="-6"/>
        </w:rPr>
        <w:t> </w:t>
      </w:r>
      <w:r>
        <w:rPr/>
        <w:t>capital</w:t>
      </w:r>
      <w:r>
        <w:rPr>
          <w:spacing w:val="-8"/>
        </w:rPr>
        <w:t> </w:t>
      </w:r>
      <w:r>
        <w:rPr/>
        <w:t>facilities needs in the City of Richland and UGA and represents the City’s policy plan for the next 20</w:t>
      </w:r>
      <w:r>
        <w:rPr>
          <w:spacing w:val="-32"/>
        </w:rPr>
        <w:t> </w:t>
      </w:r>
      <w:r>
        <w:rPr/>
        <w:t>years.</w:t>
      </w:r>
    </w:p>
    <w:p>
      <w:pPr>
        <w:pStyle w:val="BodyText"/>
        <w:spacing w:before="120"/>
        <w:ind w:left="120" w:right="234" w:hanging="1"/>
        <w:jc w:val="both"/>
      </w:pPr>
      <w:r>
        <w:rPr/>
        <w:t>This</w:t>
      </w:r>
      <w:r>
        <w:rPr>
          <w:spacing w:val="-6"/>
        </w:rPr>
        <w:t> </w:t>
      </w:r>
      <w:r>
        <w:rPr/>
        <w:t>Capital</w:t>
      </w:r>
      <w:r>
        <w:rPr>
          <w:spacing w:val="-6"/>
        </w:rPr>
        <w:t> </w:t>
      </w:r>
      <w:r>
        <w:rPr/>
        <w:t>Facilities</w:t>
      </w:r>
      <w:r>
        <w:rPr>
          <w:spacing w:val="-5"/>
        </w:rPr>
        <w:t> </w:t>
      </w:r>
      <w:r>
        <w:rPr/>
        <w:t>Element</w:t>
      </w:r>
      <w:r>
        <w:rPr>
          <w:spacing w:val="-6"/>
        </w:rPr>
        <w:t> </w:t>
      </w:r>
      <w:r>
        <w:rPr/>
        <w:t>was</w:t>
      </w:r>
      <w:r>
        <w:rPr>
          <w:spacing w:val="-4"/>
        </w:rPr>
        <w:t> </w:t>
      </w:r>
      <w:r>
        <w:rPr/>
        <w:t>developed</w:t>
      </w:r>
      <w:r>
        <w:rPr>
          <w:spacing w:val="-6"/>
        </w:rPr>
        <w:t> </w:t>
      </w:r>
      <w:r>
        <w:rPr/>
        <w:t>to</w:t>
      </w:r>
      <w:r>
        <w:rPr>
          <w:spacing w:val="-5"/>
        </w:rPr>
        <w:t> </w:t>
      </w:r>
      <w:r>
        <w:rPr/>
        <w:t>be</w:t>
      </w:r>
      <w:r>
        <w:rPr>
          <w:spacing w:val="-5"/>
        </w:rPr>
        <w:t> </w:t>
      </w:r>
      <w:r>
        <w:rPr/>
        <w:t>consistent</w:t>
      </w:r>
      <w:r>
        <w:rPr>
          <w:spacing w:val="-6"/>
        </w:rPr>
        <w:t> </w:t>
      </w:r>
      <w:r>
        <w:rPr/>
        <w:t>with</w:t>
      </w:r>
      <w:r>
        <w:rPr>
          <w:spacing w:val="-5"/>
        </w:rPr>
        <w:t> </w:t>
      </w:r>
      <w:r>
        <w:rPr/>
        <w:t>the</w:t>
      </w:r>
      <w:r>
        <w:rPr>
          <w:spacing w:val="-5"/>
        </w:rPr>
        <w:t> </w:t>
      </w:r>
      <w:r>
        <w:rPr/>
        <w:t>Benton</w:t>
      </w:r>
      <w:r>
        <w:rPr>
          <w:spacing w:val="-8"/>
        </w:rPr>
        <w:t> </w:t>
      </w:r>
      <w:r>
        <w:rPr/>
        <w:t>CWPP</w:t>
      </w:r>
      <w:r>
        <w:rPr>
          <w:spacing w:val="-7"/>
        </w:rPr>
        <w:t> </w:t>
      </w:r>
      <w:r>
        <w:rPr/>
        <w:t>and</w:t>
      </w:r>
      <w:r>
        <w:rPr>
          <w:spacing w:val="-6"/>
        </w:rPr>
        <w:t> </w:t>
      </w:r>
      <w:r>
        <w:rPr/>
        <w:t>integrated with all other plan elements to ensure consistency throughout the Comprehensive Plan. The Capital Facilities Element considers the public capital facilities necessary to support the other Comprehensive Plan</w:t>
      </w:r>
      <w:r>
        <w:rPr>
          <w:spacing w:val="-4"/>
        </w:rPr>
        <w:t> </w:t>
      </w:r>
      <w:r>
        <w:rPr/>
        <w:t>elements.</w:t>
      </w:r>
    </w:p>
    <w:p>
      <w:pPr>
        <w:pStyle w:val="BodyText"/>
        <w:spacing w:before="120"/>
        <w:ind w:left="120" w:right="234"/>
        <w:jc w:val="both"/>
      </w:pPr>
      <w:r>
        <w:rPr/>
        <w:t>The Capital Facilities Element promotes efficiency by prioritizing capital improvements for the first planning period, 2017 through 2022, and second planning period, 2023 through 2037. Long-range financial planning enables the City to schedule projects so that the steps in development logically follow one another based on relative urgency, economic desirability, and community benefit. The identification of adequate funding sources results in the prioritization of needs and allows tradeoffs between</w:t>
      </w:r>
      <w:r>
        <w:rPr>
          <w:spacing w:val="-11"/>
        </w:rPr>
        <w:t> </w:t>
      </w:r>
      <w:r>
        <w:rPr/>
        <w:t>projects</w:t>
      </w:r>
      <w:r>
        <w:rPr>
          <w:spacing w:val="-11"/>
        </w:rPr>
        <w:t> </w:t>
      </w:r>
      <w:r>
        <w:rPr/>
        <w:t>to</w:t>
      </w:r>
      <w:r>
        <w:rPr>
          <w:spacing w:val="-10"/>
        </w:rPr>
        <w:t> </w:t>
      </w:r>
      <w:r>
        <w:rPr/>
        <w:t>be</w:t>
      </w:r>
      <w:r>
        <w:rPr>
          <w:spacing w:val="-12"/>
        </w:rPr>
        <w:t> </w:t>
      </w:r>
      <w:r>
        <w:rPr/>
        <w:t>evaluated</w:t>
      </w:r>
      <w:r>
        <w:rPr>
          <w:spacing w:val="-13"/>
        </w:rPr>
        <w:t> </w:t>
      </w:r>
      <w:r>
        <w:rPr/>
        <w:t>explicitly.</w:t>
      </w:r>
      <w:r>
        <w:rPr>
          <w:spacing w:val="-12"/>
        </w:rPr>
        <w:t> </w:t>
      </w:r>
      <w:r>
        <w:rPr/>
        <w:t>The</w:t>
      </w:r>
      <w:r>
        <w:rPr>
          <w:spacing w:val="-12"/>
        </w:rPr>
        <w:t> </w:t>
      </w:r>
      <w:r>
        <w:rPr/>
        <w:t>Capital</w:t>
      </w:r>
      <w:r>
        <w:rPr>
          <w:spacing w:val="-10"/>
        </w:rPr>
        <w:t> </w:t>
      </w:r>
      <w:r>
        <w:rPr/>
        <w:t>Facilities</w:t>
      </w:r>
      <w:r>
        <w:rPr>
          <w:spacing w:val="-10"/>
        </w:rPr>
        <w:t> </w:t>
      </w:r>
      <w:r>
        <w:rPr/>
        <w:t>Element</w:t>
      </w:r>
      <w:r>
        <w:rPr>
          <w:spacing w:val="-10"/>
        </w:rPr>
        <w:t> </w:t>
      </w:r>
      <w:r>
        <w:rPr/>
        <w:t>will</w:t>
      </w:r>
      <w:r>
        <w:rPr>
          <w:spacing w:val="-13"/>
        </w:rPr>
        <w:t> </w:t>
      </w:r>
      <w:r>
        <w:rPr/>
        <w:t>guide</w:t>
      </w:r>
      <w:r>
        <w:rPr>
          <w:spacing w:val="-10"/>
        </w:rPr>
        <w:t> </w:t>
      </w:r>
      <w:r>
        <w:rPr/>
        <w:t>decision-making to achieve the community goals as defined in the Comprehensive</w:t>
      </w:r>
      <w:r>
        <w:rPr>
          <w:spacing w:val="-14"/>
        </w:rPr>
        <w:t> </w:t>
      </w:r>
      <w:r>
        <w:rPr/>
        <w:t>Plan.</w:t>
      </w:r>
    </w:p>
    <w:p>
      <w:pPr>
        <w:pStyle w:val="BodyText"/>
        <w:spacing w:before="120"/>
        <w:ind w:left="120" w:right="235"/>
        <w:jc w:val="both"/>
      </w:pPr>
      <w:r>
        <w:rPr/>
        <w:t>According to the GMA Procedural Criteria, Chapter 365-195 WAC, the Capital Facilities Element should contain at least the following features:</w:t>
      </w:r>
    </w:p>
    <w:p>
      <w:pPr>
        <w:pStyle w:val="ListParagraph"/>
        <w:numPr>
          <w:ilvl w:val="1"/>
          <w:numId w:val="10"/>
        </w:numPr>
        <w:tabs>
          <w:tab w:pos="840" w:val="left" w:leader="none"/>
          <w:tab w:pos="841" w:val="left" w:leader="none"/>
        </w:tabs>
        <w:spacing w:line="240" w:lineRule="auto" w:before="60" w:after="0"/>
        <w:ind w:left="840" w:right="0" w:hanging="361"/>
        <w:jc w:val="left"/>
        <w:rPr>
          <w:sz w:val="22"/>
        </w:rPr>
      </w:pPr>
      <w:r>
        <w:rPr>
          <w:sz w:val="22"/>
        </w:rPr>
        <w:t>An inventory of existing capital</w:t>
      </w:r>
      <w:r>
        <w:rPr>
          <w:spacing w:val="-9"/>
          <w:sz w:val="22"/>
        </w:rPr>
        <w:t> </w:t>
      </w:r>
      <w:r>
        <w:rPr>
          <w:sz w:val="22"/>
        </w:rPr>
        <w:t>facilities;</w:t>
      </w:r>
    </w:p>
    <w:p>
      <w:pPr>
        <w:pStyle w:val="ListParagraph"/>
        <w:numPr>
          <w:ilvl w:val="1"/>
          <w:numId w:val="10"/>
        </w:numPr>
        <w:tabs>
          <w:tab w:pos="840" w:val="left" w:leader="none"/>
          <w:tab w:pos="841" w:val="left" w:leader="none"/>
        </w:tabs>
        <w:spacing w:line="240" w:lineRule="auto" w:before="61" w:after="0"/>
        <w:ind w:left="840" w:right="0" w:hanging="361"/>
        <w:jc w:val="left"/>
        <w:rPr>
          <w:sz w:val="22"/>
        </w:rPr>
      </w:pPr>
      <w:r>
        <w:rPr>
          <w:sz w:val="22"/>
        </w:rPr>
        <w:t>A forecast of the future needs for such capital</w:t>
      </w:r>
      <w:r>
        <w:rPr>
          <w:spacing w:val="-12"/>
          <w:sz w:val="22"/>
        </w:rPr>
        <w:t> </w:t>
      </w:r>
      <w:r>
        <w:rPr>
          <w:sz w:val="22"/>
        </w:rPr>
        <w:t>facilities;</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Proposed locations and sizes of expanded or new capital</w:t>
      </w:r>
      <w:r>
        <w:rPr>
          <w:spacing w:val="-14"/>
          <w:sz w:val="22"/>
        </w:rPr>
        <w:t> </w:t>
      </w:r>
      <w:r>
        <w:rPr>
          <w:sz w:val="22"/>
        </w:rPr>
        <w:t>facilities;</w:t>
      </w:r>
    </w:p>
    <w:p>
      <w:pPr>
        <w:pStyle w:val="ListParagraph"/>
        <w:numPr>
          <w:ilvl w:val="1"/>
          <w:numId w:val="10"/>
        </w:numPr>
        <w:tabs>
          <w:tab w:pos="840" w:val="left" w:leader="none"/>
          <w:tab w:pos="841" w:val="left" w:leader="none"/>
        </w:tabs>
        <w:spacing w:line="240" w:lineRule="auto" w:before="62" w:after="0"/>
        <w:ind w:left="840" w:right="0" w:hanging="361"/>
        <w:jc w:val="left"/>
        <w:rPr>
          <w:sz w:val="22"/>
        </w:rPr>
      </w:pPr>
      <w:r>
        <w:rPr>
          <w:sz w:val="22"/>
        </w:rPr>
        <w:t>A six-year plan to finance such capital facilities;</w:t>
      </w:r>
      <w:r>
        <w:rPr>
          <w:spacing w:val="-15"/>
          <w:sz w:val="22"/>
        </w:rPr>
        <w:t> </w:t>
      </w:r>
      <w:r>
        <w:rPr>
          <w:sz w:val="22"/>
        </w:rPr>
        <w:t>and</w:t>
      </w:r>
    </w:p>
    <w:p>
      <w:pPr>
        <w:pStyle w:val="ListParagraph"/>
        <w:numPr>
          <w:ilvl w:val="1"/>
          <w:numId w:val="10"/>
        </w:numPr>
        <w:tabs>
          <w:tab w:pos="841" w:val="left" w:leader="none"/>
        </w:tabs>
        <w:spacing w:line="240" w:lineRule="auto" w:before="59" w:after="0"/>
        <w:ind w:left="840" w:right="233" w:hanging="360"/>
        <w:jc w:val="both"/>
        <w:rPr>
          <w:sz w:val="22"/>
        </w:rPr>
      </w:pPr>
      <w:r>
        <w:rPr>
          <w:sz w:val="22"/>
        </w:rPr>
        <w:t>A requirement to reassess the Land Use Element if funding falls short of meeting capital facilities’ needs, and to ensure consistency between the Land Use Element and the Capital Facilities Element and associated Finance</w:t>
      </w:r>
      <w:r>
        <w:rPr>
          <w:spacing w:val="-5"/>
          <w:sz w:val="22"/>
        </w:rPr>
        <w:t> </w:t>
      </w:r>
      <w:r>
        <w:rPr>
          <w:sz w:val="22"/>
        </w:rPr>
        <w:t>Plan.</w:t>
      </w:r>
    </w:p>
    <w:p>
      <w:pPr>
        <w:pStyle w:val="BodyText"/>
        <w:spacing w:before="121"/>
        <w:ind w:left="120" w:right="233"/>
        <w:jc w:val="both"/>
      </w:pPr>
      <w:r>
        <w:rPr/>
        <w:t>The Capital Facilities Element documents all capital projects needed to accommodate projected growth.</w:t>
      </w:r>
      <w:r>
        <w:rPr>
          <w:spacing w:val="-9"/>
        </w:rPr>
        <w:t> </w:t>
      </w:r>
      <w:r>
        <w:rPr/>
        <w:t>The</w:t>
      </w:r>
      <w:r>
        <w:rPr>
          <w:spacing w:val="-9"/>
        </w:rPr>
        <w:t> </w:t>
      </w:r>
      <w:r>
        <w:rPr/>
        <w:t>Finance</w:t>
      </w:r>
      <w:r>
        <w:rPr>
          <w:spacing w:val="-8"/>
        </w:rPr>
        <w:t> </w:t>
      </w:r>
      <w:r>
        <w:rPr/>
        <w:t>Plan</w:t>
      </w:r>
      <w:r>
        <w:rPr>
          <w:spacing w:val="-10"/>
        </w:rPr>
        <w:t> </w:t>
      </w:r>
      <w:r>
        <w:rPr/>
        <w:t>identifies</w:t>
      </w:r>
      <w:r>
        <w:rPr>
          <w:spacing w:val="-7"/>
        </w:rPr>
        <w:t> </w:t>
      </w:r>
      <w:r>
        <w:rPr/>
        <w:t>the</w:t>
      </w:r>
      <w:r>
        <w:rPr>
          <w:spacing w:val="-9"/>
        </w:rPr>
        <w:t> </w:t>
      </w:r>
      <w:r>
        <w:rPr/>
        <w:t>City-provided</w:t>
      </w:r>
      <w:r>
        <w:rPr>
          <w:spacing w:val="-8"/>
        </w:rPr>
        <w:t> </w:t>
      </w:r>
      <w:r>
        <w:rPr/>
        <w:t>facilities</w:t>
      </w:r>
      <w:r>
        <w:rPr>
          <w:spacing w:val="-8"/>
        </w:rPr>
        <w:t> </w:t>
      </w:r>
      <w:r>
        <w:rPr/>
        <w:t>and</w:t>
      </w:r>
      <w:r>
        <w:rPr>
          <w:spacing w:val="-8"/>
        </w:rPr>
        <w:t> </w:t>
      </w:r>
      <w:r>
        <w:rPr/>
        <w:t>the</w:t>
      </w:r>
      <w:r>
        <w:rPr>
          <w:spacing w:val="-9"/>
        </w:rPr>
        <w:t> </w:t>
      </w:r>
      <w:r>
        <w:rPr/>
        <w:t>sources</w:t>
      </w:r>
      <w:r>
        <w:rPr>
          <w:spacing w:val="-7"/>
        </w:rPr>
        <w:t> </w:t>
      </w:r>
      <w:r>
        <w:rPr/>
        <w:t>and</w:t>
      </w:r>
      <w:r>
        <w:rPr>
          <w:spacing w:val="-9"/>
        </w:rPr>
        <w:t> </w:t>
      </w:r>
      <w:r>
        <w:rPr/>
        <w:t>levels</w:t>
      </w:r>
      <w:r>
        <w:rPr>
          <w:spacing w:val="-8"/>
        </w:rPr>
        <w:t> </w:t>
      </w:r>
      <w:r>
        <w:rPr/>
        <w:t>of</w:t>
      </w:r>
      <w:r>
        <w:rPr>
          <w:spacing w:val="-8"/>
        </w:rPr>
        <w:t> </w:t>
      </w:r>
      <w:r>
        <w:rPr/>
        <w:t>financial commitment and revenues necessary to meet the concurrency requirements of the GMA. Concurrency means that needed capital facilities must be installed and available for use at the time of development, or within a reasonable time period following completion of the</w:t>
      </w:r>
      <w:r>
        <w:rPr>
          <w:spacing w:val="-24"/>
        </w:rPr>
        <w:t> </w:t>
      </w:r>
      <w:r>
        <w:rPr/>
        <w:t>development.</w:t>
      </w:r>
    </w:p>
    <w:p>
      <w:pPr>
        <w:pStyle w:val="BodyText"/>
        <w:spacing w:before="119"/>
        <w:ind w:left="120" w:right="233"/>
        <w:jc w:val="both"/>
      </w:pPr>
      <w:r>
        <w:rPr/>
        <w:t>Richland</w:t>
      </w:r>
      <w:r>
        <w:rPr>
          <w:spacing w:val="-14"/>
        </w:rPr>
        <w:t> </w:t>
      </w:r>
      <w:r>
        <w:rPr/>
        <w:t>CIP</w:t>
      </w:r>
      <w:r>
        <w:rPr>
          <w:spacing w:val="-15"/>
        </w:rPr>
        <w:t> </w:t>
      </w:r>
      <w:r>
        <w:rPr/>
        <w:t>uses</w:t>
      </w:r>
      <w:r>
        <w:rPr>
          <w:spacing w:val="-13"/>
        </w:rPr>
        <w:t> </w:t>
      </w:r>
      <w:r>
        <w:rPr/>
        <w:t>many</w:t>
      </w:r>
      <w:r>
        <w:rPr>
          <w:spacing w:val="-15"/>
        </w:rPr>
        <w:t> </w:t>
      </w:r>
      <w:r>
        <w:rPr/>
        <w:t>revenue</w:t>
      </w:r>
      <w:r>
        <w:rPr>
          <w:spacing w:val="-13"/>
        </w:rPr>
        <w:t> </w:t>
      </w:r>
      <w:r>
        <w:rPr/>
        <w:t>sources</w:t>
      </w:r>
      <w:r>
        <w:rPr>
          <w:spacing w:val="-13"/>
        </w:rPr>
        <w:t> </w:t>
      </w:r>
      <w:r>
        <w:rPr/>
        <w:t>to</w:t>
      </w:r>
      <w:r>
        <w:rPr>
          <w:spacing w:val="-14"/>
        </w:rPr>
        <w:t> </w:t>
      </w:r>
      <w:r>
        <w:rPr/>
        <w:t>fund</w:t>
      </w:r>
      <w:r>
        <w:rPr>
          <w:spacing w:val="-14"/>
        </w:rPr>
        <w:t> </w:t>
      </w:r>
      <w:r>
        <w:rPr/>
        <w:t>the</w:t>
      </w:r>
      <w:r>
        <w:rPr>
          <w:spacing w:val="-14"/>
        </w:rPr>
        <w:t> </w:t>
      </w:r>
      <w:r>
        <w:rPr/>
        <w:t>capital</w:t>
      </w:r>
      <w:r>
        <w:rPr>
          <w:spacing w:val="-14"/>
        </w:rPr>
        <w:t> </w:t>
      </w:r>
      <w:r>
        <w:rPr/>
        <w:t>investment</w:t>
      </w:r>
      <w:r>
        <w:rPr>
          <w:spacing w:val="-13"/>
        </w:rPr>
        <w:t> </w:t>
      </w:r>
      <w:r>
        <w:rPr/>
        <w:t>projects</w:t>
      </w:r>
      <w:r>
        <w:rPr>
          <w:spacing w:val="-13"/>
        </w:rPr>
        <w:t> </w:t>
      </w:r>
      <w:r>
        <w:rPr/>
        <w:t>identified</w:t>
      </w:r>
      <w:r>
        <w:rPr>
          <w:spacing w:val="-14"/>
        </w:rPr>
        <w:t> </w:t>
      </w:r>
      <w:r>
        <w:rPr/>
        <w:t>in</w:t>
      </w:r>
      <w:r>
        <w:rPr>
          <w:spacing w:val="-15"/>
        </w:rPr>
        <w:t> </w:t>
      </w:r>
      <w:r>
        <w:rPr/>
        <w:t>the</w:t>
      </w:r>
      <w:r>
        <w:rPr>
          <w:spacing w:val="-14"/>
        </w:rPr>
        <w:t> </w:t>
      </w:r>
      <w:r>
        <w:rPr/>
        <w:t>plan, including sales tax, business and occupation tax, utility rates, state revenues, bonds, and grants. City also</w:t>
      </w:r>
      <w:r>
        <w:rPr>
          <w:spacing w:val="-15"/>
        </w:rPr>
        <w:t> </w:t>
      </w:r>
      <w:r>
        <w:rPr/>
        <w:t>collects</w:t>
      </w:r>
      <w:r>
        <w:rPr>
          <w:spacing w:val="-10"/>
        </w:rPr>
        <w:t> </w:t>
      </w:r>
      <w:r>
        <w:rPr/>
        <w:t>park</w:t>
      </w:r>
      <w:r>
        <w:rPr>
          <w:spacing w:val="-15"/>
        </w:rPr>
        <w:t> </w:t>
      </w:r>
      <w:r>
        <w:rPr/>
        <w:t>impact</w:t>
      </w:r>
      <w:r>
        <w:rPr>
          <w:spacing w:val="-14"/>
        </w:rPr>
        <w:t> </w:t>
      </w:r>
      <w:r>
        <w:rPr/>
        <w:t>fees</w:t>
      </w:r>
      <w:r>
        <w:rPr>
          <w:spacing w:val="-11"/>
        </w:rPr>
        <w:t> </w:t>
      </w:r>
      <w:r>
        <w:rPr/>
        <w:t>to</w:t>
      </w:r>
      <w:r>
        <w:rPr>
          <w:spacing w:val="-11"/>
        </w:rPr>
        <w:t> </w:t>
      </w:r>
      <w:r>
        <w:rPr/>
        <w:t>mitigate</w:t>
      </w:r>
      <w:r>
        <w:rPr>
          <w:spacing w:val="-11"/>
        </w:rPr>
        <w:t> </w:t>
      </w:r>
      <w:r>
        <w:rPr/>
        <w:t>park</w:t>
      </w:r>
      <w:r>
        <w:rPr>
          <w:spacing w:val="-12"/>
        </w:rPr>
        <w:t> </w:t>
      </w:r>
      <w:r>
        <w:rPr/>
        <w:t>impacts.</w:t>
      </w:r>
      <w:r>
        <w:rPr>
          <w:spacing w:val="26"/>
        </w:rPr>
        <w:t> </w:t>
      </w:r>
      <w:r>
        <w:rPr/>
        <w:t>Impact</w:t>
      </w:r>
      <w:r>
        <w:rPr>
          <w:spacing w:val="-13"/>
        </w:rPr>
        <w:t> </w:t>
      </w:r>
      <w:r>
        <w:rPr/>
        <w:t>fees</w:t>
      </w:r>
      <w:r>
        <w:rPr>
          <w:spacing w:val="-13"/>
        </w:rPr>
        <w:t> </w:t>
      </w:r>
      <w:r>
        <w:rPr/>
        <w:t>collected</w:t>
      </w:r>
      <w:r>
        <w:rPr>
          <w:spacing w:val="-12"/>
        </w:rPr>
        <w:t> </w:t>
      </w:r>
      <w:r>
        <w:rPr/>
        <w:t>from</w:t>
      </w:r>
      <w:r>
        <w:rPr>
          <w:spacing w:val="-13"/>
        </w:rPr>
        <w:t> </w:t>
      </w:r>
      <w:r>
        <w:rPr/>
        <w:t>specific</w:t>
      </w:r>
      <w:r>
        <w:rPr>
          <w:spacing w:val="-14"/>
        </w:rPr>
        <w:t> </w:t>
      </w:r>
      <w:r>
        <w:rPr/>
        <w:t>park</w:t>
      </w:r>
      <w:r>
        <w:rPr>
          <w:spacing w:val="-12"/>
        </w:rPr>
        <w:t> </w:t>
      </w:r>
      <w:r>
        <w:rPr/>
        <w:t>zones are used within that park district to address the impact by providing park and facilities according to the standards set in the Parks, recreation and Open Space</w:t>
      </w:r>
      <w:r>
        <w:rPr>
          <w:spacing w:val="-17"/>
        </w:rPr>
        <w:t> </w:t>
      </w:r>
      <w:r>
        <w:rPr/>
        <w:t>Plan.</w:t>
      </w:r>
    </w:p>
    <w:p>
      <w:pPr>
        <w:pStyle w:val="BodyText"/>
        <w:spacing w:before="120"/>
        <w:ind w:left="120"/>
        <w:jc w:val="both"/>
      </w:pPr>
      <w:r>
        <w:rPr/>
        <w:t>The capital facilities covered in this element are as follows:</w:t>
      </w:r>
    </w:p>
    <w:p>
      <w:pPr>
        <w:pStyle w:val="ListParagraph"/>
        <w:numPr>
          <w:ilvl w:val="1"/>
          <w:numId w:val="10"/>
        </w:numPr>
        <w:tabs>
          <w:tab w:pos="840" w:val="left" w:leader="none"/>
          <w:tab w:pos="841" w:val="left" w:leader="none"/>
        </w:tabs>
        <w:spacing w:line="240" w:lineRule="auto" w:before="61" w:after="0"/>
        <w:ind w:left="840" w:right="0" w:hanging="361"/>
        <w:jc w:val="left"/>
        <w:rPr>
          <w:sz w:val="22"/>
        </w:rPr>
      </w:pPr>
      <w:r>
        <w:rPr>
          <w:sz w:val="22"/>
        </w:rPr>
        <w:t>Parks, Recreation and Open Space</w:t>
      </w:r>
      <w:r>
        <w:rPr>
          <w:spacing w:val="-7"/>
          <w:sz w:val="22"/>
        </w:rPr>
        <w:t> </w:t>
      </w:r>
      <w:r>
        <w:rPr>
          <w:sz w:val="22"/>
        </w:rPr>
        <w:t>Facilities</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Municipal</w:t>
      </w:r>
      <w:r>
        <w:rPr>
          <w:spacing w:val="-2"/>
          <w:sz w:val="22"/>
        </w:rPr>
        <w:t> </w:t>
      </w:r>
      <w:r>
        <w:rPr>
          <w:sz w:val="22"/>
        </w:rPr>
        <w:t>Facilities</w:t>
      </w:r>
    </w:p>
    <w:p>
      <w:pPr>
        <w:pStyle w:val="ListParagraph"/>
        <w:numPr>
          <w:ilvl w:val="1"/>
          <w:numId w:val="10"/>
        </w:numPr>
        <w:tabs>
          <w:tab w:pos="840" w:val="left" w:leader="none"/>
          <w:tab w:pos="841" w:val="left" w:leader="none"/>
        </w:tabs>
        <w:spacing w:line="240" w:lineRule="auto" w:before="61" w:after="0"/>
        <w:ind w:left="840" w:right="0" w:hanging="361"/>
        <w:jc w:val="left"/>
        <w:rPr>
          <w:sz w:val="22"/>
        </w:rPr>
      </w:pPr>
      <w:r>
        <w:rPr>
          <w:sz w:val="22"/>
        </w:rPr>
        <w:t>Fire and Emergency Service</w:t>
      </w:r>
      <w:r>
        <w:rPr>
          <w:spacing w:val="-6"/>
          <w:sz w:val="22"/>
        </w:rPr>
        <w:t> </w:t>
      </w:r>
      <w:r>
        <w:rPr>
          <w:sz w:val="22"/>
        </w:rPr>
        <w:t>Facilities</w:t>
      </w:r>
    </w:p>
    <w:p>
      <w:pPr>
        <w:spacing w:after="0" w:line="240" w:lineRule="auto"/>
        <w:jc w:val="left"/>
        <w:rPr>
          <w:sz w:val="22"/>
        </w:rPr>
        <w:sectPr>
          <w:pgSz w:w="12240" w:h="15840"/>
          <w:pgMar w:header="0" w:footer="1052" w:top="1360" w:bottom="1320" w:left="1320" w:right="1200"/>
        </w:sectPr>
      </w:pPr>
    </w:p>
    <w:p>
      <w:pPr>
        <w:pStyle w:val="ListParagraph"/>
        <w:numPr>
          <w:ilvl w:val="1"/>
          <w:numId w:val="10"/>
        </w:numPr>
        <w:tabs>
          <w:tab w:pos="840" w:val="left" w:leader="none"/>
          <w:tab w:pos="841" w:val="left" w:leader="none"/>
        </w:tabs>
        <w:spacing w:line="240" w:lineRule="auto" w:before="80" w:after="0"/>
        <w:ind w:left="840" w:right="0" w:hanging="362"/>
        <w:jc w:val="left"/>
        <w:rPr>
          <w:sz w:val="22"/>
        </w:rPr>
      </w:pPr>
      <w:r>
        <w:rPr>
          <w:sz w:val="22"/>
        </w:rPr>
        <w:t>Police Service</w:t>
      </w:r>
      <w:r>
        <w:rPr>
          <w:spacing w:val="-3"/>
          <w:sz w:val="22"/>
        </w:rPr>
        <w:t> </w:t>
      </w:r>
      <w:r>
        <w:rPr>
          <w:sz w:val="22"/>
        </w:rPr>
        <w:t>Facilities</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Library</w:t>
      </w:r>
      <w:r>
        <w:rPr>
          <w:spacing w:val="-2"/>
          <w:sz w:val="22"/>
        </w:rPr>
        <w:t> </w:t>
      </w:r>
      <w:r>
        <w:rPr>
          <w:sz w:val="22"/>
        </w:rPr>
        <w:t>Facilities</w:t>
      </w:r>
    </w:p>
    <w:p>
      <w:pPr>
        <w:pStyle w:val="ListParagraph"/>
        <w:numPr>
          <w:ilvl w:val="1"/>
          <w:numId w:val="10"/>
        </w:numPr>
        <w:tabs>
          <w:tab w:pos="840" w:val="left" w:leader="none"/>
          <w:tab w:pos="841" w:val="left" w:leader="none"/>
        </w:tabs>
        <w:spacing w:line="240" w:lineRule="auto" w:before="61" w:after="0"/>
        <w:ind w:left="840" w:right="0" w:hanging="361"/>
        <w:jc w:val="left"/>
        <w:rPr>
          <w:sz w:val="22"/>
        </w:rPr>
      </w:pPr>
      <w:r>
        <w:rPr>
          <w:sz w:val="22"/>
        </w:rPr>
        <w:t>Schools</w:t>
      </w:r>
    </w:p>
    <w:p>
      <w:pPr>
        <w:pStyle w:val="Heading7"/>
        <w:spacing w:before="198"/>
        <w:jc w:val="both"/>
      </w:pPr>
      <w:bookmarkStart w:name="Section Two" w:id="254"/>
      <w:bookmarkEnd w:id="254"/>
      <w:r>
        <w:rPr/>
      </w:r>
      <w:bookmarkStart w:name="_bookmark90" w:id="255"/>
      <w:bookmarkEnd w:id="255"/>
      <w:r>
        <w:rPr/>
      </w:r>
      <w:r>
        <w:rPr>
          <w:color w:val="4F81BC"/>
        </w:rPr>
        <w:t>SECTION TWO</w:t>
      </w:r>
    </w:p>
    <w:p>
      <w:pPr>
        <w:pStyle w:val="Heading6"/>
        <w:spacing w:before="201"/>
        <w:ind w:left="120"/>
        <w:jc w:val="both"/>
      </w:pPr>
      <w:bookmarkStart w:name="Parks, Recreation, and Open Space" w:id="256"/>
      <w:bookmarkEnd w:id="256"/>
      <w:r>
        <w:rPr>
          <w:b w:val="0"/>
        </w:rPr>
      </w:r>
      <w:bookmarkStart w:name="_bookmark91" w:id="257"/>
      <w:bookmarkEnd w:id="257"/>
      <w:r>
        <w:rPr>
          <w:b w:val="0"/>
        </w:rPr>
      </w:r>
      <w:r>
        <w:rPr/>
        <w:t>PARKS, RECREATION, AND OPEN SPACE</w:t>
      </w:r>
    </w:p>
    <w:p>
      <w:pPr>
        <w:spacing w:before="202"/>
        <w:ind w:left="120" w:right="0" w:firstLine="0"/>
        <w:jc w:val="both"/>
        <w:rPr>
          <w:b/>
          <w:sz w:val="24"/>
        </w:rPr>
      </w:pPr>
      <w:bookmarkStart w:name="EXISTING CONDITIONS" w:id="258"/>
      <w:bookmarkEnd w:id="258"/>
      <w:r>
        <w:rPr/>
      </w:r>
      <w:bookmarkStart w:name="Existing Parks and Recreation Sites" w:id="259"/>
      <w:bookmarkEnd w:id="259"/>
      <w:r>
        <w:rPr/>
      </w:r>
      <w:r>
        <w:rPr>
          <w:b/>
          <w:sz w:val="24"/>
        </w:rPr>
        <w:t>EXISTING CONDITIONS</w:t>
      </w:r>
    </w:p>
    <w:p>
      <w:pPr>
        <w:spacing w:before="201"/>
        <w:ind w:left="120" w:right="0" w:firstLine="0"/>
        <w:jc w:val="both"/>
        <w:rPr>
          <w:b/>
          <w:sz w:val="22"/>
        </w:rPr>
      </w:pPr>
      <w:r>
        <w:rPr>
          <w:b/>
          <w:color w:val="C0504D"/>
          <w:sz w:val="22"/>
        </w:rPr>
        <w:t>Existing Parks and Recreation Sites</w:t>
      </w:r>
    </w:p>
    <w:p>
      <w:pPr>
        <w:pStyle w:val="BodyText"/>
        <w:spacing w:before="119"/>
        <w:ind w:left="120" w:right="235"/>
        <w:jc w:val="both"/>
      </w:pPr>
      <w:r>
        <w:rPr/>
        <w:t>The City of Richland has a total of 2,286 acres of city-owned park land within its corporate limits. Richland’s park land inventory includes neighborhood, community, regional, linear, natural open space, and special use parks. Richland’s open space is discussed under the Land Use Element.</w:t>
      </w:r>
    </w:p>
    <w:p>
      <w:pPr>
        <w:pStyle w:val="BodyText"/>
        <w:spacing w:before="119"/>
        <w:ind w:left="120" w:right="233"/>
        <w:jc w:val="both"/>
      </w:pPr>
      <w:r>
        <w:rPr/>
        <w:t>Neighborhood parks are intended to serve specific neighborhoods within one mile. It is generally located in the center of a service area and adjacent to, or in close proximity to other open space or school sites. Community parks serve multiple neighborhoods and are larger in size than the neighborhood parks. Regional parks offer recreational opportunities that attract a diverse group of people from the Tri-Cities metropolitan or county area. Special use parks offer major specialized or single-purpose</w:t>
      </w:r>
      <w:r>
        <w:rPr>
          <w:spacing w:val="-5"/>
        </w:rPr>
        <w:t> </w:t>
      </w:r>
      <w:r>
        <w:rPr/>
        <w:t>facilities,</w:t>
      </w:r>
      <w:r>
        <w:rPr>
          <w:spacing w:val="-4"/>
        </w:rPr>
        <w:t> </w:t>
      </w:r>
      <w:r>
        <w:rPr/>
        <w:t>with</w:t>
      </w:r>
      <w:r>
        <w:rPr>
          <w:spacing w:val="-1"/>
        </w:rPr>
        <w:t> </w:t>
      </w:r>
      <w:r>
        <w:rPr/>
        <w:t>a</w:t>
      </w:r>
      <w:r>
        <w:rPr>
          <w:spacing w:val="-4"/>
        </w:rPr>
        <w:t> </w:t>
      </w:r>
      <w:r>
        <w:rPr/>
        <w:t>service</w:t>
      </w:r>
      <w:r>
        <w:rPr>
          <w:spacing w:val="-3"/>
        </w:rPr>
        <w:t> </w:t>
      </w:r>
      <w:r>
        <w:rPr/>
        <w:t>area</w:t>
      </w:r>
      <w:r>
        <w:rPr>
          <w:spacing w:val="-4"/>
        </w:rPr>
        <w:t> </w:t>
      </w:r>
      <w:r>
        <w:rPr/>
        <w:t>generally</w:t>
      </w:r>
      <w:r>
        <w:rPr>
          <w:spacing w:val="-3"/>
        </w:rPr>
        <w:t> </w:t>
      </w:r>
      <w:r>
        <w:rPr/>
        <w:t>being</w:t>
      </w:r>
      <w:r>
        <w:rPr>
          <w:spacing w:val="-2"/>
        </w:rPr>
        <w:t> </w:t>
      </w:r>
      <w:r>
        <w:rPr/>
        <w:t>community</w:t>
      </w:r>
      <w:r>
        <w:rPr>
          <w:spacing w:val="-4"/>
        </w:rPr>
        <w:t> </w:t>
      </w:r>
      <w:r>
        <w:rPr/>
        <w:t>wide</w:t>
      </w:r>
      <w:r>
        <w:rPr>
          <w:spacing w:val="-4"/>
        </w:rPr>
        <w:t> </w:t>
      </w:r>
      <w:r>
        <w:rPr/>
        <w:t>or</w:t>
      </w:r>
      <w:r>
        <w:rPr>
          <w:spacing w:val="-2"/>
        </w:rPr>
        <w:t> </w:t>
      </w:r>
      <w:r>
        <w:rPr/>
        <w:t>larger.</w:t>
      </w:r>
      <w:r>
        <w:rPr>
          <w:spacing w:val="-2"/>
        </w:rPr>
        <w:t> </w:t>
      </w:r>
      <w:r>
        <w:rPr/>
        <w:t>Linear</w:t>
      </w:r>
      <w:r>
        <w:rPr>
          <w:spacing w:val="-3"/>
        </w:rPr>
        <w:t> </w:t>
      </w:r>
      <w:r>
        <w:rPr/>
        <w:t>parks are developed for recreational travel, or to enjoy linear resources such as waterways, shelterbelts, streetscapes, or similar amenities. They are typically long and narrow in shape, with a community wide or larger service area. Detailed criteria for each type of park are identified in the Parks, Trails, Open Space and Facilities Master Plan,</w:t>
      </w:r>
      <w:r>
        <w:rPr>
          <w:spacing w:val="-9"/>
        </w:rPr>
        <w:t> </w:t>
      </w:r>
      <w:r>
        <w:rPr/>
        <w:t>2014-2019.</w:t>
      </w:r>
    </w:p>
    <w:p>
      <w:pPr>
        <w:spacing w:before="120"/>
        <w:ind w:left="120" w:right="0" w:firstLine="0"/>
        <w:jc w:val="both"/>
        <w:rPr>
          <w:rFonts w:ascii="Arial"/>
          <w:b/>
          <w:sz w:val="20"/>
        </w:rPr>
      </w:pPr>
      <w:r>
        <w:rPr>
          <w:rFonts w:ascii="Arial"/>
          <w:b/>
          <w:sz w:val="20"/>
        </w:rPr>
        <w:t>Table CF-1: Park Area Total</w:t>
      </w:r>
    </w:p>
    <w:p>
      <w:pPr>
        <w:pStyle w:val="BodyText"/>
        <w:spacing w:before="4"/>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31"/>
        <w:gridCol w:w="2045"/>
        <w:gridCol w:w="1824"/>
      </w:tblGrid>
      <w:tr>
        <w:trPr>
          <w:trHeight w:val="688" w:hRule="atLeast"/>
        </w:trPr>
        <w:tc>
          <w:tcPr>
            <w:tcW w:w="4231" w:type="dxa"/>
            <w:shd w:val="clear" w:color="auto" w:fill="B8CCE3"/>
          </w:tcPr>
          <w:p>
            <w:pPr>
              <w:pStyle w:val="TableParagraph"/>
              <w:spacing w:before="122"/>
              <w:rPr>
                <w:b/>
                <w:sz w:val="22"/>
              </w:rPr>
            </w:pPr>
            <w:r>
              <w:rPr>
                <w:b/>
                <w:sz w:val="22"/>
              </w:rPr>
              <w:t>Park type</w:t>
            </w:r>
          </w:p>
        </w:tc>
        <w:tc>
          <w:tcPr>
            <w:tcW w:w="2045" w:type="dxa"/>
            <w:shd w:val="clear" w:color="auto" w:fill="B8CCE3"/>
          </w:tcPr>
          <w:p>
            <w:pPr>
              <w:pStyle w:val="TableParagraph"/>
              <w:spacing w:before="122"/>
              <w:rPr>
                <w:b/>
                <w:sz w:val="22"/>
              </w:rPr>
            </w:pPr>
            <w:r>
              <w:rPr>
                <w:b/>
                <w:sz w:val="22"/>
              </w:rPr>
              <w:t>Acres</w:t>
            </w:r>
          </w:p>
        </w:tc>
        <w:tc>
          <w:tcPr>
            <w:tcW w:w="1824" w:type="dxa"/>
            <w:shd w:val="clear" w:color="auto" w:fill="B8CCE3"/>
          </w:tcPr>
          <w:p>
            <w:pPr>
              <w:pStyle w:val="TableParagraph"/>
              <w:spacing w:line="280" w:lineRule="atLeast" w:before="100"/>
              <w:ind w:right="616"/>
              <w:rPr>
                <w:b/>
                <w:sz w:val="22"/>
              </w:rPr>
            </w:pPr>
            <w:r>
              <w:rPr>
                <w:b/>
                <w:sz w:val="22"/>
              </w:rPr>
              <w:t>Number of Parks</w:t>
            </w:r>
          </w:p>
        </w:tc>
      </w:tr>
      <w:tr>
        <w:trPr>
          <w:trHeight w:val="325" w:hRule="atLeast"/>
        </w:trPr>
        <w:tc>
          <w:tcPr>
            <w:tcW w:w="4231" w:type="dxa"/>
          </w:tcPr>
          <w:p>
            <w:pPr>
              <w:pStyle w:val="TableParagraph"/>
              <w:spacing w:line="244" w:lineRule="exact" w:before="62"/>
              <w:rPr>
                <w:sz w:val="22"/>
              </w:rPr>
            </w:pPr>
            <w:r>
              <w:rPr>
                <w:rFonts w:ascii="Calibri"/>
                <w:sz w:val="21"/>
              </w:rPr>
              <w:t>Neighborhood </w:t>
            </w:r>
            <w:r>
              <w:rPr>
                <w:sz w:val="22"/>
              </w:rPr>
              <w:t>Parks</w:t>
            </w:r>
          </w:p>
        </w:tc>
        <w:tc>
          <w:tcPr>
            <w:tcW w:w="2045" w:type="dxa"/>
          </w:tcPr>
          <w:p>
            <w:pPr>
              <w:pStyle w:val="TableParagraph"/>
              <w:spacing w:line="246" w:lineRule="exact"/>
              <w:rPr>
                <w:sz w:val="22"/>
              </w:rPr>
            </w:pPr>
            <w:r>
              <w:rPr>
                <w:sz w:val="22"/>
              </w:rPr>
              <w:t>78.6</w:t>
            </w:r>
          </w:p>
        </w:tc>
        <w:tc>
          <w:tcPr>
            <w:tcW w:w="1824" w:type="dxa"/>
          </w:tcPr>
          <w:p>
            <w:pPr>
              <w:pStyle w:val="TableParagraph"/>
              <w:spacing w:line="246" w:lineRule="exact"/>
              <w:rPr>
                <w:sz w:val="22"/>
              </w:rPr>
            </w:pPr>
            <w:r>
              <w:rPr>
                <w:sz w:val="22"/>
              </w:rPr>
              <w:t>25</w:t>
            </w:r>
          </w:p>
        </w:tc>
      </w:tr>
      <w:tr>
        <w:trPr>
          <w:trHeight w:val="323" w:hRule="atLeast"/>
        </w:trPr>
        <w:tc>
          <w:tcPr>
            <w:tcW w:w="4231" w:type="dxa"/>
          </w:tcPr>
          <w:p>
            <w:pPr>
              <w:pStyle w:val="TableParagraph"/>
              <w:spacing w:line="244" w:lineRule="exact"/>
              <w:rPr>
                <w:sz w:val="22"/>
              </w:rPr>
            </w:pPr>
            <w:r>
              <w:rPr>
                <w:sz w:val="22"/>
              </w:rPr>
              <w:t>Community Parks</w:t>
            </w:r>
          </w:p>
        </w:tc>
        <w:tc>
          <w:tcPr>
            <w:tcW w:w="2045" w:type="dxa"/>
          </w:tcPr>
          <w:p>
            <w:pPr>
              <w:pStyle w:val="TableParagraph"/>
              <w:spacing w:line="244" w:lineRule="exact"/>
              <w:rPr>
                <w:sz w:val="22"/>
              </w:rPr>
            </w:pPr>
            <w:r>
              <w:rPr>
                <w:sz w:val="22"/>
              </w:rPr>
              <w:t>220</w:t>
            </w:r>
          </w:p>
        </w:tc>
        <w:tc>
          <w:tcPr>
            <w:tcW w:w="1824" w:type="dxa"/>
          </w:tcPr>
          <w:p>
            <w:pPr>
              <w:pStyle w:val="TableParagraph"/>
              <w:spacing w:line="244" w:lineRule="exact"/>
              <w:rPr>
                <w:sz w:val="22"/>
              </w:rPr>
            </w:pPr>
            <w:r>
              <w:rPr>
                <w:w w:val="100"/>
                <w:sz w:val="22"/>
              </w:rPr>
              <w:t>4</w:t>
            </w:r>
          </w:p>
        </w:tc>
      </w:tr>
      <w:tr>
        <w:trPr>
          <w:trHeight w:val="323" w:hRule="atLeast"/>
        </w:trPr>
        <w:tc>
          <w:tcPr>
            <w:tcW w:w="4231" w:type="dxa"/>
          </w:tcPr>
          <w:p>
            <w:pPr>
              <w:pStyle w:val="TableParagraph"/>
              <w:spacing w:line="244" w:lineRule="exact"/>
              <w:rPr>
                <w:sz w:val="22"/>
              </w:rPr>
            </w:pPr>
            <w:r>
              <w:rPr>
                <w:sz w:val="22"/>
              </w:rPr>
              <w:t>Regional Parks</w:t>
            </w:r>
          </w:p>
        </w:tc>
        <w:tc>
          <w:tcPr>
            <w:tcW w:w="2045" w:type="dxa"/>
          </w:tcPr>
          <w:p>
            <w:pPr>
              <w:pStyle w:val="TableParagraph"/>
              <w:spacing w:line="244" w:lineRule="exact"/>
              <w:rPr>
                <w:sz w:val="22"/>
              </w:rPr>
            </w:pPr>
            <w:r>
              <w:rPr>
                <w:sz w:val="22"/>
              </w:rPr>
              <w:t>170</w:t>
            </w:r>
          </w:p>
        </w:tc>
        <w:tc>
          <w:tcPr>
            <w:tcW w:w="1824" w:type="dxa"/>
          </w:tcPr>
          <w:p>
            <w:pPr>
              <w:pStyle w:val="TableParagraph"/>
              <w:spacing w:line="244" w:lineRule="exact"/>
              <w:rPr>
                <w:sz w:val="22"/>
              </w:rPr>
            </w:pPr>
            <w:r>
              <w:rPr>
                <w:w w:val="100"/>
                <w:sz w:val="22"/>
              </w:rPr>
              <w:t>2</w:t>
            </w:r>
          </w:p>
        </w:tc>
      </w:tr>
      <w:tr>
        <w:trPr>
          <w:trHeight w:val="323" w:hRule="atLeast"/>
        </w:trPr>
        <w:tc>
          <w:tcPr>
            <w:tcW w:w="4231" w:type="dxa"/>
          </w:tcPr>
          <w:p>
            <w:pPr>
              <w:pStyle w:val="TableParagraph"/>
              <w:spacing w:line="244" w:lineRule="exact"/>
              <w:rPr>
                <w:sz w:val="22"/>
              </w:rPr>
            </w:pPr>
            <w:r>
              <w:rPr>
                <w:sz w:val="22"/>
              </w:rPr>
              <w:t>Special Use Areas</w:t>
            </w:r>
          </w:p>
        </w:tc>
        <w:tc>
          <w:tcPr>
            <w:tcW w:w="2045" w:type="dxa"/>
          </w:tcPr>
          <w:p>
            <w:pPr>
              <w:pStyle w:val="TableParagraph"/>
              <w:spacing w:line="244" w:lineRule="exact"/>
              <w:rPr>
                <w:sz w:val="22"/>
              </w:rPr>
            </w:pPr>
            <w:r>
              <w:rPr>
                <w:sz w:val="22"/>
              </w:rPr>
              <w:t>702</w:t>
            </w:r>
          </w:p>
        </w:tc>
        <w:tc>
          <w:tcPr>
            <w:tcW w:w="1824" w:type="dxa"/>
          </w:tcPr>
          <w:p>
            <w:pPr>
              <w:pStyle w:val="TableParagraph"/>
              <w:spacing w:line="244" w:lineRule="exact"/>
              <w:rPr>
                <w:sz w:val="22"/>
              </w:rPr>
            </w:pPr>
            <w:r>
              <w:rPr>
                <w:sz w:val="22"/>
              </w:rPr>
              <w:t>11</w:t>
            </w:r>
          </w:p>
        </w:tc>
      </w:tr>
      <w:tr>
        <w:trPr>
          <w:trHeight w:val="323" w:hRule="atLeast"/>
        </w:trPr>
        <w:tc>
          <w:tcPr>
            <w:tcW w:w="4231" w:type="dxa"/>
          </w:tcPr>
          <w:p>
            <w:pPr>
              <w:pStyle w:val="TableParagraph"/>
              <w:spacing w:line="244" w:lineRule="exact"/>
              <w:rPr>
                <w:sz w:val="22"/>
              </w:rPr>
            </w:pPr>
            <w:r>
              <w:rPr>
                <w:sz w:val="22"/>
              </w:rPr>
              <w:t>Linear Parks</w:t>
            </w:r>
          </w:p>
        </w:tc>
        <w:tc>
          <w:tcPr>
            <w:tcW w:w="2045" w:type="dxa"/>
          </w:tcPr>
          <w:p>
            <w:pPr>
              <w:pStyle w:val="TableParagraph"/>
              <w:spacing w:line="244" w:lineRule="exact"/>
              <w:rPr>
                <w:sz w:val="22"/>
              </w:rPr>
            </w:pPr>
            <w:r>
              <w:rPr>
                <w:sz w:val="22"/>
              </w:rPr>
              <w:t>240</w:t>
            </w:r>
          </w:p>
        </w:tc>
        <w:tc>
          <w:tcPr>
            <w:tcW w:w="1824" w:type="dxa"/>
          </w:tcPr>
          <w:p>
            <w:pPr>
              <w:pStyle w:val="TableParagraph"/>
              <w:spacing w:line="244" w:lineRule="exact"/>
              <w:rPr>
                <w:sz w:val="22"/>
              </w:rPr>
            </w:pPr>
            <w:r>
              <w:rPr>
                <w:w w:val="100"/>
                <w:sz w:val="22"/>
              </w:rPr>
              <w:t>9</w:t>
            </w:r>
          </w:p>
        </w:tc>
      </w:tr>
      <w:tr>
        <w:trPr>
          <w:trHeight w:val="325" w:hRule="atLeast"/>
        </w:trPr>
        <w:tc>
          <w:tcPr>
            <w:tcW w:w="4231" w:type="dxa"/>
          </w:tcPr>
          <w:p>
            <w:pPr>
              <w:pStyle w:val="TableParagraph"/>
              <w:spacing w:line="244" w:lineRule="exact" w:before="62"/>
              <w:rPr>
                <w:sz w:val="22"/>
              </w:rPr>
            </w:pPr>
            <w:r>
              <w:rPr>
                <w:sz w:val="22"/>
              </w:rPr>
              <w:t>Natural Open Space</w:t>
            </w:r>
          </w:p>
        </w:tc>
        <w:tc>
          <w:tcPr>
            <w:tcW w:w="2045" w:type="dxa"/>
          </w:tcPr>
          <w:p>
            <w:pPr>
              <w:pStyle w:val="TableParagraph"/>
              <w:spacing w:line="244" w:lineRule="exact" w:before="62"/>
              <w:rPr>
                <w:sz w:val="22"/>
              </w:rPr>
            </w:pPr>
            <w:r>
              <w:rPr>
                <w:sz w:val="22"/>
              </w:rPr>
              <w:t>873.98</w:t>
            </w:r>
          </w:p>
        </w:tc>
        <w:tc>
          <w:tcPr>
            <w:tcW w:w="1824" w:type="dxa"/>
          </w:tcPr>
          <w:p>
            <w:pPr>
              <w:pStyle w:val="TableParagraph"/>
              <w:spacing w:line="244" w:lineRule="exact" w:before="62"/>
              <w:rPr>
                <w:sz w:val="22"/>
              </w:rPr>
            </w:pPr>
            <w:r>
              <w:rPr>
                <w:w w:val="100"/>
                <w:sz w:val="22"/>
              </w:rPr>
              <w:t>7</w:t>
            </w:r>
          </w:p>
        </w:tc>
      </w:tr>
      <w:tr>
        <w:trPr>
          <w:trHeight w:val="323" w:hRule="atLeast"/>
        </w:trPr>
        <w:tc>
          <w:tcPr>
            <w:tcW w:w="4231" w:type="dxa"/>
          </w:tcPr>
          <w:p>
            <w:pPr>
              <w:pStyle w:val="TableParagraph"/>
              <w:spacing w:line="244" w:lineRule="exact"/>
              <w:rPr>
                <w:b/>
                <w:sz w:val="22"/>
              </w:rPr>
            </w:pPr>
            <w:r>
              <w:rPr>
                <w:b/>
                <w:sz w:val="22"/>
              </w:rPr>
              <w:t>Total Parks and Recreation Areas</w:t>
            </w:r>
          </w:p>
        </w:tc>
        <w:tc>
          <w:tcPr>
            <w:tcW w:w="2045" w:type="dxa"/>
          </w:tcPr>
          <w:p>
            <w:pPr>
              <w:pStyle w:val="TableParagraph"/>
              <w:spacing w:line="244" w:lineRule="exact"/>
              <w:rPr>
                <w:b/>
                <w:sz w:val="22"/>
              </w:rPr>
            </w:pPr>
            <w:r>
              <w:rPr>
                <w:b/>
                <w:sz w:val="22"/>
              </w:rPr>
              <w:t>2,285.6</w:t>
            </w:r>
          </w:p>
        </w:tc>
        <w:tc>
          <w:tcPr>
            <w:tcW w:w="1824" w:type="dxa"/>
          </w:tcPr>
          <w:p>
            <w:pPr>
              <w:pStyle w:val="TableParagraph"/>
              <w:spacing w:line="244" w:lineRule="exact"/>
              <w:rPr>
                <w:b/>
                <w:sz w:val="22"/>
              </w:rPr>
            </w:pPr>
            <w:r>
              <w:rPr>
                <w:b/>
                <w:sz w:val="22"/>
              </w:rPr>
              <w:t>58</w:t>
            </w:r>
          </w:p>
        </w:tc>
      </w:tr>
    </w:tbl>
    <w:p>
      <w:pPr>
        <w:pStyle w:val="BodyText"/>
        <w:spacing w:before="119"/>
        <w:ind w:left="120" w:right="235"/>
        <w:jc w:val="both"/>
      </w:pPr>
      <w:r>
        <w:rPr/>
        <w:t>Each</w:t>
      </w:r>
      <w:r>
        <w:rPr>
          <w:spacing w:val="-6"/>
        </w:rPr>
        <w:t> </w:t>
      </w:r>
      <w:r>
        <w:rPr/>
        <w:t>park’s</w:t>
      </w:r>
      <w:r>
        <w:rPr>
          <w:spacing w:val="-8"/>
        </w:rPr>
        <w:t> </w:t>
      </w:r>
      <w:r>
        <w:rPr/>
        <w:t>classification,</w:t>
      </w:r>
      <w:r>
        <w:rPr>
          <w:spacing w:val="-9"/>
        </w:rPr>
        <w:t> </w:t>
      </w:r>
      <w:r>
        <w:rPr/>
        <w:t>acreage,</w:t>
      </w:r>
      <w:r>
        <w:rPr>
          <w:spacing w:val="-7"/>
        </w:rPr>
        <w:t> </w:t>
      </w:r>
      <w:r>
        <w:rPr/>
        <w:t>and</w:t>
      </w:r>
      <w:r>
        <w:rPr>
          <w:spacing w:val="-7"/>
        </w:rPr>
        <w:t> </w:t>
      </w:r>
      <w:r>
        <w:rPr/>
        <w:t>development</w:t>
      </w:r>
      <w:r>
        <w:rPr>
          <w:spacing w:val="-9"/>
        </w:rPr>
        <w:t> </w:t>
      </w:r>
      <w:r>
        <w:rPr/>
        <w:t>status</w:t>
      </w:r>
      <w:r>
        <w:rPr>
          <w:spacing w:val="-7"/>
        </w:rPr>
        <w:t> </w:t>
      </w:r>
      <w:r>
        <w:rPr/>
        <w:t>is</w:t>
      </w:r>
      <w:r>
        <w:rPr>
          <w:spacing w:val="-8"/>
        </w:rPr>
        <w:t> </w:t>
      </w:r>
      <w:r>
        <w:rPr/>
        <w:t>shown</w:t>
      </w:r>
      <w:r>
        <w:rPr>
          <w:spacing w:val="-10"/>
        </w:rPr>
        <w:t> </w:t>
      </w:r>
      <w:r>
        <w:rPr/>
        <w:t>in</w:t>
      </w:r>
      <w:r>
        <w:rPr>
          <w:spacing w:val="-8"/>
        </w:rPr>
        <w:t> </w:t>
      </w:r>
      <w:r>
        <w:rPr/>
        <w:t>Table</w:t>
      </w:r>
      <w:r>
        <w:rPr>
          <w:spacing w:val="-6"/>
        </w:rPr>
        <w:t> </w:t>
      </w:r>
      <w:r>
        <w:rPr/>
        <w:t>CF-2.</w:t>
      </w:r>
      <w:r>
        <w:rPr>
          <w:spacing w:val="-9"/>
        </w:rPr>
        <w:t> </w:t>
      </w:r>
      <w:r>
        <w:rPr/>
        <w:t>The</w:t>
      </w:r>
      <w:r>
        <w:rPr>
          <w:spacing w:val="-8"/>
        </w:rPr>
        <w:t> </w:t>
      </w:r>
      <w:r>
        <w:rPr/>
        <w:t>location</w:t>
      </w:r>
      <w:r>
        <w:rPr>
          <w:spacing w:val="-8"/>
        </w:rPr>
        <w:t> </w:t>
      </w:r>
      <w:r>
        <w:rPr/>
        <w:t>of</w:t>
      </w:r>
      <w:r>
        <w:rPr>
          <w:spacing w:val="-9"/>
        </w:rPr>
        <w:t> </w:t>
      </w:r>
      <w:r>
        <w:rPr/>
        <w:t>all parks is shown in the parks and open space map in the Comprehensive</w:t>
      </w:r>
      <w:r>
        <w:rPr>
          <w:spacing w:val="-20"/>
        </w:rPr>
        <w:t> </w:t>
      </w:r>
      <w:r>
        <w:rPr/>
        <w:t>Plan.</w:t>
      </w:r>
    </w:p>
    <w:p>
      <w:pPr>
        <w:spacing w:before="120"/>
        <w:ind w:left="120" w:right="0" w:firstLine="0"/>
        <w:jc w:val="both"/>
        <w:rPr>
          <w:rFonts w:ascii="Arial"/>
          <w:b/>
          <w:sz w:val="20"/>
        </w:rPr>
      </w:pPr>
      <w:r>
        <w:rPr>
          <w:rFonts w:ascii="Arial"/>
          <w:b/>
          <w:sz w:val="20"/>
        </w:rPr>
        <w:t>Table CF-2: Inventory of Existing City Parks</w:t>
      </w:r>
    </w:p>
    <w:p>
      <w:pPr>
        <w:pStyle w:val="BodyText"/>
        <w:spacing w:before="6"/>
        <w:rPr>
          <w:rFonts w:ascii="Arial"/>
          <w:b/>
          <w:sz w:val="10"/>
        </w:rPr>
      </w:pPr>
    </w:p>
    <w:tbl>
      <w:tblPr>
        <w:tblW w:w="0" w:type="auto"/>
        <w:jc w:val="left"/>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26"/>
        <w:gridCol w:w="1349"/>
        <w:gridCol w:w="3600"/>
      </w:tblGrid>
      <w:tr>
        <w:trPr>
          <w:trHeight w:val="402" w:hRule="atLeast"/>
        </w:trPr>
        <w:tc>
          <w:tcPr>
            <w:tcW w:w="4426" w:type="dxa"/>
            <w:tcBorders>
              <w:bottom w:val="single" w:sz="8" w:space="0" w:color="3C5D97"/>
              <w:right w:val="single" w:sz="8" w:space="0" w:color="3C5D97"/>
            </w:tcBorders>
            <w:shd w:val="clear" w:color="auto" w:fill="B8CCE3"/>
          </w:tcPr>
          <w:p>
            <w:pPr>
              <w:pStyle w:val="TableParagraph"/>
              <w:spacing w:before="119"/>
              <w:rPr>
                <w:b/>
                <w:sz w:val="22"/>
              </w:rPr>
            </w:pPr>
            <w:r>
              <w:rPr>
                <w:b/>
                <w:sz w:val="22"/>
              </w:rPr>
              <w:t>Park</w:t>
            </w:r>
          </w:p>
        </w:tc>
        <w:tc>
          <w:tcPr>
            <w:tcW w:w="1349" w:type="dxa"/>
            <w:tcBorders>
              <w:left w:val="single" w:sz="8" w:space="0" w:color="3C5D97"/>
              <w:bottom w:val="single" w:sz="8" w:space="0" w:color="3C5D97"/>
              <w:right w:val="single" w:sz="8" w:space="0" w:color="3C5D97"/>
            </w:tcBorders>
            <w:shd w:val="clear" w:color="auto" w:fill="B8CCE3"/>
          </w:tcPr>
          <w:p>
            <w:pPr>
              <w:pStyle w:val="TableParagraph"/>
              <w:spacing w:before="119"/>
              <w:ind w:left="102"/>
              <w:rPr>
                <w:b/>
                <w:sz w:val="22"/>
              </w:rPr>
            </w:pPr>
            <w:r>
              <w:rPr>
                <w:b/>
                <w:sz w:val="22"/>
              </w:rPr>
              <w:t>Acreage</w:t>
            </w:r>
          </w:p>
        </w:tc>
        <w:tc>
          <w:tcPr>
            <w:tcW w:w="3600" w:type="dxa"/>
            <w:tcBorders>
              <w:left w:val="single" w:sz="8" w:space="0" w:color="3C5D97"/>
              <w:bottom w:val="single" w:sz="8" w:space="0" w:color="3C5D97"/>
            </w:tcBorders>
            <w:shd w:val="clear" w:color="auto" w:fill="B8CCE3"/>
          </w:tcPr>
          <w:p>
            <w:pPr>
              <w:pStyle w:val="TableParagraph"/>
              <w:spacing w:before="119"/>
              <w:ind w:left="102"/>
              <w:rPr>
                <w:b/>
                <w:sz w:val="22"/>
              </w:rPr>
            </w:pPr>
            <w:r>
              <w:rPr>
                <w:b/>
                <w:sz w:val="22"/>
              </w:rPr>
              <w:t>Type1</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Barth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0.35</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Neighborhood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Beverly Heights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2.6</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Neighborhood park, developed</w:t>
            </w:r>
          </w:p>
        </w:tc>
      </w:tr>
      <w:tr>
        <w:trPr>
          <w:trHeight w:val="323" w:hRule="atLeast"/>
        </w:trPr>
        <w:tc>
          <w:tcPr>
            <w:tcW w:w="4426" w:type="dxa"/>
            <w:tcBorders>
              <w:top w:val="single" w:sz="8" w:space="0" w:color="3C5D97"/>
              <w:right w:val="single" w:sz="8" w:space="0" w:color="3C5D97"/>
            </w:tcBorders>
          </w:tcPr>
          <w:p>
            <w:pPr>
              <w:pStyle w:val="TableParagraph"/>
              <w:spacing w:line="242" w:lineRule="exact" w:before="61"/>
              <w:rPr>
                <w:sz w:val="22"/>
              </w:rPr>
            </w:pPr>
            <w:r>
              <w:rPr>
                <w:sz w:val="22"/>
              </w:rPr>
              <w:t>Brookshire Park</w:t>
            </w:r>
          </w:p>
        </w:tc>
        <w:tc>
          <w:tcPr>
            <w:tcW w:w="1349" w:type="dxa"/>
            <w:tcBorders>
              <w:top w:val="single" w:sz="8" w:space="0" w:color="3C5D97"/>
              <w:left w:val="single" w:sz="8" w:space="0" w:color="3C5D97"/>
              <w:right w:val="single" w:sz="8" w:space="0" w:color="3C5D97"/>
            </w:tcBorders>
          </w:tcPr>
          <w:p>
            <w:pPr>
              <w:pStyle w:val="TableParagraph"/>
              <w:spacing w:line="242" w:lineRule="exact" w:before="61"/>
              <w:ind w:left="102"/>
              <w:rPr>
                <w:sz w:val="22"/>
              </w:rPr>
            </w:pPr>
            <w:r>
              <w:rPr>
                <w:sz w:val="22"/>
              </w:rPr>
              <w:t>2.5</w:t>
            </w:r>
          </w:p>
        </w:tc>
        <w:tc>
          <w:tcPr>
            <w:tcW w:w="3600" w:type="dxa"/>
            <w:tcBorders>
              <w:top w:val="single" w:sz="8" w:space="0" w:color="3C5D97"/>
              <w:left w:val="single" w:sz="8" w:space="0" w:color="3C5D97"/>
            </w:tcBorders>
          </w:tcPr>
          <w:p>
            <w:pPr>
              <w:pStyle w:val="TableParagraph"/>
              <w:spacing w:line="242" w:lineRule="exact" w:before="61"/>
              <w:ind w:left="102"/>
              <w:rPr>
                <w:sz w:val="22"/>
              </w:rPr>
            </w:pPr>
            <w:r>
              <w:rPr>
                <w:sz w:val="22"/>
              </w:rPr>
              <w:t>Neighborhood park, developed</w:t>
            </w:r>
          </w:p>
        </w:tc>
      </w:tr>
    </w:tbl>
    <w:p>
      <w:pPr>
        <w:spacing w:after="0" w:line="242" w:lineRule="exact"/>
        <w:rPr>
          <w:sz w:val="22"/>
        </w:rPr>
        <w:sectPr>
          <w:pgSz w:w="12240" w:h="15840"/>
          <w:pgMar w:header="0" w:footer="1052" w:top="1360" w:bottom="1320" w:left="1320" w:right="1200"/>
        </w:sectPr>
      </w:pPr>
    </w:p>
    <w:tbl>
      <w:tblPr>
        <w:tblW w:w="0" w:type="auto"/>
        <w:jc w:val="left"/>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26"/>
        <w:gridCol w:w="1349"/>
        <w:gridCol w:w="3600"/>
      </w:tblGrid>
      <w:tr>
        <w:trPr>
          <w:trHeight w:val="402" w:hRule="atLeast"/>
        </w:trPr>
        <w:tc>
          <w:tcPr>
            <w:tcW w:w="4426" w:type="dxa"/>
            <w:tcBorders>
              <w:bottom w:val="single" w:sz="8" w:space="0" w:color="3C5D97"/>
              <w:right w:val="single" w:sz="8" w:space="0" w:color="3C5D97"/>
            </w:tcBorders>
            <w:shd w:val="clear" w:color="auto" w:fill="B8CCE3"/>
          </w:tcPr>
          <w:p>
            <w:pPr>
              <w:pStyle w:val="TableParagraph"/>
              <w:spacing w:before="119"/>
              <w:rPr>
                <w:b/>
                <w:sz w:val="22"/>
              </w:rPr>
            </w:pPr>
            <w:r>
              <w:rPr>
                <w:b/>
                <w:sz w:val="22"/>
              </w:rPr>
              <w:t>Park</w:t>
            </w:r>
          </w:p>
        </w:tc>
        <w:tc>
          <w:tcPr>
            <w:tcW w:w="1349" w:type="dxa"/>
            <w:tcBorders>
              <w:left w:val="single" w:sz="8" w:space="0" w:color="3C5D97"/>
              <w:bottom w:val="single" w:sz="8" w:space="0" w:color="3C5D97"/>
              <w:right w:val="single" w:sz="8" w:space="0" w:color="3C5D97"/>
            </w:tcBorders>
            <w:shd w:val="clear" w:color="auto" w:fill="B8CCE3"/>
          </w:tcPr>
          <w:p>
            <w:pPr>
              <w:pStyle w:val="TableParagraph"/>
              <w:spacing w:before="119"/>
              <w:ind w:left="102"/>
              <w:rPr>
                <w:b/>
                <w:sz w:val="22"/>
              </w:rPr>
            </w:pPr>
            <w:r>
              <w:rPr>
                <w:b/>
                <w:sz w:val="22"/>
              </w:rPr>
              <w:t>Acreage</w:t>
            </w:r>
          </w:p>
        </w:tc>
        <w:tc>
          <w:tcPr>
            <w:tcW w:w="3600" w:type="dxa"/>
            <w:tcBorders>
              <w:left w:val="single" w:sz="8" w:space="0" w:color="3C5D97"/>
              <w:bottom w:val="single" w:sz="8" w:space="0" w:color="3C5D97"/>
            </w:tcBorders>
            <w:shd w:val="clear" w:color="auto" w:fill="B8CCE3"/>
          </w:tcPr>
          <w:p>
            <w:pPr>
              <w:pStyle w:val="TableParagraph"/>
              <w:spacing w:before="119"/>
              <w:ind w:left="102"/>
              <w:rPr>
                <w:b/>
                <w:sz w:val="22"/>
              </w:rPr>
            </w:pPr>
            <w:r>
              <w:rPr>
                <w:b/>
                <w:sz w:val="22"/>
              </w:rPr>
              <w:t>Type1</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Chaparral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w w:val="100"/>
                <w:sz w:val="22"/>
              </w:rPr>
              <w:t>3</w:t>
            </w:r>
          </w:p>
        </w:tc>
        <w:tc>
          <w:tcPr>
            <w:tcW w:w="3600" w:type="dxa"/>
            <w:tcBorders>
              <w:top w:val="single" w:sz="8" w:space="0" w:color="3C5D97"/>
              <w:left w:val="single" w:sz="8" w:space="0" w:color="3C5D97"/>
              <w:bottom w:val="single" w:sz="8" w:space="0" w:color="3C5D97"/>
            </w:tcBorders>
          </w:tcPr>
          <w:p>
            <w:pPr>
              <w:pStyle w:val="TableParagraph"/>
              <w:spacing w:line="244" w:lineRule="exact" w:before="61"/>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Craighill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3.41</w:t>
            </w:r>
          </w:p>
        </w:tc>
        <w:tc>
          <w:tcPr>
            <w:tcW w:w="3600" w:type="dxa"/>
            <w:tcBorders>
              <w:top w:val="single" w:sz="8" w:space="0" w:color="3C5D97"/>
              <w:left w:val="single" w:sz="8" w:space="0" w:color="3C5D97"/>
              <w:bottom w:val="single" w:sz="8" w:space="0" w:color="3C5D97"/>
            </w:tcBorders>
          </w:tcPr>
          <w:p>
            <w:pPr>
              <w:pStyle w:val="TableParagraph"/>
              <w:spacing w:line="244" w:lineRule="exact"/>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Crested Hills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5.8</w:t>
            </w:r>
          </w:p>
        </w:tc>
        <w:tc>
          <w:tcPr>
            <w:tcW w:w="3600" w:type="dxa"/>
            <w:tcBorders>
              <w:top w:val="single" w:sz="8" w:space="0" w:color="3C5D97"/>
              <w:left w:val="single" w:sz="8" w:space="0" w:color="3C5D97"/>
              <w:bottom w:val="single" w:sz="8" w:space="0" w:color="3C5D97"/>
            </w:tcBorders>
          </w:tcPr>
          <w:p>
            <w:pPr>
              <w:pStyle w:val="TableParagraph"/>
              <w:spacing w:line="244" w:lineRule="exact"/>
              <w:ind w:left="102"/>
              <w:rPr>
                <w:sz w:val="22"/>
              </w:rPr>
            </w:pPr>
            <w:r>
              <w:rPr>
                <w:sz w:val="22"/>
              </w:rPr>
              <w:t>Neighborhood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Desert Rim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2.84</w:t>
            </w:r>
          </w:p>
        </w:tc>
        <w:tc>
          <w:tcPr>
            <w:tcW w:w="3600" w:type="dxa"/>
            <w:tcBorders>
              <w:top w:val="single" w:sz="8" w:space="0" w:color="3C5D97"/>
              <w:left w:val="single" w:sz="8" w:space="0" w:color="3C5D97"/>
              <w:bottom w:val="single" w:sz="8" w:space="0" w:color="3C5D97"/>
            </w:tcBorders>
          </w:tcPr>
          <w:p>
            <w:pPr>
              <w:pStyle w:val="TableParagraph"/>
              <w:spacing w:line="244" w:lineRule="exact" w:before="61"/>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Drollinger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1.5</w:t>
            </w:r>
          </w:p>
        </w:tc>
        <w:tc>
          <w:tcPr>
            <w:tcW w:w="3600" w:type="dxa"/>
            <w:tcBorders>
              <w:top w:val="single" w:sz="8" w:space="0" w:color="3C5D97"/>
              <w:left w:val="single" w:sz="8" w:space="0" w:color="3C5D97"/>
              <w:bottom w:val="single" w:sz="8" w:space="0" w:color="3C5D97"/>
            </w:tcBorders>
          </w:tcPr>
          <w:p>
            <w:pPr>
              <w:pStyle w:val="TableParagraph"/>
              <w:spacing w:line="244" w:lineRule="exact"/>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Frankfort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2.86</w:t>
            </w:r>
          </w:p>
        </w:tc>
        <w:tc>
          <w:tcPr>
            <w:tcW w:w="3600" w:type="dxa"/>
            <w:tcBorders>
              <w:top w:val="single" w:sz="8" w:space="0" w:color="3C5D97"/>
              <w:left w:val="single" w:sz="8" w:space="0" w:color="3C5D97"/>
              <w:bottom w:val="single" w:sz="8" w:space="0" w:color="3C5D97"/>
            </w:tcBorders>
          </w:tcPr>
          <w:p>
            <w:pPr>
              <w:pStyle w:val="TableParagraph"/>
              <w:spacing w:line="244" w:lineRule="exact"/>
              <w:ind w:left="102"/>
              <w:rPr>
                <w:sz w:val="22"/>
              </w:rPr>
            </w:pPr>
            <w:r>
              <w:rPr>
                <w:sz w:val="22"/>
              </w:rPr>
              <w:t>Neighborhood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Gala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w w:val="100"/>
                <w:sz w:val="22"/>
              </w:rPr>
              <w:t>3</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Goethals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w w:val="100"/>
                <w:sz w:val="22"/>
              </w:rPr>
              <w:t>2</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Heritage Hills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1.59</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Neighborhood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Hills West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2.06</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Jadwin/Stevens Triangle</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1.41</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Jason Lee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4.1</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Neighborhood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Jefferson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8.71</w:t>
            </w:r>
          </w:p>
        </w:tc>
        <w:tc>
          <w:tcPr>
            <w:tcW w:w="3600" w:type="dxa"/>
            <w:tcBorders>
              <w:top w:val="single" w:sz="8" w:space="0" w:color="3C5D97"/>
              <w:left w:val="single" w:sz="8" w:space="0" w:color="3C5D97"/>
              <w:bottom w:val="single" w:sz="8" w:space="0" w:color="3C5D97"/>
            </w:tcBorders>
          </w:tcPr>
          <w:p>
            <w:pPr>
              <w:pStyle w:val="TableParagraph"/>
              <w:spacing w:line="244" w:lineRule="exact" w:before="61"/>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Lynnwood Loop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10.9</w:t>
            </w:r>
          </w:p>
        </w:tc>
        <w:tc>
          <w:tcPr>
            <w:tcW w:w="3600" w:type="dxa"/>
            <w:tcBorders>
              <w:top w:val="single" w:sz="8" w:space="0" w:color="3C5D97"/>
              <w:left w:val="single" w:sz="8" w:space="0" w:color="3C5D97"/>
              <w:bottom w:val="single" w:sz="8" w:space="0" w:color="3C5D97"/>
            </w:tcBorders>
          </w:tcPr>
          <w:p>
            <w:pPr>
              <w:pStyle w:val="TableParagraph"/>
              <w:spacing w:line="244" w:lineRule="exact"/>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McMurray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3.04</w:t>
            </w:r>
          </w:p>
        </w:tc>
        <w:tc>
          <w:tcPr>
            <w:tcW w:w="3600" w:type="dxa"/>
            <w:tcBorders>
              <w:top w:val="single" w:sz="8" w:space="0" w:color="3C5D97"/>
              <w:left w:val="single" w:sz="8" w:space="0" w:color="3C5D97"/>
              <w:bottom w:val="single" w:sz="8" w:space="0" w:color="3C5D97"/>
            </w:tcBorders>
          </w:tcPr>
          <w:p>
            <w:pPr>
              <w:pStyle w:val="TableParagraph"/>
              <w:spacing w:line="244" w:lineRule="exact"/>
              <w:ind w:left="102"/>
              <w:rPr>
                <w:sz w:val="22"/>
              </w:rPr>
            </w:pPr>
            <w:r>
              <w:rPr>
                <w:sz w:val="22"/>
              </w:rPr>
              <w:t>Neighborhood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Meadows East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3.04</w:t>
            </w:r>
          </w:p>
        </w:tc>
        <w:tc>
          <w:tcPr>
            <w:tcW w:w="3600" w:type="dxa"/>
            <w:tcBorders>
              <w:top w:val="single" w:sz="8" w:space="0" w:color="3C5D97"/>
              <w:left w:val="single" w:sz="8" w:space="0" w:color="3C5D97"/>
              <w:bottom w:val="single" w:sz="8" w:space="0" w:color="3C5D97"/>
            </w:tcBorders>
          </w:tcPr>
          <w:p>
            <w:pPr>
              <w:pStyle w:val="TableParagraph"/>
              <w:spacing w:line="244" w:lineRule="exact" w:before="61"/>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Oak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3.1</w:t>
            </w:r>
          </w:p>
        </w:tc>
        <w:tc>
          <w:tcPr>
            <w:tcW w:w="3600" w:type="dxa"/>
            <w:tcBorders>
              <w:top w:val="single" w:sz="8" w:space="0" w:color="3C5D97"/>
              <w:left w:val="single" w:sz="8" w:space="0" w:color="3C5D97"/>
              <w:bottom w:val="single" w:sz="8" w:space="0" w:color="3C5D97"/>
            </w:tcBorders>
          </w:tcPr>
          <w:p>
            <w:pPr>
              <w:pStyle w:val="TableParagraph"/>
              <w:spacing w:line="244" w:lineRule="exact"/>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Overlook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0.91</w:t>
            </w:r>
          </w:p>
        </w:tc>
        <w:tc>
          <w:tcPr>
            <w:tcW w:w="3600" w:type="dxa"/>
            <w:tcBorders>
              <w:top w:val="single" w:sz="8" w:space="0" w:color="3C5D97"/>
              <w:left w:val="single" w:sz="8" w:space="0" w:color="3C5D97"/>
              <w:bottom w:val="single" w:sz="8" w:space="0" w:color="3C5D97"/>
            </w:tcBorders>
          </w:tcPr>
          <w:p>
            <w:pPr>
              <w:pStyle w:val="TableParagraph"/>
              <w:spacing w:line="244" w:lineRule="exact"/>
              <w:ind w:left="102"/>
              <w:rPr>
                <w:sz w:val="22"/>
              </w:rPr>
            </w:pPr>
            <w:r>
              <w:rPr>
                <w:sz w:val="22"/>
              </w:rPr>
              <w:t>Neighborhood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Paul Liddell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2.75</w:t>
            </w:r>
          </w:p>
        </w:tc>
        <w:tc>
          <w:tcPr>
            <w:tcW w:w="3600" w:type="dxa"/>
            <w:tcBorders>
              <w:top w:val="single" w:sz="8" w:space="0" w:color="3C5D97"/>
              <w:left w:val="single" w:sz="8" w:space="0" w:color="3C5D97"/>
              <w:bottom w:val="single" w:sz="8" w:space="0" w:color="3C5D97"/>
            </w:tcBorders>
          </w:tcPr>
          <w:p>
            <w:pPr>
              <w:pStyle w:val="TableParagraph"/>
              <w:spacing w:line="244" w:lineRule="exact" w:before="61"/>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Rodney Block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3.1</w:t>
            </w:r>
          </w:p>
        </w:tc>
        <w:tc>
          <w:tcPr>
            <w:tcW w:w="3600" w:type="dxa"/>
            <w:tcBorders>
              <w:top w:val="single" w:sz="8" w:space="0" w:color="3C5D97"/>
              <w:left w:val="single" w:sz="8" w:space="0" w:color="3C5D97"/>
              <w:bottom w:val="single" w:sz="8" w:space="0" w:color="3C5D97"/>
            </w:tcBorders>
          </w:tcPr>
          <w:p>
            <w:pPr>
              <w:pStyle w:val="TableParagraph"/>
              <w:spacing w:line="244" w:lineRule="exact"/>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Stevens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1.41</w:t>
            </w:r>
          </w:p>
        </w:tc>
        <w:tc>
          <w:tcPr>
            <w:tcW w:w="3600" w:type="dxa"/>
            <w:tcBorders>
              <w:top w:val="single" w:sz="8" w:space="0" w:color="3C5D97"/>
              <w:left w:val="single" w:sz="8" w:space="0" w:color="3C5D97"/>
              <w:bottom w:val="single" w:sz="8" w:space="0" w:color="3C5D97"/>
            </w:tcBorders>
          </w:tcPr>
          <w:p>
            <w:pPr>
              <w:pStyle w:val="TableParagraph"/>
              <w:spacing w:line="244" w:lineRule="exact"/>
              <w:ind w:left="102"/>
              <w:rPr>
                <w:sz w:val="22"/>
              </w:rPr>
            </w:pPr>
            <w:r>
              <w:rPr>
                <w:sz w:val="22"/>
              </w:rPr>
              <w:t>Neighborhood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McMurray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3.04</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Neighborhood park, undeveloped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Westwood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0.89</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Neighborhood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Wye Neighborhood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3.15</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Neighborhood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Unnamed Park in Badger Mountain South</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6.0</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Neighborhood park, undeveloped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Badger Mountain Community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80</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Partially Developed</w:t>
            </w:r>
          </w:p>
        </w:tc>
      </w:tr>
      <w:tr>
        <w:trPr>
          <w:trHeight w:val="834" w:hRule="atLeast"/>
        </w:trPr>
        <w:tc>
          <w:tcPr>
            <w:tcW w:w="4426" w:type="dxa"/>
            <w:tcBorders>
              <w:top w:val="single" w:sz="8" w:space="0" w:color="3C5D97"/>
              <w:bottom w:val="single" w:sz="8" w:space="0" w:color="3C5D97"/>
              <w:right w:val="single" w:sz="8" w:space="0" w:color="3C5D97"/>
            </w:tcBorders>
          </w:tcPr>
          <w:p>
            <w:pPr>
              <w:pStyle w:val="TableParagraph"/>
              <w:spacing w:before="8"/>
              <w:ind w:left="0"/>
              <w:rPr>
                <w:rFonts w:ascii="Arial"/>
                <w:b/>
                <w:sz w:val="27"/>
              </w:rPr>
            </w:pPr>
          </w:p>
          <w:p>
            <w:pPr>
              <w:pStyle w:val="TableParagraph"/>
              <w:spacing w:before="0"/>
              <w:rPr>
                <w:sz w:val="22"/>
              </w:rPr>
            </w:pPr>
            <w:r>
              <w:rPr>
                <w:sz w:val="22"/>
              </w:rPr>
              <w:t>Claybell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before="8"/>
              <w:ind w:left="0"/>
              <w:rPr>
                <w:rFonts w:ascii="Arial"/>
                <w:b/>
                <w:sz w:val="27"/>
              </w:rPr>
            </w:pPr>
          </w:p>
          <w:p>
            <w:pPr>
              <w:pStyle w:val="TableParagraph"/>
              <w:spacing w:before="0"/>
              <w:ind w:left="102"/>
              <w:rPr>
                <w:sz w:val="22"/>
              </w:rPr>
            </w:pPr>
            <w:r>
              <w:rPr>
                <w:sz w:val="22"/>
              </w:rPr>
              <w:t>46</w:t>
            </w:r>
          </w:p>
        </w:tc>
        <w:tc>
          <w:tcPr>
            <w:tcW w:w="3600" w:type="dxa"/>
            <w:tcBorders>
              <w:top w:val="single" w:sz="8" w:space="0" w:color="3C5D97"/>
              <w:left w:val="single" w:sz="8" w:space="0" w:color="3C5D97"/>
              <w:bottom w:val="single" w:sz="8" w:space="0" w:color="3C5D97"/>
            </w:tcBorders>
          </w:tcPr>
          <w:p>
            <w:pPr>
              <w:pStyle w:val="TableParagraph"/>
              <w:ind w:left="102"/>
              <w:rPr>
                <w:sz w:val="22"/>
              </w:rPr>
            </w:pPr>
            <w:r>
              <w:rPr>
                <w:sz w:val="22"/>
              </w:rPr>
              <w:t>Community park, partially</w:t>
            </w:r>
          </w:p>
          <w:p>
            <w:pPr>
              <w:pStyle w:val="TableParagraph"/>
              <w:spacing w:line="256" w:lineRule="exact" w:before="6"/>
              <w:ind w:left="102" w:right="358" w:hanging="1"/>
              <w:rPr>
                <w:sz w:val="22"/>
              </w:rPr>
            </w:pPr>
            <w:r>
              <w:rPr>
                <w:sz w:val="22"/>
              </w:rPr>
              <w:t>developed, includes natural open space</w:t>
            </w:r>
          </w:p>
        </w:tc>
      </w:tr>
      <w:tr>
        <w:trPr>
          <w:trHeight w:val="574" w:hRule="atLeast"/>
        </w:trPr>
        <w:tc>
          <w:tcPr>
            <w:tcW w:w="4426" w:type="dxa"/>
            <w:tcBorders>
              <w:top w:val="single" w:sz="8" w:space="0" w:color="3C5D97"/>
              <w:bottom w:val="single" w:sz="8" w:space="0" w:color="3C5D97"/>
              <w:right w:val="single" w:sz="8" w:space="0" w:color="3C5D97"/>
            </w:tcBorders>
          </w:tcPr>
          <w:p>
            <w:pPr>
              <w:pStyle w:val="TableParagraph"/>
              <w:spacing w:before="188"/>
              <w:rPr>
                <w:sz w:val="22"/>
              </w:rPr>
            </w:pPr>
            <w:r>
              <w:rPr>
                <w:sz w:val="22"/>
              </w:rPr>
              <w:t>Hanford Legacy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before="188"/>
              <w:ind w:left="102"/>
              <w:rPr>
                <w:sz w:val="22"/>
              </w:rPr>
            </w:pPr>
            <w:r>
              <w:rPr>
                <w:sz w:val="22"/>
              </w:rPr>
              <w:t>117</w:t>
            </w:r>
          </w:p>
        </w:tc>
        <w:tc>
          <w:tcPr>
            <w:tcW w:w="3600" w:type="dxa"/>
            <w:tcBorders>
              <w:top w:val="single" w:sz="8" w:space="0" w:color="3C5D97"/>
              <w:left w:val="single" w:sz="8" w:space="0" w:color="3C5D97"/>
              <w:bottom w:val="single" w:sz="8" w:space="0" w:color="3C5D97"/>
            </w:tcBorders>
          </w:tcPr>
          <w:p>
            <w:pPr>
              <w:pStyle w:val="TableParagraph"/>
              <w:spacing w:line="260" w:lineRule="atLeast" w:before="56"/>
              <w:ind w:left="102" w:right="993"/>
              <w:rPr>
                <w:sz w:val="22"/>
              </w:rPr>
            </w:pPr>
            <w:r>
              <w:rPr>
                <w:sz w:val="22"/>
              </w:rPr>
              <w:t>Community park, partially developed</w:t>
            </w:r>
          </w:p>
        </w:tc>
      </w:tr>
      <w:tr>
        <w:trPr>
          <w:trHeight w:val="574" w:hRule="atLeast"/>
        </w:trPr>
        <w:tc>
          <w:tcPr>
            <w:tcW w:w="4426" w:type="dxa"/>
            <w:tcBorders>
              <w:top w:val="single" w:sz="8" w:space="0" w:color="3C5D97"/>
              <w:bottom w:val="single" w:sz="8" w:space="0" w:color="3C5D97"/>
              <w:right w:val="single" w:sz="8" w:space="0" w:color="3C5D97"/>
            </w:tcBorders>
          </w:tcPr>
          <w:p>
            <w:pPr>
              <w:pStyle w:val="TableParagraph"/>
              <w:spacing w:before="187"/>
              <w:rPr>
                <w:sz w:val="22"/>
              </w:rPr>
            </w:pPr>
            <w:r>
              <w:rPr>
                <w:sz w:val="22"/>
              </w:rPr>
              <w:t>Trailhead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before="187"/>
              <w:ind w:left="102"/>
              <w:rPr>
                <w:sz w:val="22"/>
              </w:rPr>
            </w:pPr>
            <w:r>
              <w:rPr>
                <w:sz w:val="22"/>
              </w:rPr>
              <w:t>40</w:t>
            </w:r>
          </w:p>
        </w:tc>
        <w:tc>
          <w:tcPr>
            <w:tcW w:w="3600" w:type="dxa"/>
            <w:tcBorders>
              <w:top w:val="single" w:sz="8" w:space="0" w:color="3C5D97"/>
              <w:left w:val="single" w:sz="8" w:space="0" w:color="3C5D97"/>
              <w:bottom w:val="single" w:sz="8" w:space="0" w:color="3C5D97"/>
            </w:tcBorders>
          </w:tcPr>
          <w:p>
            <w:pPr>
              <w:pStyle w:val="TableParagraph"/>
              <w:spacing w:line="260" w:lineRule="atLeast" w:before="56"/>
              <w:ind w:left="102" w:right="993"/>
              <w:rPr>
                <w:sz w:val="22"/>
              </w:rPr>
            </w:pPr>
            <w:r>
              <w:rPr>
                <w:sz w:val="22"/>
              </w:rPr>
              <w:t>Community park, partially developed</w:t>
            </w:r>
          </w:p>
        </w:tc>
      </w:tr>
      <w:tr>
        <w:trPr>
          <w:trHeight w:val="575" w:hRule="atLeast"/>
        </w:trPr>
        <w:tc>
          <w:tcPr>
            <w:tcW w:w="4426" w:type="dxa"/>
            <w:tcBorders>
              <w:top w:val="single" w:sz="8" w:space="0" w:color="3C5D97"/>
              <w:bottom w:val="single" w:sz="8" w:space="0" w:color="3C5D97"/>
              <w:right w:val="single" w:sz="8" w:space="0" w:color="3C5D97"/>
            </w:tcBorders>
          </w:tcPr>
          <w:p>
            <w:pPr>
              <w:pStyle w:val="TableParagraph"/>
              <w:spacing w:before="187"/>
              <w:rPr>
                <w:sz w:val="22"/>
              </w:rPr>
            </w:pPr>
            <w:r>
              <w:rPr>
                <w:sz w:val="22"/>
              </w:rPr>
              <w:t>Unnamed Park in Badger Mountain South</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before="187"/>
              <w:ind w:left="102"/>
              <w:rPr>
                <w:sz w:val="22"/>
              </w:rPr>
            </w:pPr>
            <w:r>
              <w:rPr>
                <w:sz w:val="22"/>
              </w:rPr>
              <w:t>30</w:t>
            </w:r>
          </w:p>
        </w:tc>
        <w:tc>
          <w:tcPr>
            <w:tcW w:w="3600" w:type="dxa"/>
            <w:tcBorders>
              <w:top w:val="single" w:sz="8" w:space="0" w:color="3C5D97"/>
              <w:left w:val="single" w:sz="8" w:space="0" w:color="3C5D97"/>
              <w:bottom w:val="single" w:sz="8" w:space="0" w:color="3C5D97"/>
            </w:tcBorders>
          </w:tcPr>
          <w:p>
            <w:pPr>
              <w:pStyle w:val="TableParagraph"/>
              <w:spacing w:line="256" w:lineRule="exact" w:before="64"/>
              <w:ind w:left="102" w:right="166"/>
              <w:rPr>
                <w:sz w:val="22"/>
              </w:rPr>
            </w:pPr>
            <w:r>
              <w:rPr>
                <w:sz w:val="22"/>
              </w:rPr>
              <w:t>Community park, undeveloped and undedicated</w:t>
            </w:r>
          </w:p>
        </w:tc>
      </w:tr>
      <w:tr>
        <w:trPr>
          <w:trHeight w:val="322"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Howard Amon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45.91</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Regional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Leslie Groves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149.2</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Regional park, developed</w:t>
            </w:r>
          </w:p>
        </w:tc>
      </w:tr>
    </w:tbl>
    <w:p>
      <w:pPr>
        <w:spacing w:after="0" w:line="241" w:lineRule="exact"/>
        <w:rPr>
          <w:sz w:val="22"/>
        </w:rPr>
        <w:sectPr>
          <w:pgSz w:w="12240" w:h="15840"/>
          <w:pgMar w:header="0" w:footer="1052" w:top="1440" w:bottom="1240" w:left="1320" w:right="1200"/>
        </w:sectPr>
      </w:pPr>
    </w:p>
    <w:tbl>
      <w:tblPr>
        <w:tblW w:w="0" w:type="auto"/>
        <w:jc w:val="left"/>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26"/>
        <w:gridCol w:w="1349"/>
        <w:gridCol w:w="3600"/>
      </w:tblGrid>
      <w:tr>
        <w:trPr>
          <w:trHeight w:val="402" w:hRule="atLeast"/>
        </w:trPr>
        <w:tc>
          <w:tcPr>
            <w:tcW w:w="4426" w:type="dxa"/>
            <w:tcBorders>
              <w:bottom w:val="single" w:sz="8" w:space="0" w:color="3C5D97"/>
              <w:right w:val="single" w:sz="8" w:space="0" w:color="3C5D97"/>
            </w:tcBorders>
            <w:shd w:val="clear" w:color="auto" w:fill="B8CCE3"/>
          </w:tcPr>
          <w:p>
            <w:pPr>
              <w:pStyle w:val="TableParagraph"/>
              <w:spacing w:before="119"/>
              <w:rPr>
                <w:b/>
                <w:sz w:val="22"/>
              </w:rPr>
            </w:pPr>
            <w:r>
              <w:rPr>
                <w:b/>
                <w:sz w:val="22"/>
              </w:rPr>
              <w:t>Park</w:t>
            </w:r>
          </w:p>
        </w:tc>
        <w:tc>
          <w:tcPr>
            <w:tcW w:w="1349" w:type="dxa"/>
            <w:tcBorders>
              <w:left w:val="single" w:sz="8" w:space="0" w:color="3C5D97"/>
              <w:bottom w:val="single" w:sz="8" w:space="0" w:color="3C5D97"/>
              <w:right w:val="single" w:sz="8" w:space="0" w:color="3C5D97"/>
            </w:tcBorders>
            <w:shd w:val="clear" w:color="auto" w:fill="B8CCE3"/>
          </w:tcPr>
          <w:p>
            <w:pPr>
              <w:pStyle w:val="TableParagraph"/>
              <w:spacing w:before="119"/>
              <w:ind w:left="102"/>
              <w:rPr>
                <w:b/>
                <w:sz w:val="22"/>
              </w:rPr>
            </w:pPr>
            <w:r>
              <w:rPr>
                <w:b/>
                <w:sz w:val="22"/>
              </w:rPr>
              <w:t>Acreage</w:t>
            </w:r>
          </w:p>
        </w:tc>
        <w:tc>
          <w:tcPr>
            <w:tcW w:w="3600" w:type="dxa"/>
            <w:tcBorders>
              <w:left w:val="single" w:sz="8" w:space="0" w:color="3C5D97"/>
              <w:bottom w:val="single" w:sz="8" w:space="0" w:color="3C5D97"/>
            </w:tcBorders>
            <w:shd w:val="clear" w:color="auto" w:fill="B8CCE3"/>
          </w:tcPr>
          <w:p>
            <w:pPr>
              <w:pStyle w:val="TableParagraph"/>
              <w:spacing w:before="119"/>
              <w:ind w:left="102"/>
              <w:rPr>
                <w:b/>
                <w:sz w:val="22"/>
              </w:rPr>
            </w:pPr>
            <w:r>
              <w:rPr>
                <w:b/>
                <w:sz w:val="22"/>
              </w:rPr>
              <w:t>Type1</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Abbott Shelterbelt</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4.1</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Linear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Bypass Shelterbelt</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55.74</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Linear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Gillespie Parkway</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2.9</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Goethals Shelterbelt</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15</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Linear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Haines Levee</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19</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Linear park,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James Lawless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34</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Linear park, undeveloped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Keene Road Trail Corridor</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78.7</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Linear park, undeveloped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Marjorie Sutch Greenway</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14.6</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Linear park, partially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Stevens Islands</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16.27</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Linear park,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Amon Basin Natural Preserve</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75</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Natural open space, undeveloped</w:t>
            </w:r>
          </w:p>
        </w:tc>
      </w:tr>
      <w:tr>
        <w:trPr>
          <w:trHeight w:val="832" w:hRule="atLeast"/>
        </w:trPr>
        <w:tc>
          <w:tcPr>
            <w:tcW w:w="4426" w:type="dxa"/>
            <w:tcBorders>
              <w:top w:val="single" w:sz="8" w:space="0" w:color="3C5D97"/>
              <w:bottom w:val="single" w:sz="8" w:space="0" w:color="3C5D97"/>
              <w:right w:val="single" w:sz="8" w:space="0" w:color="3C5D97"/>
            </w:tcBorders>
          </w:tcPr>
          <w:p>
            <w:pPr>
              <w:pStyle w:val="TableParagraph"/>
              <w:spacing w:before="8"/>
              <w:ind w:left="0"/>
              <w:rPr>
                <w:rFonts w:ascii="Arial"/>
                <w:b/>
                <w:sz w:val="27"/>
              </w:rPr>
            </w:pPr>
          </w:p>
          <w:p>
            <w:pPr>
              <w:pStyle w:val="TableParagraph"/>
              <w:spacing w:before="0"/>
              <w:rPr>
                <w:sz w:val="22"/>
              </w:rPr>
            </w:pPr>
            <w:r>
              <w:rPr>
                <w:sz w:val="22"/>
              </w:rPr>
              <w:t>Badger Mountain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before="8"/>
              <w:ind w:left="0"/>
              <w:rPr>
                <w:rFonts w:ascii="Arial"/>
                <w:b/>
                <w:sz w:val="27"/>
              </w:rPr>
            </w:pPr>
          </w:p>
          <w:p>
            <w:pPr>
              <w:pStyle w:val="TableParagraph"/>
              <w:spacing w:before="0"/>
              <w:ind w:left="102"/>
              <w:rPr>
                <w:sz w:val="22"/>
              </w:rPr>
            </w:pPr>
            <w:r>
              <w:rPr>
                <w:sz w:val="22"/>
              </w:rPr>
              <w:t>80</w:t>
            </w:r>
          </w:p>
        </w:tc>
        <w:tc>
          <w:tcPr>
            <w:tcW w:w="3600" w:type="dxa"/>
            <w:tcBorders>
              <w:top w:val="single" w:sz="8" w:space="0" w:color="3C5D97"/>
              <w:left w:val="single" w:sz="8" w:space="0" w:color="3C5D97"/>
              <w:bottom w:val="single" w:sz="8" w:space="0" w:color="3C5D97"/>
            </w:tcBorders>
          </w:tcPr>
          <w:p>
            <w:pPr>
              <w:pStyle w:val="TableParagraph"/>
              <w:ind w:left="102"/>
              <w:rPr>
                <w:sz w:val="22"/>
              </w:rPr>
            </w:pPr>
            <w:r>
              <w:rPr>
                <w:sz w:val="22"/>
              </w:rPr>
              <w:t>Community park, partially</w:t>
            </w:r>
          </w:p>
          <w:p>
            <w:pPr>
              <w:pStyle w:val="TableParagraph"/>
              <w:spacing w:line="256" w:lineRule="exact" w:before="6"/>
              <w:ind w:left="102" w:right="357"/>
              <w:rPr>
                <w:sz w:val="22"/>
              </w:rPr>
            </w:pPr>
            <w:r>
              <w:rPr>
                <w:sz w:val="22"/>
              </w:rPr>
              <w:t>developed, includes natural open space</w:t>
            </w:r>
          </w:p>
        </w:tc>
      </w:tr>
      <w:tr>
        <w:trPr>
          <w:trHeight w:val="322"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14"/>
              </w:rPr>
            </w:pPr>
            <w:r>
              <w:rPr>
                <w:sz w:val="22"/>
              </w:rPr>
              <w:t>Bateman Island</w:t>
            </w:r>
            <w:r>
              <w:rPr>
                <w:position w:val="5"/>
                <w:sz w:val="14"/>
              </w:rPr>
              <w:t>1</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160</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Natural open space, undeveloped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14"/>
              </w:rPr>
            </w:pPr>
            <w:r>
              <w:rPr>
                <w:sz w:val="22"/>
              </w:rPr>
              <w:t>Chamna Natural Preserve</w:t>
            </w:r>
            <w:r>
              <w:rPr>
                <w:position w:val="5"/>
                <w:sz w:val="14"/>
              </w:rPr>
              <w:t>1</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293</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Natural open space, undeveloped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Columbia Point South</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116</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Natural open space, undeveloped</w:t>
            </w:r>
          </w:p>
        </w:tc>
      </w:tr>
      <w:tr>
        <w:trPr>
          <w:trHeight w:val="577" w:hRule="atLeast"/>
        </w:trPr>
        <w:tc>
          <w:tcPr>
            <w:tcW w:w="4426" w:type="dxa"/>
            <w:tcBorders>
              <w:top w:val="single" w:sz="8" w:space="0" w:color="3C5D97"/>
              <w:bottom w:val="single" w:sz="8" w:space="0" w:color="3C5D97"/>
              <w:right w:val="single" w:sz="8" w:space="0" w:color="3C5D97"/>
            </w:tcBorders>
          </w:tcPr>
          <w:p>
            <w:pPr>
              <w:pStyle w:val="TableParagraph"/>
              <w:spacing w:before="191"/>
              <w:rPr>
                <w:sz w:val="22"/>
              </w:rPr>
            </w:pPr>
            <w:r>
              <w:rPr>
                <w:sz w:val="22"/>
              </w:rPr>
              <w:t>W.E. Johnson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before="191"/>
              <w:ind w:left="102"/>
              <w:rPr>
                <w:sz w:val="22"/>
              </w:rPr>
            </w:pPr>
            <w:r>
              <w:rPr>
                <w:sz w:val="22"/>
              </w:rPr>
              <w:t>236</w:t>
            </w:r>
          </w:p>
        </w:tc>
        <w:tc>
          <w:tcPr>
            <w:tcW w:w="3600" w:type="dxa"/>
            <w:tcBorders>
              <w:top w:val="single" w:sz="8" w:space="0" w:color="3C5D97"/>
              <w:left w:val="single" w:sz="8" w:space="0" w:color="3C5D97"/>
              <w:bottom w:val="single" w:sz="8" w:space="0" w:color="3C5D97"/>
            </w:tcBorders>
          </w:tcPr>
          <w:p>
            <w:pPr>
              <w:pStyle w:val="TableParagraph"/>
              <w:spacing w:line="256" w:lineRule="exact" w:before="66"/>
              <w:ind w:left="102" w:right="769"/>
              <w:rPr>
                <w:sz w:val="22"/>
              </w:rPr>
            </w:pPr>
            <w:r>
              <w:rPr>
                <w:sz w:val="22"/>
              </w:rPr>
              <w:t>Natural open space, partially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Wye Levee</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21</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Bradley Boulevard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0.2</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Special use areas,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Carol Woodruff Plaza</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0.1</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Special use areas, developed</w:t>
            </w:r>
          </w:p>
        </w:tc>
      </w:tr>
      <w:tr>
        <w:trPr>
          <w:trHeight w:val="575" w:hRule="atLeast"/>
        </w:trPr>
        <w:tc>
          <w:tcPr>
            <w:tcW w:w="4426" w:type="dxa"/>
            <w:tcBorders>
              <w:top w:val="single" w:sz="8" w:space="0" w:color="3C5D97"/>
              <w:bottom w:val="single" w:sz="8" w:space="0" w:color="3C5D97"/>
              <w:right w:val="single" w:sz="8" w:space="0" w:color="3C5D97"/>
            </w:tcBorders>
          </w:tcPr>
          <w:p>
            <w:pPr>
              <w:pStyle w:val="TableParagraph"/>
              <w:spacing w:before="189"/>
              <w:rPr>
                <w:sz w:val="14"/>
              </w:rPr>
            </w:pPr>
            <w:r>
              <w:rPr>
                <w:sz w:val="22"/>
              </w:rPr>
              <w:t>Columbia Park West</w:t>
            </w:r>
            <w:r>
              <w:rPr>
                <w:position w:val="5"/>
                <w:sz w:val="14"/>
              </w:rPr>
              <w:t>2</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before="189"/>
              <w:ind w:left="102"/>
              <w:rPr>
                <w:sz w:val="22"/>
              </w:rPr>
            </w:pPr>
            <w:r>
              <w:rPr>
                <w:sz w:val="22"/>
              </w:rPr>
              <w:t>65</w:t>
            </w:r>
          </w:p>
        </w:tc>
        <w:tc>
          <w:tcPr>
            <w:tcW w:w="3600" w:type="dxa"/>
            <w:tcBorders>
              <w:top w:val="single" w:sz="8" w:space="0" w:color="3C5D97"/>
              <w:left w:val="single" w:sz="8" w:space="0" w:color="3C5D97"/>
              <w:bottom w:val="single" w:sz="8" w:space="0" w:color="3C5D97"/>
            </w:tcBorders>
          </w:tcPr>
          <w:p>
            <w:pPr>
              <w:pStyle w:val="TableParagraph"/>
              <w:spacing w:line="260" w:lineRule="atLeast" w:before="57"/>
              <w:ind w:left="102" w:right="983"/>
              <w:rPr>
                <w:sz w:val="22"/>
              </w:rPr>
            </w:pPr>
            <w:r>
              <w:rPr>
                <w:sz w:val="22"/>
              </w:rPr>
              <w:t>Special use areas, partially developed</w:t>
            </w:r>
          </w:p>
        </w:tc>
      </w:tr>
      <w:tr>
        <w:trPr>
          <w:trHeight w:val="573" w:hRule="atLeast"/>
        </w:trPr>
        <w:tc>
          <w:tcPr>
            <w:tcW w:w="4426" w:type="dxa"/>
            <w:tcBorders>
              <w:top w:val="single" w:sz="8" w:space="0" w:color="3C5D97"/>
              <w:bottom w:val="single" w:sz="8" w:space="0" w:color="3C5D97"/>
              <w:right w:val="single" w:sz="8" w:space="0" w:color="3C5D97"/>
            </w:tcBorders>
          </w:tcPr>
          <w:p>
            <w:pPr>
              <w:pStyle w:val="TableParagraph"/>
              <w:spacing w:line="260" w:lineRule="atLeast" w:before="55"/>
              <w:ind w:right="312"/>
              <w:rPr>
                <w:sz w:val="22"/>
              </w:rPr>
            </w:pPr>
            <w:r>
              <w:rPr>
                <w:sz w:val="22"/>
              </w:rPr>
              <w:t>Columbia Playfield (includes George Prout Pool)</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before="187"/>
              <w:ind w:left="102"/>
              <w:rPr>
                <w:sz w:val="22"/>
              </w:rPr>
            </w:pPr>
            <w:r>
              <w:rPr>
                <w:sz w:val="22"/>
              </w:rPr>
              <w:t>28.89</w:t>
            </w:r>
          </w:p>
        </w:tc>
        <w:tc>
          <w:tcPr>
            <w:tcW w:w="3600" w:type="dxa"/>
            <w:tcBorders>
              <w:top w:val="single" w:sz="8" w:space="0" w:color="3C5D97"/>
              <w:left w:val="single" w:sz="8" w:space="0" w:color="3C5D97"/>
              <w:bottom w:val="single" w:sz="8" w:space="0" w:color="3C5D97"/>
            </w:tcBorders>
          </w:tcPr>
          <w:p>
            <w:pPr>
              <w:pStyle w:val="TableParagraph"/>
              <w:spacing w:before="187"/>
              <w:ind w:left="102"/>
              <w:rPr>
                <w:sz w:val="22"/>
              </w:rPr>
            </w:pPr>
            <w:r>
              <w:rPr>
                <w:sz w:val="22"/>
              </w:rPr>
              <w:t>Special use areas,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2"/>
              <w:rPr>
                <w:sz w:val="22"/>
              </w:rPr>
            </w:pPr>
            <w:r>
              <w:rPr>
                <w:sz w:val="22"/>
              </w:rPr>
              <w:t>Columbia Point Golf Course</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2"/>
              <w:ind w:left="102"/>
              <w:rPr>
                <w:sz w:val="22"/>
              </w:rPr>
            </w:pPr>
            <w:r>
              <w:rPr>
                <w:sz w:val="22"/>
              </w:rPr>
              <w:t>170</w:t>
            </w:r>
          </w:p>
        </w:tc>
        <w:tc>
          <w:tcPr>
            <w:tcW w:w="3600" w:type="dxa"/>
            <w:tcBorders>
              <w:top w:val="single" w:sz="8" w:space="0" w:color="3C5D97"/>
              <w:left w:val="single" w:sz="8" w:space="0" w:color="3C5D97"/>
              <w:bottom w:val="single" w:sz="8" w:space="0" w:color="3C5D97"/>
            </w:tcBorders>
          </w:tcPr>
          <w:p>
            <w:pPr>
              <w:pStyle w:val="TableParagraph"/>
              <w:spacing w:line="241" w:lineRule="exact" w:before="62"/>
              <w:ind w:left="102"/>
              <w:rPr>
                <w:sz w:val="22"/>
              </w:rPr>
            </w:pPr>
            <w:r>
              <w:rPr>
                <w:sz w:val="22"/>
              </w:rPr>
              <w:t>Special use areas,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Columbia Point Marina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13.2</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Special use areas,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Horn Rapids Athletic Complex</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24</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Special use areas, developed</w:t>
            </w:r>
          </w:p>
        </w:tc>
      </w:tr>
      <w:tr>
        <w:trPr>
          <w:trHeight w:val="325"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4"/>
              <w:rPr>
                <w:sz w:val="22"/>
              </w:rPr>
            </w:pPr>
            <w:r>
              <w:rPr>
                <w:sz w:val="22"/>
              </w:rPr>
              <w:t>Horn Rapids ORV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4"/>
              <w:ind w:left="102"/>
              <w:rPr>
                <w:sz w:val="22"/>
              </w:rPr>
            </w:pPr>
            <w:r>
              <w:rPr>
                <w:sz w:val="22"/>
              </w:rPr>
              <w:t>300</w:t>
            </w:r>
          </w:p>
        </w:tc>
        <w:tc>
          <w:tcPr>
            <w:tcW w:w="3600" w:type="dxa"/>
            <w:tcBorders>
              <w:top w:val="single" w:sz="8" w:space="0" w:color="3C5D97"/>
              <w:left w:val="single" w:sz="8" w:space="0" w:color="3C5D97"/>
              <w:bottom w:val="single" w:sz="8" w:space="0" w:color="3C5D97"/>
            </w:tcBorders>
          </w:tcPr>
          <w:p>
            <w:pPr>
              <w:pStyle w:val="TableParagraph"/>
              <w:spacing w:line="241" w:lineRule="exact" w:before="64"/>
              <w:ind w:left="102"/>
              <w:rPr>
                <w:sz w:val="22"/>
              </w:rPr>
            </w:pPr>
            <w:r>
              <w:rPr>
                <w:sz w:val="22"/>
              </w:rPr>
              <w:t>Special use areas, 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41" w:lineRule="exact" w:before="61"/>
              <w:rPr>
                <w:sz w:val="22"/>
              </w:rPr>
            </w:pPr>
            <w:r>
              <w:rPr>
                <w:sz w:val="22"/>
              </w:rPr>
              <w:t>Jeanette Taylor Park</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41" w:lineRule="exact" w:before="61"/>
              <w:ind w:left="102"/>
              <w:rPr>
                <w:sz w:val="22"/>
              </w:rPr>
            </w:pPr>
            <w:r>
              <w:rPr>
                <w:sz w:val="22"/>
              </w:rPr>
              <w:t>2.02</w:t>
            </w:r>
          </w:p>
        </w:tc>
        <w:tc>
          <w:tcPr>
            <w:tcW w:w="3600" w:type="dxa"/>
            <w:tcBorders>
              <w:top w:val="single" w:sz="8" w:space="0" w:color="3C5D97"/>
              <w:left w:val="single" w:sz="8" w:space="0" w:color="3C5D97"/>
              <w:bottom w:val="single" w:sz="8" w:space="0" w:color="3C5D97"/>
            </w:tcBorders>
          </w:tcPr>
          <w:p>
            <w:pPr>
              <w:pStyle w:val="TableParagraph"/>
              <w:spacing w:line="241" w:lineRule="exact" w:before="61"/>
              <w:ind w:left="102"/>
              <w:rPr>
                <w:sz w:val="22"/>
              </w:rPr>
            </w:pPr>
            <w:r>
              <w:rPr>
                <w:sz w:val="22"/>
              </w:rPr>
              <w:t>Developed</w:t>
            </w:r>
          </w:p>
        </w:tc>
      </w:tr>
      <w:tr>
        <w:trPr>
          <w:trHeight w:val="323" w:hRule="atLeast"/>
        </w:trPr>
        <w:tc>
          <w:tcPr>
            <w:tcW w:w="4426" w:type="dxa"/>
            <w:tcBorders>
              <w:top w:val="single" w:sz="8" w:space="0" w:color="3C5D97"/>
              <w:bottom w:val="single" w:sz="8" w:space="0" w:color="3C5D97"/>
              <w:right w:val="single" w:sz="8" w:space="0" w:color="3C5D97"/>
            </w:tcBorders>
          </w:tcPr>
          <w:p>
            <w:pPr>
              <w:pStyle w:val="TableParagraph"/>
              <w:spacing w:line="239" w:lineRule="exact" w:before="64"/>
              <w:rPr>
                <w:sz w:val="22"/>
              </w:rPr>
            </w:pPr>
            <w:r>
              <w:rPr>
                <w:sz w:val="22"/>
              </w:rPr>
              <w:t>John Dam Plaza</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line="239" w:lineRule="exact" w:before="64"/>
              <w:ind w:left="102"/>
              <w:rPr>
                <w:sz w:val="22"/>
              </w:rPr>
            </w:pPr>
            <w:r>
              <w:rPr>
                <w:sz w:val="22"/>
              </w:rPr>
              <w:t>3.9</w:t>
            </w:r>
          </w:p>
        </w:tc>
        <w:tc>
          <w:tcPr>
            <w:tcW w:w="3600" w:type="dxa"/>
            <w:tcBorders>
              <w:top w:val="single" w:sz="8" w:space="0" w:color="3C5D97"/>
              <w:left w:val="single" w:sz="8" w:space="0" w:color="3C5D97"/>
              <w:bottom w:val="single" w:sz="8" w:space="0" w:color="3C5D97"/>
            </w:tcBorders>
          </w:tcPr>
          <w:p>
            <w:pPr>
              <w:pStyle w:val="TableParagraph"/>
              <w:spacing w:line="239" w:lineRule="exact" w:before="64"/>
              <w:ind w:left="102"/>
              <w:rPr>
                <w:sz w:val="22"/>
              </w:rPr>
            </w:pPr>
            <w:r>
              <w:rPr>
                <w:sz w:val="22"/>
              </w:rPr>
              <w:t>Developed</w:t>
            </w:r>
          </w:p>
        </w:tc>
      </w:tr>
      <w:tr>
        <w:trPr>
          <w:trHeight w:val="577" w:hRule="atLeast"/>
        </w:trPr>
        <w:tc>
          <w:tcPr>
            <w:tcW w:w="4426" w:type="dxa"/>
            <w:tcBorders>
              <w:top w:val="single" w:sz="8" w:space="0" w:color="3C5D97"/>
              <w:bottom w:val="single" w:sz="8" w:space="0" w:color="3C5D97"/>
              <w:right w:val="single" w:sz="8" w:space="0" w:color="3C5D97"/>
            </w:tcBorders>
          </w:tcPr>
          <w:p>
            <w:pPr>
              <w:pStyle w:val="TableParagraph"/>
              <w:spacing w:before="189"/>
              <w:rPr>
                <w:sz w:val="22"/>
              </w:rPr>
            </w:pPr>
            <w:r>
              <w:rPr>
                <w:sz w:val="22"/>
              </w:rPr>
              <w:t>South Columbia Point</w:t>
            </w:r>
          </w:p>
        </w:tc>
        <w:tc>
          <w:tcPr>
            <w:tcW w:w="1349" w:type="dxa"/>
            <w:tcBorders>
              <w:top w:val="single" w:sz="8" w:space="0" w:color="3C5D97"/>
              <w:left w:val="single" w:sz="8" w:space="0" w:color="3C5D97"/>
              <w:bottom w:val="single" w:sz="8" w:space="0" w:color="3C5D97"/>
              <w:right w:val="single" w:sz="8" w:space="0" w:color="3C5D97"/>
            </w:tcBorders>
          </w:tcPr>
          <w:p>
            <w:pPr>
              <w:pStyle w:val="TableParagraph"/>
              <w:spacing w:before="189"/>
              <w:ind w:left="102"/>
              <w:rPr>
                <w:sz w:val="22"/>
              </w:rPr>
            </w:pPr>
            <w:r>
              <w:rPr>
                <w:sz w:val="22"/>
              </w:rPr>
              <w:t>116</w:t>
            </w:r>
          </w:p>
        </w:tc>
        <w:tc>
          <w:tcPr>
            <w:tcW w:w="3600" w:type="dxa"/>
            <w:tcBorders>
              <w:top w:val="single" w:sz="8" w:space="0" w:color="3C5D97"/>
              <w:left w:val="single" w:sz="8" w:space="0" w:color="3C5D97"/>
              <w:bottom w:val="single" w:sz="8" w:space="0" w:color="3C5D97"/>
            </w:tcBorders>
          </w:tcPr>
          <w:p>
            <w:pPr>
              <w:pStyle w:val="TableParagraph"/>
              <w:spacing w:line="256" w:lineRule="exact" w:before="66"/>
              <w:ind w:left="102" w:right="983"/>
              <w:rPr>
                <w:sz w:val="22"/>
              </w:rPr>
            </w:pPr>
            <w:r>
              <w:rPr>
                <w:sz w:val="22"/>
              </w:rPr>
              <w:t>Special use areas, partially developed</w:t>
            </w:r>
          </w:p>
        </w:tc>
      </w:tr>
      <w:tr>
        <w:trPr>
          <w:trHeight w:val="822" w:hRule="atLeast"/>
        </w:trPr>
        <w:tc>
          <w:tcPr>
            <w:tcW w:w="9375" w:type="dxa"/>
            <w:gridSpan w:val="3"/>
            <w:tcBorders>
              <w:top w:val="single" w:sz="8" w:space="0" w:color="3C5D97"/>
            </w:tcBorders>
          </w:tcPr>
          <w:p>
            <w:pPr>
              <w:pStyle w:val="TableParagraph"/>
              <w:spacing w:before="58"/>
              <w:rPr>
                <w:i/>
                <w:sz w:val="20"/>
              </w:rPr>
            </w:pPr>
            <w:r>
              <w:rPr>
                <w:i/>
                <w:position w:val="5"/>
                <w:sz w:val="13"/>
              </w:rPr>
              <w:t>1 </w:t>
            </w:r>
            <w:r>
              <w:rPr>
                <w:i/>
                <w:sz w:val="20"/>
              </w:rPr>
              <w:t>“Developed” is used for parks using irrigation and landscape at a minimum; “partially developed” describes </w:t>
            </w:r>
            <w:r>
              <w:rPr>
                <w:i/>
                <w:sz w:val="20"/>
              </w:rPr>
              <w:t>parks that include both developed and natural open space</w:t>
            </w:r>
          </w:p>
          <w:p>
            <w:pPr>
              <w:pStyle w:val="TableParagraph"/>
              <w:spacing w:line="215" w:lineRule="exact" w:before="60"/>
              <w:rPr>
                <w:i/>
                <w:sz w:val="20"/>
              </w:rPr>
            </w:pPr>
            <w:r>
              <w:rPr>
                <w:i/>
                <w:position w:val="5"/>
                <w:sz w:val="13"/>
              </w:rPr>
              <w:t>2 </w:t>
            </w:r>
            <w:r>
              <w:rPr>
                <w:i/>
                <w:sz w:val="20"/>
              </w:rPr>
              <w:t>US Army Corps of Engineers owned, leased to the City of Richland</w:t>
            </w:r>
          </w:p>
        </w:tc>
      </w:tr>
    </w:tbl>
    <w:p>
      <w:pPr>
        <w:spacing w:after="0" w:line="215" w:lineRule="exact"/>
        <w:rPr>
          <w:sz w:val="20"/>
        </w:rPr>
        <w:sectPr>
          <w:pgSz w:w="12240" w:h="15840"/>
          <w:pgMar w:header="0" w:footer="1052" w:top="1440" w:bottom="1240" w:left="1320" w:right="1200"/>
        </w:sectPr>
      </w:pPr>
    </w:p>
    <w:p>
      <w:pPr>
        <w:spacing w:before="80"/>
        <w:ind w:left="120" w:right="0" w:firstLine="0"/>
        <w:jc w:val="left"/>
        <w:rPr>
          <w:b/>
          <w:sz w:val="22"/>
        </w:rPr>
      </w:pPr>
      <w:bookmarkStart w:name="Trails and Bicycle Paths" w:id="260"/>
      <w:bookmarkEnd w:id="260"/>
      <w:r>
        <w:rPr/>
      </w:r>
      <w:r>
        <w:rPr>
          <w:b/>
          <w:color w:val="C0504D"/>
          <w:sz w:val="22"/>
        </w:rPr>
        <w:t>Trails and Bicycle Paths</w:t>
      </w:r>
    </w:p>
    <w:p>
      <w:pPr>
        <w:pStyle w:val="BodyText"/>
        <w:spacing w:before="119"/>
        <w:ind w:left="120" w:right="235"/>
      </w:pPr>
      <w:r>
        <w:rPr/>
        <w:t>The</w:t>
      </w:r>
      <w:r>
        <w:rPr>
          <w:spacing w:val="-11"/>
        </w:rPr>
        <w:t> </w:t>
      </w:r>
      <w:r>
        <w:rPr/>
        <w:t>City</w:t>
      </w:r>
      <w:r>
        <w:rPr>
          <w:spacing w:val="-10"/>
        </w:rPr>
        <w:t> </w:t>
      </w:r>
      <w:r>
        <w:rPr/>
        <w:t>has</w:t>
      </w:r>
      <w:r>
        <w:rPr>
          <w:spacing w:val="-9"/>
        </w:rPr>
        <w:t> </w:t>
      </w:r>
      <w:r>
        <w:rPr/>
        <w:t>a</w:t>
      </w:r>
      <w:r>
        <w:rPr>
          <w:spacing w:val="-9"/>
        </w:rPr>
        <w:t> </w:t>
      </w:r>
      <w:r>
        <w:rPr/>
        <w:t>system</w:t>
      </w:r>
      <w:r>
        <w:rPr>
          <w:spacing w:val="-9"/>
        </w:rPr>
        <w:t> </w:t>
      </w:r>
      <w:r>
        <w:rPr/>
        <w:t>of</w:t>
      </w:r>
      <w:r>
        <w:rPr>
          <w:spacing w:val="-9"/>
        </w:rPr>
        <w:t> </w:t>
      </w:r>
      <w:r>
        <w:rPr/>
        <w:t>trails,</w:t>
      </w:r>
      <w:r>
        <w:rPr>
          <w:spacing w:val="-9"/>
        </w:rPr>
        <w:t> </w:t>
      </w:r>
      <w:r>
        <w:rPr/>
        <w:t>consisting</w:t>
      </w:r>
      <w:r>
        <w:rPr>
          <w:spacing w:val="-8"/>
        </w:rPr>
        <w:t> </w:t>
      </w:r>
      <w:r>
        <w:rPr/>
        <w:t>of</w:t>
      </w:r>
      <w:r>
        <w:rPr>
          <w:spacing w:val="-11"/>
        </w:rPr>
        <w:t> </w:t>
      </w:r>
      <w:r>
        <w:rPr/>
        <w:t>Class</w:t>
      </w:r>
      <w:r>
        <w:rPr>
          <w:spacing w:val="-8"/>
        </w:rPr>
        <w:t> </w:t>
      </w:r>
      <w:r>
        <w:rPr/>
        <w:t>1</w:t>
      </w:r>
      <w:r>
        <w:rPr>
          <w:spacing w:val="-9"/>
        </w:rPr>
        <w:t> </w:t>
      </w:r>
      <w:r>
        <w:rPr/>
        <w:t>trails,</w:t>
      </w:r>
      <w:r>
        <w:rPr>
          <w:spacing w:val="-9"/>
        </w:rPr>
        <w:t> </w:t>
      </w:r>
      <w:r>
        <w:rPr/>
        <w:t>secondary</w:t>
      </w:r>
      <w:r>
        <w:rPr>
          <w:spacing w:val="-10"/>
        </w:rPr>
        <w:t> </w:t>
      </w:r>
      <w:r>
        <w:rPr/>
        <w:t>trails,</w:t>
      </w:r>
      <w:r>
        <w:rPr>
          <w:spacing w:val="-9"/>
        </w:rPr>
        <w:t> </w:t>
      </w:r>
      <w:r>
        <w:rPr/>
        <w:t>and</w:t>
      </w:r>
      <w:r>
        <w:rPr>
          <w:spacing w:val="-12"/>
        </w:rPr>
        <w:t> </w:t>
      </w:r>
      <w:r>
        <w:rPr/>
        <w:t>soft</w:t>
      </w:r>
      <w:r>
        <w:rPr>
          <w:spacing w:val="-9"/>
        </w:rPr>
        <w:t> </w:t>
      </w:r>
      <w:r>
        <w:rPr/>
        <w:t>trails</w:t>
      </w:r>
      <w:r>
        <w:rPr>
          <w:spacing w:val="-8"/>
        </w:rPr>
        <w:t> </w:t>
      </w:r>
      <w:r>
        <w:rPr/>
        <w:t>as</w:t>
      </w:r>
      <w:r>
        <w:rPr>
          <w:spacing w:val="-8"/>
        </w:rPr>
        <w:t> </w:t>
      </w:r>
      <w:r>
        <w:rPr/>
        <w:t>identified in Table CF-3 below. See Figure T-6 for bike and route maps within the</w:t>
      </w:r>
      <w:r>
        <w:rPr>
          <w:spacing w:val="-19"/>
        </w:rPr>
        <w:t> </w:t>
      </w:r>
      <w:r>
        <w:rPr/>
        <w:t>City.</w:t>
      </w:r>
    </w:p>
    <w:p>
      <w:pPr>
        <w:spacing w:before="119"/>
        <w:ind w:left="120" w:right="0" w:firstLine="0"/>
        <w:jc w:val="left"/>
        <w:rPr>
          <w:rFonts w:ascii="Arial"/>
          <w:b/>
          <w:sz w:val="20"/>
        </w:rPr>
      </w:pPr>
      <w:r>
        <w:rPr>
          <w:rFonts w:ascii="Arial"/>
          <w:b/>
          <w:sz w:val="20"/>
        </w:rPr>
        <w:t>Table CF-3: Inventory of Existing Trails</w:t>
      </w:r>
    </w:p>
    <w:p>
      <w:pPr>
        <w:pStyle w:val="BodyText"/>
        <w:spacing w:before="6"/>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300"/>
        <w:gridCol w:w="1800"/>
      </w:tblGrid>
      <w:tr>
        <w:trPr>
          <w:trHeight w:val="405" w:hRule="atLeast"/>
        </w:trPr>
        <w:tc>
          <w:tcPr>
            <w:tcW w:w="6300" w:type="dxa"/>
            <w:shd w:val="clear" w:color="auto" w:fill="B8CCE3"/>
          </w:tcPr>
          <w:p>
            <w:pPr>
              <w:pStyle w:val="TableParagraph"/>
              <w:spacing w:before="119"/>
              <w:rPr>
                <w:b/>
                <w:sz w:val="22"/>
              </w:rPr>
            </w:pPr>
            <w:r>
              <w:rPr>
                <w:b/>
                <w:sz w:val="22"/>
              </w:rPr>
              <w:t>Park Type</w:t>
            </w:r>
          </w:p>
        </w:tc>
        <w:tc>
          <w:tcPr>
            <w:tcW w:w="1800" w:type="dxa"/>
            <w:shd w:val="clear" w:color="auto" w:fill="B8CCE3"/>
          </w:tcPr>
          <w:p>
            <w:pPr>
              <w:pStyle w:val="TableParagraph"/>
              <w:spacing w:before="119"/>
              <w:rPr>
                <w:b/>
                <w:sz w:val="22"/>
              </w:rPr>
            </w:pPr>
            <w:r>
              <w:rPr>
                <w:b/>
                <w:sz w:val="22"/>
              </w:rPr>
              <w:t>Acres</w:t>
            </w:r>
          </w:p>
        </w:tc>
      </w:tr>
      <w:tr>
        <w:trPr>
          <w:trHeight w:val="402" w:hRule="atLeast"/>
        </w:trPr>
        <w:tc>
          <w:tcPr>
            <w:tcW w:w="6300" w:type="dxa"/>
            <w:shd w:val="clear" w:color="auto" w:fill="D9D9D9"/>
          </w:tcPr>
          <w:p>
            <w:pPr>
              <w:pStyle w:val="TableParagraph"/>
              <w:spacing w:before="119"/>
              <w:rPr>
                <w:b/>
                <w:sz w:val="22"/>
              </w:rPr>
            </w:pPr>
            <w:r>
              <w:rPr>
                <w:b/>
                <w:sz w:val="22"/>
              </w:rPr>
              <w:t>Existing Class 1 Trails</w:t>
            </w:r>
          </w:p>
        </w:tc>
        <w:tc>
          <w:tcPr>
            <w:tcW w:w="1800" w:type="dxa"/>
            <w:shd w:val="clear" w:color="auto" w:fill="D9D9D9"/>
          </w:tcPr>
          <w:p>
            <w:pPr>
              <w:pStyle w:val="TableParagraph"/>
              <w:spacing w:before="0"/>
              <w:ind w:left="0"/>
              <w:rPr>
                <w:rFonts w:ascii="Times New Roman"/>
                <w:sz w:val="20"/>
              </w:rPr>
            </w:pPr>
          </w:p>
        </w:tc>
      </w:tr>
      <w:tr>
        <w:trPr>
          <w:trHeight w:val="318" w:hRule="atLeast"/>
        </w:trPr>
        <w:tc>
          <w:tcPr>
            <w:tcW w:w="6300" w:type="dxa"/>
          </w:tcPr>
          <w:p>
            <w:pPr>
              <w:pStyle w:val="TableParagraph"/>
              <w:spacing w:line="239" w:lineRule="exact"/>
              <w:rPr>
                <w:sz w:val="22"/>
              </w:rPr>
            </w:pPr>
            <w:r>
              <w:rPr>
                <w:sz w:val="22"/>
              </w:rPr>
              <w:t>Richland Riverfront Trail (Horn Rapids Road to I-182 Bridge)</w:t>
            </w:r>
          </w:p>
        </w:tc>
        <w:tc>
          <w:tcPr>
            <w:tcW w:w="1800" w:type="dxa"/>
          </w:tcPr>
          <w:p>
            <w:pPr>
              <w:pStyle w:val="TableParagraph"/>
              <w:spacing w:line="239" w:lineRule="exact"/>
              <w:rPr>
                <w:sz w:val="22"/>
              </w:rPr>
            </w:pPr>
            <w:r>
              <w:rPr>
                <w:sz w:val="22"/>
              </w:rPr>
              <w:t>7.22 mi</w:t>
            </w:r>
          </w:p>
        </w:tc>
      </w:tr>
      <w:tr>
        <w:trPr>
          <w:trHeight w:val="316" w:hRule="atLeast"/>
        </w:trPr>
        <w:tc>
          <w:tcPr>
            <w:tcW w:w="6300" w:type="dxa"/>
          </w:tcPr>
          <w:p>
            <w:pPr>
              <w:pStyle w:val="TableParagraph"/>
              <w:spacing w:line="237" w:lineRule="exact"/>
              <w:rPr>
                <w:sz w:val="22"/>
              </w:rPr>
            </w:pPr>
            <w:r>
              <w:rPr>
                <w:sz w:val="22"/>
              </w:rPr>
              <w:t>Leslie Groves Bike Trail</w:t>
            </w:r>
          </w:p>
        </w:tc>
        <w:tc>
          <w:tcPr>
            <w:tcW w:w="1800" w:type="dxa"/>
          </w:tcPr>
          <w:p>
            <w:pPr>
              <w:pStyle w:val="TableParagraph"/>
              <w:spacing w:line="237" w:lineRule="exact"/>
              <w:rPr>
                <w:sz w:val="22"/>
              </w:rPr>
            </w:pPr>
            <w:r>
              <w:rPr>
                <w:sz w:val="22"/>
              </w:rPr>
              <w:t>1.6 mi</w:t>
            </w:r>
          </w:p>
        </w:tc>
      </w:tr>
      <w:tr>
        <w:trPr>
          <w:trHeight w:val="318" w:hRule="atLeast"/>
        </w:trPr>
        <w:tc>
          <w:tcPr>
            <w:tcW w:w="6300" w:type="dxa"/>
          </w:tcPr>
          <w:p>
            <w:pPr>
              <w:pStyle w:val="TableParagraph"/>
              <w:spacing w:line="239" w:lineRule="exact"/>
              <w:rPr>
                <w:sz w:val="22"/>
              </w:rPr>
            </w:pPr>
            <w:r>
              <w:rPr>
                <w:sz w:val="22"/>
              </w:rPr>
              <w:t>Bypass Shelterbelt (Wellsian Way to Jadwin Ave)</w:t>
            </w:r>
          </w:p>
        </w:tc>
        <w:tc>
          <w:tcPr>
            <w:tcW w:w="1800" w:type="dxa"/>
          </w:tcPr>
          <w:p>
            <w:pPr>
              <w:pStyle w:val="TableParagraph"/>
              <w:spacing w:line="239" w:lineRule="exact"/>
              <w:rPr>
                <w:sz w:val="22"/>
              </w:rPr>
            </w:pPr>
            <w:r>
              <w:rPr>
                <w:sz w:val="22"/>
              </w:rPr>
              <w:t>4.36 mi</w:t>
            </w:r>
          </w:p>
        </w:tc>
      </w:tr>
      <w:tr>
        <w:trPr>
          <w:trHeight w:val="318" w:hRule="atLeast"/>
        </w:trPr>
        <w:tc>
          <w:tcPr>
            <w:tcW w:w="6300" w:type="dxa"/>
          </w:tcPr>
          <w:p>
            <w:pPr>
              <w:pStyle w:val="TableParagraph"/>
              <w:spacing w:line="239" w:lineRule="exact"/>
              <w:rPr>
                <w:sz w:val="22"/>
              </w:rPr>
            </w:pPr>
            <w:r>
              <w:rPr>
                <w:sz w:val="22"/>
              </w:rPr>
              <w:t>Sacagawea Heritage Trail</w:t>
            </w:r>
          </w:p>
        </w:tc>
        <w:tc>
          <w:tcPr>
            <w:tcW w:w="1800" w:type="dxa"/>
          </w:tcPr>
          <w:p>
            <w:pPr>
              <w:pStyle w:val="TableParagraph"/>
              <w:spacing w:line="239" w:lineRule="exact"/>
              <w:rPr>
                <w:sz w:val="22"/>
              </w:rPr>
            </w:pPr>
            <w:r>
              <w:rPr>
                <w:sz w:val="22"/>
              </w:rPr>
              <w:t>3.67 mi</w:t>
            </w:r>
          </w:p>
        </w:tc>
      </w:tr>
      <w:tr>
        <w:trPr>
          <w:trHeight w:val="316" w:hRule="atLeast"/>
        </w:trPr>
        <w:tc>
          <w:tcPr>
            <w:tcW w:w="6300" w:type="dxa"/>
          </w:tcPr>
          <w:p>
            <w:pPr>
              <w:pStyle w:val="TableParagraph"/>
              <w:spacing w:line="237" w:lineRule="exact"/>
              <w:rPr>
                <w:sz w:val="22"/>
              </w:rPr>
            </w:pPr>
            <w:r>
              <w:rPr>
                <w:sz w:val="22"/>
              </w:rPr>
              <w:t>Chamna/Coulee Street Trail</w:t>
            </w:r>
          </w:p>
        </w:tc>
        <w:tc>
          <w:tcPr>
            <w:tcW w:w="1800" w:type="dxa"/>
          </w:tcPr>
          <w:p>
            <w:pPr>
              <w:pStyle w:val="TableParagraph"/>
              <w:spacing w:line="237" w:lineRule="exact"/>
              <w:rPr>
                <w:sz w:val="22"/>
              </w:rPr>
            </w:pPr>
            <w:r>
              <w:rPr>
                <w:sz w:val="22"/>
              </w:rPr>
              <w:t>0.96 mi</w:t>
            </w:r>
          </w:p>
        </w:tc>
      </w:tr>
      <w:tr>
        <w:trPr>
          <w:trHeight w:val="318" w:hRule="atLeast"/>
        </w:trPr>
        <w:tc>
          <w:tcPr>
            <w:tcW w:w="6300" w:type="dxa"/>
          </w:tcPr>
          <w:p>
            <w:pPr>
              <w:pStyle w:val="TableParagraph"/>
              <w:spacing w:line="239" w:lineRule="exact"/>
              <w:rPr>
                <w:sz w:val="22"/>
              </w:rPr>
            </w:pPr>
            <w:r>
              <w:rPr>
                <w:sz w:val="22"/>
              </w:rPr>
              <w:t>Keene Road/ Gage Boulevard Trail</w:t>
            </w:r>
          </w:p>
        </w:tc>
        <w:tc>
          <w:tcPr>
            <w:tcW w:w="1800" w:type="dxa"/>
          </w:tcPr>
          <w:p>
            <w:pPr>
              <w:pStyle w:val="TableParagraph"/>
              <w:spacing w:line="239" w:lineRule="exact"/>
              <w:rPr>
                <w:sz w:val="22"/>
              </w:rPr>
            </w:pPr>
            <w:r>
              <w:rPr>
                <w:sz w:val="22"/>
              </w:rPr>
              <w:t>4.5 mi</w:t>
            </w:r>
          </w:p>
        </w:tc>
      </w:tr>
      <w:tr>
        <w:trPr>
          <w:trHeight w:val="316" w:hRule="atLeast"/>
        </w:trPr>
        <w:tc>
          <w:tcPr>
            <w:tcW w:w="6300" w:type="dxa"/>
          </w:tcPr>
          <w:p>
            <w:pPr>
              <w:pStyle w:val="TableParagraph"/>
              <w:spacing w:line="237" w:lineRule="exact"/>
              <w:rPr>
                <w:sz w:val="22"/>
              </w:rPr>
            </w:pPr>
            <w:r>
              <w:rPr>
                <w:sz w:val="22"/>
              </w:rPr>
              <w:t>Stevens Drive Trail</w:t>
            </w:r>
          </w:p>
        </w:tc>
        <w:tc>
          <w:tcPr>
            <w:tcW w:w="1800" w:type="dxa"/>
          </w:tcPr>
          <w:p>
            <w:pPr>
              <w:pStyle w:val="TableParagraph"/>
              <w:spacing w:line="237" w:lineRule="exact"/>
              <w:rPr>
                <w:sz w:val="22"/>
              </w:rPr>
            </w:pPr>
            <w:r>
              <w:rPr>
                <w:sz w:val="22"/>
              </w:rPr>
              <w:t>0.82 mi</w:t>
            </w:r>
          </w:p>
        </w:tc>
      </w:tr>
      <w:tr>
        <w:trPr>
          <w:trHeight w:val="405" w:hRule="atLeast"/>
        </w:trPr>
        <w:tc>
          <w:tcPr>
            <w:tcW w:w="6300" w:type="dxa"/>
            <w:shd w:val="clear" w:color="auto" w:fill="D9D9D9"/>
          </w:tcPr>
          <w:p>
            <w:pPr>
              <w:pStyle w:val="TableParagraph"/>
              <w:spacing w:before="122"/>
              <w:rPr>
                <w:b/>
                <w:sz w:val="22"/>
              </w:rPr>
            </w:pPr>
            <w:r>
              <w:rPr>
                <w:b/>
                <w:sz w:val="22"/>
              </w:rPr>
              <w:t>Existing Secondary Trails</w:t>
            </w:r>
          </w:p>
        </w:tc>
        <w:tc>
          <w:tcPr>
            <w:tcW w:w="1800" w:type="dxa"/>
            <w:shd w:val="clear" w:color="auto" w:fill="D9D9D9"/>
          </w:tcPr>
          <w:p>
            <w:pPr>
              <w:pStyle w:val="TableParagraph"/>
              <w:spacing w:before="0"/>
              <w:ind w:left="0"/>
              <w:rPr>
                <w:rFonts w:ascii="Times New Roman"/>
                <w:sz w:val="20"/>
              </w:rPr>
            </w:pPr>
          </w:p>
        </w:tc>
      </w:tr>
      <w:tr>
        <w:trPr>
          <w:trHeight w:val="316" w:hRule="atLeast"/>
        </w:trPr>
        <w:tc>
          <w:tcPr>
            <w:tcW w:w="6300" w:type="dxa"/>
          </w:tcPr>
          <w:p>
            <w:pPr>
              <w:pStyle w:val="TableParagraph"/>
              <w:spacing w:line="237" w:lineRule="exact"/>
              <w:rPr>
                <w:sz w:val="22"/>
              </w:rPr>
            </w:pPr>
            <w:r>
              <w:rPr>
                <w:sz w:val="22"/>
              </w:rPr>
              <w:t>Aaron Drive Trail</w:t>
            </w:r>
          </w:p>
        </w:tc>
        <w:tc>
          <w:tcPr>
            <w:tcW w:w="1800" w:type="dxa"/>
          </w:tcPr>
          <w:p>
            <w:pPr>
              <w:pStyle w:val="TableParagraph"/>
              <w:spacing w:line="237" w:lineRule="exact"/>
              <w:rPr>
                <w:sz w:val="22"/>
              </w:rPr>
            </w:pPr>
            <w:r>
              <w:rPr>
                <w:sz w:val="22"/>
              </w:rPr>
              <w:t>0.54 mi</w:t>
            </w:r>
          </w:p>
        </w:tc>
      </w:tr>
      <w:tr>
        <w:trPr>
          <w:trHeight w:val="318" w:hRule="atLeast"/>
        </w:trPr>
        <w:tc>
          <w:tcPr>
            <w:tcW w:w="6300" w:type="dxa"/>
          </w:tcPr>
          <w:p>
            <w:pPr>
              <w:pStyle w:val="TableParagraph"/>
              <w:spacing w:line="237" w:lineRule="exact" w:before="62"/>
              <w:rPr>
                <w:sz w:val="22"/>
              </w:rPr>
            </w:pPr>
            <w:r>
              <w:rPr>
                <w:sz w:val="22"/>
              </w:rPr>
              <w:t>Badger Mountain Community Park</w:t>
            </w:r>
          </w:p>
        </w:tc>
        <w:tc>
          <w:tcPr>
            <w:tcW w:w="1800" w:type="dxa"/>
          </w:tcPr>
          <w:p>
            <w:pPr>
              <w:pStyle w:val="TableParagraph"/>
              <w:spacing w:line="237" w:lineRule="exact" w:before="62"/>
              <w:rPr>
                <w:sz w:val="22"/>
              </w:rPr>
            </w:pPr>
            <w:r>
              <w:rPr>
                <w:sz w:val="22"/>
              </w:rPr>
              <w:t>0.71 mi</w:t>
            </w:r>
          </w:p>
        </w:tc>
      </w:tr>
      <w:tr>
        <w:trPr>
          <w:trHeight w:val="318" w:hRule="atLeast"/>
        </w:trPr>
        <w:tc>
          <w:tcPr>
            <w:tcW w:w="6300" w:type="dxa"/>
          </w:tcPr>
          <w:p>
            <w:pPr>
              <w:pStyle w:val="TableParagraph"/>
              <w:spacing w:line="239" w:lineRule="exact"/>
              <w:rPr>
                <w:sz w:val="22"/>
              </w:rPr>
            </w:pPr>
            <w:r>
              <w:rPr>
                <w:sz w:val="22"/>
              </w:rPr>
              <w:t>Crested Hills Park</w:t>
            </w:r>
          </w:p>
        </w:tc>
        <w:tc>
          <w:tcPr>
            <w:tcW w:w="1800" w:type="dxa"/>
          </w:tcPr>
          <w:p>
            <w:pPr>
              <w:pStyle w:val="TableParagraph"/>
              <w:spacing w:line="239" w:lineRule="exact"/>
              <w:rPr>
                <w:sz w:val="22"/>
              </w:rPr>
            </w:pPr>
            <w:r>
              <w:rPr>
                <w:sz w:val="22"/>
              </w:rPr>
              <w:t>0.34 mi</w:t>
            </w:r>
          </w:p>
        </w:tc>
      </w:tr>
      <w:tr>
        <w:trPr>
          <w:trHeight w:val="316" w:hRule="atLeast"/>
        </w:trPr>
        <w:tc>
          <w:tcPr>
            <w:tcW w:w="6300" w:type="dxa"/>
          </w:tcPr>
          <w:p>
            <w:pPr>
              <w:pStyle w:val="TableParagraph"/>
              <w:spacing w:line="237" w:lineRule="exact"/>
              <w:rPr>
                <w:sz w:val="22"/>
              </w:rPr>
            </w:pPr>
            <w:r>
              <w:rPr>
                <w:sz w:val="22"/>
              </w:rPr>
              <w:t>Desert Rim Park</w:t>
            </w:r>
          </w:p>
        </w:tc>
        <w:tc>
          <w:tcPr>
            <w:tcW w:w="1800" w:type="dxa"/>
          </w:tcPr>
          <w:p>
            <w:pPr>
              <w:pStyle w:val="TableParagraph"/>
              <w:spacing w:line="237" w:lineRule="exact"/>
              <w:rPr>
                <w:sz w:val="22"/>
              </w:rPr>
            </w:pPr>
            <w:r>
              <w:rPr>
                <w:sz w:val="22"/>
              </w:rPr>
              <w:t>0.25 mi</w:t>
            </w:r>
          </w:p>
        </w:tc>
      </w:tr>
      <w:tr>
        <w:trPr>
          <w:trHeight w:val="318" w:hRule="atLeast"/>
        </w:trPr>
        <w:tc>
          <w:tcPr>
            <w:tcW w:w="6300" w:type="dxa"/>
          </w:tcPr>
          <w:p>
            <w:pPr>
              <w:pStyle w:val="TableParagraph"/>
              <w:spacing w:line="239" w:lineRule="exact"/>
              <w:rPr>
                <w:sz w:val="22"/>
              </w:rPr>
            </w:pPr>
            <w:r>
              <w:rPr>
                <w:sz w:val="22"/>
              </w:rPr>
              <w:t>Urban Greenbelt Trail</w:t>
            </w:r>
          </w:p>
        </w:tc>
        <w:tc>
          <w:tcPr>
            <w:tcW w:w="1800" w:type="dxa"/>
          </w:tcPr>
          <w:p>
            <w:pPr>
              <w:pStyle w:val="TableParagraph"/>
              <w:spacing w:line="239" w:lineRule="exact"/>
              <w:rPr>
                <w:sz w:val="22"/>
              </w:rPr>
            </w:pPr>
            <w:r>
              <w:rPr>
                <w:sz w:val="22"/>
              </w:rPr>
              <w:t>2.68 mi</w:t>
            </w:r>
          </w:p>
        </w:tc>
      </w:tr>
      <w:tr>
        <w:trPr>
          <w:trHeight w:val="318" w:hRule="atLeast"/>
        </w:trPr>
        <w:tc>
          <w:tcPr>
            <w:tcW w:w="6300" w:type="dxa"/>
          </w:tcPr>
          <w:p>
            <w:pPr>
              <w:pStyle w:val="TableParagraph"/>
              <w:spacing w:line="239" w:lineRule="exact"/>
              <w:rPr>
                <w:sz w:val="22"/>
              </w:rPr>
            </w:pPr>
            <w:r>
              <w:rPr>
                <w:sz w:val="22"/>
              </w:rPr>
              <w:t>Lynwood Loop Park</w:t>
            </w:r>
          </w:p>
        </w:tc>
        <w:tc>
          <w:tcPr>
            <w:tcW w:w="1800" w:type="dxa"/>
          </w:tcPr>
          <w:p>
            <w:pPr>
              <w:pStyle w:val="TableParagraph"/>
              <w:spacing w:line="239" w:lineRule="exact"/>
              <w:rPr>
                <w:sz w:val="22"/>
              </w:rPr>
            </w:pPr>
            <w:r>
              <w:rPr>
                <w:sz w:val="22"/>
              </w:rPr>
              <w:t>.25 mi</w:t>
            </w:r>
          </w:p>
        </w:tc>
      </w:tr>
      <w:tr>
        <w:trPr>
          <w:trHeight w:val="316" w:hRule="atLeast"/>
        </w:trPr>
        <w:tc>
          <w:tcPr>
            <w:tcW w:w="6300" w:type="dxa"/>
          </w:tcPr>
          <w:p>
            <w:pPr>
              <w:pStyle w:val="TableParagraph"/>
              <w:spacing w:line="237" w:lineRule="exact"/>
              <w:rPr>
                <w:sz w:val="22"/>
              </w:rPr>
            </w:pPr>
            <w:r>
              <w:rPr>
                <w:sz w:val="22"/>
              </w:rPr>
              <w:t>McMurray Park</w:t>
            </w:r>
          </w:p>
        </w:tc>
        <w:tc>
          <w:tcPr>
            <w:tcW w:w="1800" w:type="dxa"/>
          </w:tcPr>
          <w:p>
            <w:pPr>
              <w:pStyle w:val="TableParagraph"/>
              <w:spacing w:line="237" w:lineRule="exact"/>
              <w:rPr>
                <w:sz w:val="22"/>
              </w:rPr>
            </w:pPr>
            <w:r>
              <w:rPr>
                <w:sz w:val="22"/>
              </w:rPr>
              <w:t>0.35 mi</w:t>
            </w:r>
          </w:p>
        </w:tc>
      </w:tr>
      <w:tr>
        <w:trPr>
          <w:trHeight w:val="318" w:hRule="atLeast"/>
        </w:trPr>
        <w:tc>
          <w:tcPr>
            <w:tcW w:w="6300" w:type="dxa"/>
          </w:tcPr>
          <w:p>
            <w:pPr>
              <w:pStyle w:val="TableParagraph"/>
              <w:spacing w:line="239" w:lineRule="exact"/>
              <w:rPr>
                <w:sz w:val="22"/>
              </w:rPr>
            </w:pPr>
            <w:r>
              <w:rPr>
                <w:sz w:val="22"/>
              </w:rPr>
              <w:t>Paul Liddell Park</w:t>
            </w:r>
          </w:p>
        </w:tc>
        <w:tc>
          <w:tcPr>
            <w:tcW w:w="1800" w:type="dxa"/>
          </w:tcPr>
          <w:p>
            <w:pPr>
              <w:pStyle w:val="TableParagraph"/>
              <w:spacing w:line="239" w:lineRule="exact"/>
              <w:rPr>
                <w:sz w:val="22"/>
              </w:rPr>
            </w:pPr>
            <w:r>
              <w:rPr>
                <w:sz w:val="22"/>
              </w:rPr>
              <w:t>0.14 mi</w:t>
            </w:r>
          </w:p>
        </w:tc>
      </w:tr>
      <w:tr>
        <w:trPr>
          <w:trHeight w:val="316" w:hRule="atLeast"/>
        </w:trPr>
        <w:tc>
          <w:tcPr>
            <w:tcW w:w="6300" w:type="dxa"/>
          </w:tcPr>
          <w:p>
            <w:pPr>
              <w:pStyle w:val="TableParagraph"/>
              <w:spacing w:line="237" w:lineRule="exact"/>
              <w:rPr>
                <w:sz w:val="22"/>
              </w:rPr>
            </w:pPr>
            <w:r>
              <w:rPr>
                <w:sz w:val="22"/>
              </w:rPr>
              <w:t>Sagewood Meadows Open Area</w:t>
            </w:r>
          </w:p>
        </w:tc>
        <w:tc>
          <w:tcPr>
            <w:tcW w:w="1800" w:type="dxa"/>
          </w:tcPr>
          <w:p>
            <w:pPr>
              <w:pStyle w:val="TableParagraph"/>
              <w:spacing w:line="237" w:lineRule="exact"/>
              <w:rPr>
                <w:sz w:val="22"/>
              </w:rPr>
            </w:pPr>
            <w:r>
              <w:rPr>
                <w:sz w:val="22"/>
              </w:rPr>
              <w:t>0.56 mi</w:t>
            </w:r>
          </w:p>
        </w:tc>
      </w:tr>
      <w:tr>
        <w:trPr>
          <w:trHeight w:val="318" w:hRule="atLeast"/>
        </w:trPr>
        <w:tc>
          <w:tcPr>
            <w:tcW w:w="6300" w:type="dxa"/>
          </w:tcPr>
          <w:p>
            <w:pPr>
              <w:pStyle w:val="TableParagraph"/>
              <w:spacing w:line="237" w:lineRule="exact" w:before="62"/>
              <w:rPr>
                <w:sz w:val="22"/>
              </w:rPr>
            </w:pPr>
            <w:r>
              <w:rPr>
                <w:sz w:val="22"/>
              </w:rPr>
              <w:t>Claybell Park</w:t>
            </w:r>
          </w:p>
        </w:tc>
        <w:tc>
          <w:tcPr>
            <w:tcW w:w="1800" w:type="dxa"/>
          </w:tcPr>
          <w:p>
            <w:pPr>
              <w:pStyle w:val="TableParagraph"/>
              <w:spacing w:line="237" w:lineRule="exact" w:before="62"/>
              <w:rPr>
                <w:sz w:val="22"/>
              </w:rPr>
            </w:pPr>
            <w:r>
              <w:rPr>
                <w:sz w:val="22"/>
              </w:rPr>
              <w:t>0.56 mi</w:t>
            </w:r>
          </w:p>
        </w:tc>
      </w:tr>
      <w:tr>
        <w:trPr>
          <w:trHeight w:val="405" w:hRule="atLeast"/>
        </w:trPr>
        <w:tc>
          <w:tcPr>
            <w:tcW w:w="6300" w:type="dxa"/>
            <w:shd w:val="clear" w:color="auto" w:fill="D9D9D9"/>
          </w:tcPr>
          <w:p>
            <w:pPr>
              <w:pStyle w:val="TableParagraph"/>
              <w:spacing w:before="119"/>
              <w:rPr>
                <w:b/>
                <w:sz w:val="22"/>
              </w:rPr>
            </w:pPr>
            <w:r>
              <w:rPr>
                <w:b/>
                <w:sz w:val="22"/>
              </w:rPr>
              <w:t>Existing Soft Trails</w:t>
            </w:r>
          </w:p>
        </w:tc>
        <w:tc>
          <w:tcPr>
            <w:tcW w:w="1800" w:type="dxa"/>
            <w:shd w:val="clear" w:color="auto" w:fill="D9D9D9"/>
          </w:tcPr>
          <w:p>
            <w:pPr>
              <w:pStyle w:val="TableParagraph"/>
              <w:spacing w:before="0"/>
              <w:ind w:left="0"/>
              <w:rPr>
                <w:rFonts w:ascii="Times New Roman"/>
                <w:sz w:val="20"/>
              </w:rPr>
            </w:pPr>
          </w:p>
        </w:tc>
      </w:tr>
      <w:tr>
        <w:trPr>
          <w:trHeight w:val="316" w:hRule="atLeast"/>
        </w:trPr>
        <w:tc>
          <w:tcPr>
            <w:tcW w:w="6300" w:type="dxa"/>
          </w:tcPr>
          <w:p>
            <w:pPr>
              <w:pStyle w:val="TableParagraph"/>
              <w:spacing w:line="237" w:lineRule="exact"/>
              <w:rPr>
                <w:sz w:val="22"/>
              </w:rPr>
            </w:pPr>
            <w:r>
              <w:rPr>
                <w:sz w:val="22"/>
              </w:rPr>
              <w:t>W.E. Johnson Park</w:t>
            </w:r>
          </w:p>
        </w:tc>
        <w:tc>
          <w:tcPr>
            <w:tcW w:w="1800" w:type="dxa"/>
          </w:tcPr>
          <w:p>
            <w:pPr>
              <w:pStyle w:val="TableParagraph"/>
              <w:spacing w:line="237" w:lineRule="exact"/>
              <w:rPr>
                <w:sz w:val="22"/>
              </w:rPr>
            </w:pPr>
            <w:r>
              <w:rPr>
                <w:sz w:val="22"/>
              </w:rPr>
              <w:t>&gt;5 mi</w:t>
            </w:r>
          </w:p>
        </w:tc>
      </w:tr>
      <w:tr>
        <w:trPr>
          <w:trHeight w:val="318" w:hRule="atLeast"/>
        </w:trPr>
        <w:tc>
          <w:tcPr>
            <w:tcW w:w="6300" w:type="dxa"/>
          </w:tcPr>
          <w:p>
            <w:pPr>
              <w:pStyle w:val="TableParagraph"/>
              <w:spacing w:line="239" w:lineRule="exact"/>
              <w:rPr>
                <w:sz w:val="14"/>
              </w:rPr>
            </w:pPr>
            <w:r>
              <w:rPr>
                <w:sz w:val="22"/>
              </w:rPr>
              <w:t>Badger Mountain Centennial Preserve</w:t>
            </w:r>
            <w:r>
              <w:rPr>
                <w:position w:val="5"/>
                <w:sz w:val="14"/>
              </w:rPr>
              <w:t>1</w:t>
            </w:r>
          </w:p>
        </w:tc>
        <w:tc>
          <w:tcPr>
            <w:tcW w:w="1800" w:type="dxa"/>
          </w:tcPr>
          <w:p>
            <w:pPr>
              <w:pStyle w:val="TableParagraph"/>
              <w:spacing w:line="239" w:lineRule="exact"/>
              <w:rPr>
                <w:sz w:val="22"/>
              </w:rPr>
            </w:pPr>
            <w:r>
              <w:rPr>
                <w:sz w:val="22"/>
              </w:rPr>
              <w:t>6 mi</w:t>
            </w:r>
          </w:p>
        </w:tc>
      </w:tr>
      <w:tr>
        <w:trPr>
          <w:trHeight w:val="316" w:hRule="atLeast"/>
        </w:trPr>
        <w:tc>
          <w:tcPr>
            <w:tcW w:w="6300" w:type="dxa"/>
          </w:tcPr>
          <w:p>
            <w:pPr>
              <w:pStyle w:val="TableParagraph"/>
              <w:spacing w:line="237" w:lineRule="exact"/>
              <w:rPr>
                <w:sz w:val="22"/>
              </w:rPr>
            </w:pPr>
            <w:r>
              <w:rPr>
                <w:sz w:val="22"/>
              </w:rPr>
              <w:t>Trailhead Park canyon trail 0.26/Badger Flats Trail 0.4</w:t>
            </w:r>
          </w:p>
        </w:tc>
        <w:tc>
          <w:tcPr>
            <w:tcW w:w="1800" w:type="dxa"/>
          </w:tcPr>
          <w:p>
            <w:pPr>
              <w:pStyle w:val="TableParagraph"/>
              <w:spacing w:line="237" w:lineRule="exact"/>
              <w:rPr>
                <w:sz w:val="22"/>
              </w:rPr>
            </w:pPr>
            <w:r>
              <w:rPr>
                <w:sz w:val="22"/>
              </w:rPr>
              <w:t>0.3</w:t>
            </w:r>
          </w:p>
        </w:tc>
      </w:tr>
      <w:tr>
        <w:trPr>
          <w:trHeight w:val="318" w:hRule="atLeast"/>
        </w:trPr>
        <w:tc>
          <w:tcPr>
            <w:tcW w:w="6300" w:type="dxa"/>
          </w:tcPr>
          <w:p>
            <w:pPr>
              <w:pStyle w:val="TableParagraph"/>
              <w:spacing w:line="237" w:lineRule="exact" w:before="62"/>
              <w:rPr>
                <w:sz w:val="22"/>
              </w:rPr>
            </w:pPr>
            <w:r>
              <w:rPr>
                <w:sz w:val="22"/>
              </w:rPr>
              <w:t>Claybell Park</w:t>
            </w:r>
          </w:p>
        </w:tc>
        <w:tc>
          <w:tcPr>
            <w:tcW w:w="1800" w:type="dxa"/>
          </w:tcPr>
          <w:p>
            <w:pPr>
              <w:pStyle w:val="TableParagraph"/>
              <w:spacing w:line="237" w:lineRule="exact" w:before="62"/>
              <w:rPr>
                <w:sz w:val="22"/>
              </w:rPr>
            </w:pPr>
            <w:r>
              <w:rPr>
                <w:sz w:val="22"/>
              </w:rPr>
              <w:t>&gt;2 mi</w:t>
            </w:r>
          </w:p>
        </w:tc>
      </w:tr>
      <w:tr>
        <w:trPr>
          <w:trHeight w:val="318" w:hRule="atLeast"/>
        </w:trPr>
        <w:tc>
          <w:tcPr>
            <w:tcW w:w="6300" w:type="dxa"/>
          </w:tcPr>
          <w:p>
            <w:pPr>
              <w:pStyle w:val="TableParagraph"/>
              <w:spacing w:line="239" w:lineRule="exact"/>
              <w:rPr>
                <w:sz w:val="22"/>
              </w:rPr>
            </w:pPr>
            <w:r>
              <w:rPr>
                <w:sz w:val="22"/>
              </w:rPr>
              <w:t>Tapteal Greenway Trail</w:t>
            </w:r>
          </w:p>
        </w:tc>
        <w:tc>
          <w:tcPr>
            <w:tcW w:w="1800" w:type="dxa"/>
          </w:tcPr>
          <w:p>
            <w:pPr>
              <w:pStyle w:val="TableParagraph"/>
              <w:spacing w:line="239" w:lineRule="exact"/>
              <w:rPr>
                <w:sz w:val="22"/>
              </w:rPr>
            </w:pPr>
            <w:r>
              <w:rPr>
                <w:sz w:val="22"/>
              </w:rPr>
              <w:t>2 mi</w:t>
            </w:r>
          </w:p>
        </w:tc>
      </w:tr>
      <w:tr>
        <w:trPr>
          <w:trHeight w:val="316" w:hRule="atLeast"/>
        </w:trPr>
        <w:tc>
          <w:tcPr>
            <w:tcW w:w="6300" w:type="dxa"/>
          </w:tcPr>
          <w:p>
            <w:pPr>
              <w:pStyle w:val="TableParagraph"/>
              <w:spacing w:line="237" w:lineRule="exact"/>
              <w:rPr>
                <w:sz w:val="22"/>
              </w:rPr>
            </w:pPr>
            <w:r>
              <w:rPr>
                <w:sz w:val="22"/>
              </w:rPr>
              <w:t>Badger Mountain Overlook</w:t>
            </w:r>
          </w:p>
        </w:tc>
        <w:tc>
          <w:tcPr>
            <w:tcW w:w="1800" w:type="dxa"/>
          </w:tcPr>
          <w:p>
            <w:pPr>
              <w:pStyle w:val="TableParagraph"/>
              <w:spacing w:line="237" w:lineRule="exact"/>
              <w:rPr>
                <w:sz w:val="22"/>
              </w:rPr>
            </w:pPr>
            <w:r>
              <w:rPr>
                <w:sz w:val="22"/>
              </w:rPr>
              <w:t>&gt;1 mi</w:t>
            </w:r>
          </w:p>
        </w:tc>
      </w:tr>
      <w:tr>
        <w:trPr>
          <w:trHeight w:val="318" w:hRule="atLeast"/>
        </w:trPr>
        <w:tc>
          <w:tcPr>
            <w:tcW w:w="6300" w:type="dxa"/>
          </w:tcPr>
          <w:p>
            <w:pPr>
              <w:pStyle w:val="TableParagraph"/>
              <w:spacing w:line="239" w:lineRule="exact"/>
              <w:rPr>
                <w:sz w:val="14"/>
              </w:rPr>
            </w:pPr>
            <w:r>
              <w:rPr>
                <w:sz w:val="22"/>
              </w:rPr>
              <w:t>Riverview Management Unit</w:t>
            </w:r>
            <w:r>
              <w:rPr>
                <w:position w:val="5"/>
                <w:sz w:val="14"/>
              </w:rPr>
              <w:t>2</w:t>
            </w:r>
          </w:p>
        </w:tc>
        <w:tc>
          <w:tcPr>
            <w:tcW w:w="1800" w:type="dxa"/>
          </w:tcPr>
          <w:p>
            <w:pPr>
              <w:pStyle w:val="TableParagraph"/>
              <w:spacing w:line="239" w:lineRule="exact"/>
              <w:rPr>
                <w:sz w:val="22"/>
              </w:rPr>
            </w:pPr>
            <w:r>
              <w:rPr>
                <w:sz w:val="22"/>
              </w:rPr>
              <w:t>2 mi</w:t>
            </w:r>
          </w:p>
        </w:tc>
      </w:tr>
      <w:tr>
        <w:trPr>
          <w:trHeight w:val="318" w:hRule="atLeast"/>
        </w:trPr>
        <w:tc>
          <w:tcPr>
            <w:tcW w:w="6300" w:type="dxa"/>
          </w:tcPr>
          <w:p>
            <w:pPr>
              <w:pStyle w:val="TableParagraph"/>
              <w:spacing w:line="239" w:lineRule="exact"/>
              <w:rPr>
                <w:sz w:val="14"/>
              </w:rPr>
            </w:pPr>
            <w:r>
              <w:rPr>
                <w:sz w:val="22"/>
              </w:rPr>
              <w:t>Chamna Natural Preserve</w:t>
            </w:r>
            <w:r>
              <w:rPr>
                <w:position w:val="5"/>
                <w:sz w:val="14"/>
              </w:rPr>
              <w:t>2</w:t>
            </w:r>
          </w:p>
        </w:tc>
        <w:tc>
          <w:tcPr>
            <w:tcW w:w="1800" w:type="dxa"/>
          </w:tcPr>
          <w:p>
            <w:pPr>
              <w:pStyle w:val="TableParagraph"/>
              <w:spacing w:line="239" w:lineRule="exact"/>
              <w:rPr>
                <w:sz w:val="22"/>
              </w:rPr>
            </w:pPr>
            <w:r>
              <w:rPr>
                <w:sz w:val="22"/>
              </w:rPr>
              <w:t>&gt; 11 mi</w:t>
            </w:r>
          </w:p>
        </w:tc>
      </w:tr>
      <w:tr>
        <w:trPr>
          <w:trHeight w:val="316" w:hRule="atLeast"/>
        </w:trPr>
        <w:tc>
          <w:tcPr>
            <w:tcW w:w="6300" w:type="dxa"/>
          </w:tcPr>
          <w:p>
            <w:pPr>
              <w:pStyle w:val="TableParagraph"/>
              <w:spacing w:line="237" w:lineRule="exact"/>
              <w:rPr>
                <w:sz w:val="14"/>
              </w:rPr>
            </w:pPr>
            <w:r>
              <w:rPr>
                <w:sz w:val="22"/>
              </w:rPr>
              <w:t>Bateman Island</w:t>
            </w:r>
            <w:r>
              <w:rPr>
                <w:position w:val="5"/>
                <w:sz w:val="14"/>
              </w:rPr>
              <w:t>2</w:t>
            </w:r>
          </w:p>
        </w:tc>
        <w:tc>
          <w:tcPr>
            <w:tcW w:w="1800" w:type="dxa"/>
          </w:tcPr>
          <w:p>
            <w:pPr>
              <w:pStyle w:val="TableParagraph"/>
              <w:spacing w:line="237" w:lineRule="exact"/>
              <w:rPr>
                <w:sz w:val="22"/>
              </w:rPr>
            </w:pPr>
            <w:r>
              <w:rPr>
                <w:sz w:val="22"/>
              </w:rPr>
              <w:t>&gt; 2 mi</w:t>
            </w:r>
          </w:p>
        </w:tc>
      </w:tr>
      <w:tr>
        <w:trPr>
          <w:trHeight w:val="318" w:hRule="atLeast"/>
        </w:trPr>
        <w:tc>
          <w:tcPr>
            <w:tcW w:w="6300" w:type="dxa"/>
          </w:tcPr>
          <w:p>
            <w:pPr>
              <w:pStyle w:val="TableParagraph"/>
              <w:spacing w:line="239" w:lineRule="exact"/>
              <w:rPr>
                <w:sz w:val="22"/>
              </w:rPr>
            </w:pPr>
            <w:r>
              <w:rPr>
                <w:sz w:val="22"/>
              </w:rPr>
              <w:t>James Lawless Park</w:t>
            </w:r>
          </w:p>
        </w:tc>
        <w:tc>
          <w:tcPr>
            <w:tcW w:w="1800" w:type="dxa"/>
          </w:tcPr>
          <w:p>
            <w:pPr>
              <w:pStyle w:val="TableParagraph"/>
              <w:spacing w:line="239" w:lineRule="exact"/>
              <w:rPr>
                <w:sz w:val="22"/>
              </w:rPr>
            </w:pPr>
            <w:r>
              <w:rPr>
                <w:sz w:val="22"/>
              </w:rPr>
              <w:t>&gt;1 mi</w:t>
            </w:r>
          </w:p>
        </w:tc>
      </w:tr>
      <w:tr>
        <w:trPr>
          <w:trHeight w:val="316" w:hRule="atLeast"/>
        </w:trPr>
        <w:tc>
          <w:tcPr>
            <w:tcW w:w="6300" w:type="dxa"/>
          </w:tcPr>
          <w:p>
            <w:pPr>
              <w:pStyle w:val="TableParagraph"/>
              <w:spacing w:line="237" w:lineRule="exact"/>
              <w:rPr>
                <w:sz w:val="22"/>
              </w:rPr>
            </w:pPr>
            <w:r>
              <w:rPr>
                <w:sz w:val="22"/>
              </w:rPr>
              <w:t>Amon Basin</w:t>
            </w:r>
          </w:p>
        </w:tc>
        <w:tc>
          <w:tcPr>
            <w:tcW w:w="1800" w:type="dxa"/>
          </w:tcPr>
          <w:p>
            <w:pPr>
              <w:pStyle w:val="TableParagraph"/>
              <w:spacing w:line="237" w:lineRule="exact"/>
              <w:rPr>
                <w:sz w:val="22"/>
              </w:rPr>
            </w:pPr>
            <w:r>
              <w:rPr>
                <w:sz w:val="22"/>
              </w:rPr>
              <w:t>&gt;2 mi</w:t>
            </w:r>
          </w:p>
        </w:tc>
      </w:tr>
      <w:tr>
        <w:trPr>
          <w:trHeight w:val="318" w:hRule="atLeast"/>
        </w:trPr>
        <w:tc>
          <w:tcPr>
            <w:tcW w:w="6300" w:type="dxa"/>
          </w:tcPr>
          <w:p>
            <w:pPr>
              <w:pStyle w:val="TableParagraph"/>
              <w:spacing w:line="237" w:lineRule="exact" w:before="62"/>
              <w:rPr>
                <w:sz w:val="22"/>
              </w:rPr>
            </w:pPr>
            <w:r>
              <w:rPr>
                <w:sz w:val="22"/>
              </w:rPr>
              <w:t>South Columbia Point</w:t>
            </w:r>
          </w:p>
        </w:tc>
        <w:tc>
          <w:tcPr>
            <w:tcW w:w="1800" w:type="dxa"/>
          </w:tcPr>
          <w:p>
            <w:pPr>
              <w:pStyle w:val="TableParagraph"/>
              <w:spacing w:line="237" w:lineRule="exact" w:before="62"/>
              <w:rPr>
                <w:sz w:val="22"/>
              </w:rPr>
            </w:pPr>
            <w:r>
              <w:rPr>
                <w:sz w:val="22"/>
              </w:rPr>
              <w:t>&gt;2 mi</w:t>
            </w:r>
          </w:p>
        </w:tc>
      </w:tr>
      <w:tr>
        <w:trPr>
          <w:trHeight w:val="318" w:hRule="atLeast"/>
        </w:trPr>
        <w:tc>
          <w:tcPr>
            <w:tcW w:w="6300" w:type="dxa"/>
          </w:tcPr>
          <w:p>
            <w:pPr>
              <w:pStyle w:val="TableParagraph"/>
              <w:spacing w:line="239" w:lineRule="exact"/>
              <w:rPr>
                <w:sz w:val="22"/>
              </w:rPr>
            </w:pPr>
            <w:r>
              <w:rPr>
                <w:sz w:val="22"/>
              </w:rPr>
              <w:t>Rivers to Ridges Trail (Falconcrest)</w:t>
            </w:r>
          </w:p>
        </w:tc>
        <w:tc>
          <w:tcPr>
            <w:tcW w:w="1800" w:type="dxa"/>
          </w:tcPr>
          <w:p>
            <w:pPr>
              <w:pStyle w:val="TableParagraph"/>
              <w:spacing w:line="239" w:lineRule="exact"/>
              <w:rPr>
                <w:sz w:val="22"/>
              </w:rPr>
            </w:pPr>
            <w:r>
              <w:rPr>
                <w:sz w:val="22"/>
              </w:rPr>
              <w:t>0.36 mi</w:t>
            </w:r>
          </w:p>
        </w:tc>
      </w:tr>
    </w:tbl>
    <w:p>
      <w:pPr>
        <w:spacing w:after="0" w:line="239" w:lineRule="exact"/>
        <w:rPr>
          <w:sz w:val="22"/>
        </w:rPr>
        <w:sectPr>
          <w:pgSz w:w="12240" w:h="15840"/>
          <w:pgMar w:header="0" w:footer="1052" w:top="1360" w:bottom="1240" w:left="1320" w:right="1200"/>
        </w:sect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300"/>
        <w:gridCol w:w="1800"/>
      </w:tblGrid>
      <w:tr>
        <w:trPr>
          <w:trHeight w:val="402" w:hRule="atLeast"/>
        </w:trPr>
        <w:tc>
          <w:tcPr>
            <w:tcW w:w="6300" w:type="dxa"/>
            <w:shd w:val="clear" w:color="auto" w:fill="B8CCE3"/>
          </w:tcPr>
          <w:p>
            <w:pPr>
              <w:pStyle w:val="TableParagraph"/>
              <w:spacing w:before="119"/>
              <w:rPr>
                <w:b/>
                <w:sz w:val="22"/>
              </w:rPr>
            </w:pPr>
            <w:r>
              <w:rPr>
                <w:b/>
                <w:sz w:val="22"/>
              </w:rPr>
              <w:t>Park Type</w:t>
            </w:r>
          </w:p>
        </w:tc>
        <w:tc>
          <w:tcPr>
            <w:tcW w:w="1800" w:type="dxa"/>
            <w:shd w:val="clear" w:color="auto" w:fill="B8CCE3"/>
          </w:tcPr>
          <w:p>
            <w:pPr>
              <w:pStyle w:val="TableParagraph"/>
              <w:spacing w:before="119"/>
              <w:rPr>
                <w:b/>
                <w:sz w:val="22"/>
              </w:rPr>
            </w:pPr>
            <w:r>
              <w:rPr>
                <w:b/>
                <w:sz w:val="22"/>
              </w:rPr>
              <w:t>Acres</w:t>
            </w:r>
          </w:p>
        </w:tc>
      </w:tr>
      <w:tr>
        <w:trPr>
          <w:trHeight w:val="590" w:hRule="atLeast"/>
        </w:trPr>
        <w:tc>
          <w:tcPr>
            <w:tcW w:w="8100" w:type="dxa"/>
            <w:gridSpan w:val="2"/>
          </w:tcPr>
          <w:p>
            <w:pPr>
              <w:pStyle w:val="TableParagraph"/>
              <w:rPr>
                <w:i/>
                <w:sz w:val="20"/>
              </w:rPr>
            </w:pPr>
            <w:r>
              <w:rPr>
                <w:i/>
                <w:position w:val="5"/>
                <w:sz w:val="13"/>
              </w:rPr>
              <w:t>1 </w:t>
            </w:r>
            <w:r>
              <w:rPr>
                <w:i/>
                <w:sz w:val="20"/>
              </w:rPr>
              <w:t>Owned and maintained by Benton County; portion of the park is in the City’s UGA</w:t>
            </w:r>
          </w:p>
          <w:p>
            <w:pPr>
              <w:pStyle w:val="TableParagraph"/>
              <w:spacing w:line="215" w:lineRule="exact" w:before="61"/>
              <w:rPr>
                <w:i/>
                <w:sz w:val="20"/>
              </w:rPr>
            </w:pPr>
            <w:r>
              <w:rPr>
                <w:i/>
                <w:position w:val="5"/>
                <w:sz w:val="13"/>
              </w:rPr>
              <w:t>2 </w:t>
            </w:r>
            <w:r>
              <w:rPr>
                <w:i/>
                <w:sz w:val="20"/>
              </w:rPr>
              <w:t>US Army Corps of Engineers owned, leased to the City of Richland</w:t>
            </w:r>
          </w:p>
        </w:tc>
      </w:tr>
    </w:tbl>
    <w:p>
      <w:pPr>
        <w:pStyle w:val="BodyText"/>
        <w:spacing w:before="119"/>
        <w:ind w:left="119" w:right="234"/>
        <w:jc w:val="both"/>
      </w:pPr>
      <w:r>
        <w:rPr/>
        <w:t>In addition to facilities mentioned above, the Barker Ranch trail exists as an easement on City property also encumbered by an irrigation main easement. The City is in the process of relocating this trail to City property adjacent to the irrigation main.</w:t>
      </w:r>
    </w:p>
    <w:p>
      <w:pPr>
        <w:spacing w:before="201"/>
        <w:ind w:left="120" w:right="0" w:firstLine="0"/>
        <w:jc w:val="both"/>
        <w:rPr>
          <w:b/>
          <w:sz w:val="22"/>
        </w:rPr>
      </w:pPr>
      <w:bookmarkStart w:name="Other Recreational Activities" w:id="261"/>
      <w:bookmarkEnd w:id="261"/>
      <w:r>
        <w:rPr/>
      </w:r>
      <w:r>
        <w:rPr>
          <w:b/>
          <w:color w:val="C0504D"/>
          <w:sz w:val="22"/>
        </w:rPr>
        <w:t>Other Recreational Activities</w:t>
      </w:r>
    </w:p>
    <w:p>
      <w:pPr>
        <w:pStyle w:val="BodyText"/>
        <w:spacing w:before="119"/>
        <w:ind w:left="119" w:right="234"/>
        <w:jc w:val="both"/>
      </w:pPr>
      <w:r>
        <w:rPr/>
        <w:t>In</w:t>
      </w:r>
      <w:r>
        <w:rPr>
          <w:spacing w:val="-12"/>
        </w:rPr>
        <w:t> </w:t>
      </w:r>
      <w:r>
        <w:rPr/>
        <w:t>addition</w:t>
      </w:r>
      <w:r>
        <w:rPr>
          <w:spacing w:val="-11"/>
        </w:rPr>
        <w:t> </w:t>
      </w:r>
      <w:r>
        <w:rPr/>
        <w:t>to</w:t>
      </w:r>
      <w:r>
        <w:rPr>
          <w:spacing w:val="-10"/>
        </w:rPr>
        <w:t> </w:t>
      </w:r>
      <w:r>
        <w:rPr/>
        <w:t>City-owned</w:t>
      </w:r>
      <w:r>
        <w:rPr>
          <w:spacing w:val="-12"/>
        </w:rPr>
        <w:t> </w:t>
      </w:r>
      <w:r>
        <w:rPr/>
        <w:t>park</w:t>
      </w:r>
      <w:r>
        <w:rPr>
          <w:spacing w:val="-11"/>
        </w:rPr>
        <w:t> </w:t>
      </w:r>
      <w:r>
        <w:rPr/>
        <w:t>land</w:t>
      </w:r>
      <w:r>
        <w:rPr>
          <w:spacing w:val="-11"/>
        </w:rPr>
        <w:t> </w:t>
      </w:r>
      <w:r>
        <w:rPr/>
        <w:t>and</w:t>
      </w:r>
      <w:r>
        <w:rPr>
          <w:spacing w:val="-11"/>
        </w:rPr>
        <w:t> </w:t>
      </w:r>
      <w:r>
        <w:rPr/>
        <w:t>indoor</w:t>
      </w:r>
      <w:r>
        <w:rPr>
          <w:spacing w:val="-12"/>
        </w:rPr>
        <w:t> </w:t>
      </w:r>
      <w:r>
        <w:rPr/>
        <w:t>recreational</w:t>
      </w:r>
      <w:r>
        <w:rPr>
          <w:spacing w:val="-10"/>
        </w:rPr>
        <w:t> </w:t>
      </w:r>
      <w:r>
        <w:rPr/>
        <w:t>facilities,</w:t>
      </w:r>
      <w:r>
        <w:rPr>
          <w:spacing w:val="-10"/>
        </w:rPr>
        <w:t> </w:t>
      </w:r>
      <w:r>
        <w:rPr/>
        <w:t>other</w:t>
      </w:r>
      <w:r>
        <w:rPr>
          <w:spacing w:val="-11"/>
        </w:rPr>
        <w:t> </w:t>
      </w:r>
      <w:r>
        <w:rPr/>
        <w:t>facilities</w:t>
      </w:r>
      <w:r>
        <w:rPr>
          <w:spacing w:val="-10"/>
        </w:rPr>
        <w:t> </w:t>
      </w:r>
      <w:r>
        <w:rPr/>
        <w:t>include</w:t>
      </w:r>
      <w:r>
        <w:rPr>
          <w:spacing w:val="-10"/>
        </w:rPr>
        <w:t> </w:t>
      </w:r>
      <w:r>
        <w:rPr/>
        <w:t>the</w:t>
      </w:r>
      <w:r>
        <w:rPr>
          <w:spacing w:val="-10"/>
        </w:rPr>
        <w:t> </w:t>
      </w:r>
      <w:r>
        <w:rPr/>
        <w:t>647- acre Badger Mountain Centennial Preserve owned by Benton County, 1,112 acres of USACE-owned open space, and various Richland School District facilities. The USACE manages two open space preserves in the Yakima River delta area, the Yakima Delta Habitat Management Unit totaling 1,112 acres. Other private entities such as private schools, neighborhood clubs, private health clubs, and</w:t>
      </w:r>
      <w:bookmarkStart w:name="Community Center" w:id="262"/>
      <w:bookmarkEnd w:id="262"/>
      <w:r>
        <w:rPr/>
      </w:r>
      <w:r>
        <w:rPr/>
        <w:t> employers provide many indoor and outdoor sports, recreational, and health</w:t>
      </w:r>
      <w:r>
        <w:rPr>
          <w:spacing w:val="-19"/>
        </w:rPr>
        <w:t> </w:t>
      </w:r>
      <w:r>
        <w:rPr/>
        <w:t>facilities.</w:t>
      </w:r>
    </w:p>
    <w:p>
      <w:pPr>
        <w:spacing w:before="202"/>
        <w:ind w:left="120" w:right="0" w:firstLine="0"/>
        <w:jc w:val="both"/>
        <w:rPr>
          <w:i/>
          <w:sz w:val="22"/>
        </w:rPr>
      </w:pPr>
      <w:r>
        <w:rPr>
          <w:i/>
          <w:color w:val="233E5F"/>
          <w:sz w:val="22"/>
        </w:rPr>
        <w:t>Community Center</w:t>
      </w:r>
    </w:p>
    <w:p>
      <w:pPr>
        <w:pStyle w:val="BodyText"/>
        <w:spacing w:before="119"/>
        <w:ind w:left="120" w:right="233"/>
        <w:jc w:val="both"/>
      </w:pPr>
      <w:r>
        <w:rPr/>
        <w:t>The</w:t>
      </w:r>
      <w:r>
        <w:rPr>
          <w:spacing w:val="-14"/>
        </w:rPr>
        <w:t> </w:t>
      </w:r>
      <w:r>
        <w:rPr/>
        <w:t>Richland</w:t>
      </w:r>
      <w:r>
        <w:rPr>
          <w:spacing w:val="-13"/>
        </w:rPr>
        <w:t> </w:t>
      </w:r>
      <w:r>
        <w:rPr/>
        <w:t>Community</w:t>
      </w:r>
      <w:r>
        <w:rPr>
          <w:spacing w:val="-17"/>
        </w:rPr>
        <w:t> </w:t>
      </w:r>
      <w:r>
        <w:rPr/>
        <w:t>Center</w:t>
      </w:r>
      <w:r>
        <w:rPr>
          <w:spacing w:val="-13"/>
        </w:rPr>
        <w:t> </w:t>
      </w:r>
      <w:r>
        <w:rPr/>
        <w:t>is</w:t>
      </w:r>
      <w:r>
        <w:rPr>
          <w:spacing w:val="-13"/>
        </w:rPr>
        <w:t> </w:t>
      </w:r>
      <w:r>
        <w:rPr/>
        <w:t>available</w:t>
      </w:r>
      <w:r>
        <w:rPr>
          <w:spacing w:val="-13"/>
        </w:rPr>
        <w:t> </w:t>
      </w:r>
      <w:r>
        <w:rPr/>
        <w:t>to</w:t>
      </w:r>
      <w:r>
        <w:rPr>
          <w:spacing w:val="-14"/>
        </w:rPr>
        <w:t> </w:t>
      </w:r>
      <w:r>
        <w:rPr/>
        <w:t>all</w:t>
      </w:r>
      <w:r>
        <w:rPr>
          <w:spacing w:val="-13"/>
        </w:rPr>
        <w:t> </w:t>
      </w:r>
      <w:r>
        <w:rPr/>
        <w:t>citizens</w:t>
      </w:r>
      <w:r>
        <w:rPr>
          <w:spacing w:val="-13"/>
        </w:rPr>
        <w:t> </w:t>
      </w:r>
      <w:r>
        <w:rPr/>
        <w:t>of</w:t>
      </w:r>
      <w:r>
        <w:rPr>
          <w:spacing w:val="-13"/>
        </w:rPr>
        <w:t> </w:t>
      </w:r>
      <w:r>
        <w:rPr/>
        <w:t>Richland.</w:t>
      </w:r>
      <w:r>
        <w:rPr>
          <w:spacing w:val="-16"/>
        </w:rPr>
        <w:t> </w:t>
      </w:r>
      <w:r>
        <w:rPr/>
        <w:t>The</w:t>
      </w:r>
      <w:r>
        <w:rPr>
          <w:spacing w:val="-13"/>
        </w:rPr>
        <w:t> </w:t>
      </w:r>
      <w:r>
        <w:rPr/>
        <w:t>Center</w:t>
      </w:r>
      <w:r>
        <w:rPr>
          <w:spacing w:val="-14"/>
        </w:rPr>
        <w:t> </w:t>
      </w:r>
      <w:r>
        <w:rPr/>
        <w:t>serves</w:t>
      </w:r>
      <w:r>
        <w:rPr>
          <w:spacing w:val="-12"/>
        </w:rPr>
        <w:t> </w:t>
      </w:r>
      <w:r>
        <w:rPr/>
        <w:t>as</w:t>
      </w:r>
      <w:r>
        <w:rPr>
          <w:spacing w:val="-13"/>
        </w:rPr>
        <w:t> </w:t>
      </w:r>
      <w:r>
        <w:rPr/>
        <w:t>the</w:t>
      </w:r>
      <w:r>
        <w:rPr>
          <w:spacing w:val="-13"/>
        </w:rPr>
        <w:t> </w:t>
      </w:r>
      <w:r>
        <w:rPr/>
        <w:t>venue for a wide variety of programs and activities designed for individuals and groups of all ages. The Center is used for City sponsored and administered recreational activities and programs, and for rental. A number of the facility’s rooms are designed and used as multi-purpose spaces for a variety</w:t>
      </w:r>
      <w:bookmarkStart w:name="Hanford Reach Interpretive Center" w:id="263"/>
      <w:bookmarkEnd w:id="263"/>
      <w:r>
        <w:rPr/>
      </w:r>
      <w:r>
        <w:rPr/>
        <w:t> of</w:t>
      </w:r>
      <w:r>
        <w:rPr>
          <w:spacing w:val="-1"/>
        </w:rPr>
        <w:t> </w:t>
      </w:r>
      <w:r>
        <w:rPr/>
        <w:t>activities.</w:t>
      </w:r>
    </w:p>
    <w:p>
      <w:pPr>
        <w:spacing w:before="201"/>
        <w:ind w:left="120" w:right="0" w:firstLine="0"/>
        <w:jc w:val="left"/>
        <w:rPr>
          <w:i/>
          <w:sz w:val="22"/>
        </w:rPr>
      </w:pPr>
      <w:r>
        <w:rPr>
          <w:i/>
          <w:color w:val="233E5F"/>
          <w:sz w:val="22"/>
        </w:rPr>
        <w:t>Hanford Reach Interpretive Center</w:t>
      </w:r>
    </w:p>
    <w:p>
      <w:pPr>
        <w:pStyle w:val="BodyText"/>
        <w:spacing w:before="119"/>
        <w:ind w:left="120" w:right="237"/>
      </w:pPr>
      <w:r>
        <w:rPr/>
        <w:t>The Hanford Reach Interpretive Center is located in Columbia Park West. It opened to the public in 2014. This is a center exhibiting local culture and history and it promotes education and tourism. The structure is owned by the Richland Public Facilities District (PFD) on USACE property leased by the City of Richland and subleased to the PFD.</w:t>
      </w:r>
    </w:p>
    <w:p>
      <w:pPr>
        <w:spacing w:before="202"/>
        <w:ind w:left="120" w:right="0" w:firstLine="0"/>
        <w:jc w:val="both"/>
        <w:rPr>
          <w:i/>
          <w:sz w:val="22"/>
        </w:rPr>
      </w:pPr>
      <w:bookmarkStart w:name="Motor Cross" w:id="264"/>
      <w:bookmarkEnd w:id="264"/>
      <w:r>
        <w:rPr/>
      </w:r>
      <w:r>
        <w:rPr>
          <w:i/>
          <w:color w:val="233E5F"/>
          <w:sz w:val="22"/>
        </w:rPr>
        <w:t>Motor Cross</w:t>
      </w:r>
    </w:p>
    <w:p>
      <w:pPr>
        <w:pStyle w:val="BodyText"/>
        <w:spacing w:before="119"/>
        <w:ind w:left="120" w:right="234"/>
        <w:jc w:val="both"/>
      </w:pPr>
      <w:r>
        <w:rPr/>
        <w:t>The Off Road Vehicle Park (ORV Park) has a public motor cross (MX) course, an All-Terrain Vehicle (ATV) course, open trails, mini/pee-wee MX track, and RV camping. Portions of the park are leased for remote controlled airplanes and go-karts.</w:t>
      </w:r>
    </w:p>
    <w:p>
      <w:pPr>
        <w:pStyle w:val="BodyText"/>
        <w:spacing w:before="119"/>
        <w:ind w:left="120" w:right="234"/>
        <w:jc w:val="both"/>
      </w:pPr>
      <w:r>
        <w:rPr/>
        <w:t>The Horn Rapids Athletic Complex provides a public Bicycle Motor Cross (BMX) course and four</w:t>
      </w:r>
      <w:bookmarkStart w:name="Aquatic Facilitates" w:id="265"/>
      <w:bookmarkEnd w:id="265"/>
      <w:r>
        <w:rPr/>
      </w:r>
      <w:r>
        <w:rPr/>
        <w:t> men’s softball fields.</w:t>
      </w:r>
    </w:p>
    <w:p>
      <w:pPr>
        <w:spacing w:before="202"/>
        <w:ind w:left="120" w:right="0" w:firstLine="0"/>
        <w:jc w:val="both"/>
        <w:rPr>
          <w:i/>
          <w:sz w:val="22"/>
        </w:rPr>
      </w:pPr>
      <w:r>
        <w:rPr>
          <w:i/>
          <w:color w:val="233E5F"/>
          <w:sz w:val="22"/>
        </w:rPr>
        <w:t>Aquatic Facilitates</w:t>
      </w:r>
    </w:p>
    <w:p>
      <w:pPr>
        <w:pStyle w:val="BodyText"/>
        <w:spacing w:before="119"/>
        <w:ind w:left="120" w:right="234"/>
        <w:jc w:val="both"/>
      </w:pPr>
      <w:r>
        <w:rPr/>
        <w:t>The George Prout Aquatic Complex provides public swimming and swim classes. The facility has a 25-meter pool with dive tank and a 1,100-square foot wading pool. The Howard Amon Park has a 1,962-square foot wading pool, and Badger Mountain Park has a 6,000-square foot splash and spray park.</w:t>
      </w:r>
      <w:r>
        <w:rPr>
          <w:spacing w:val="-12"/>
        </w:rPr>
        <w:t> </w:t>
      </w:r>
      <w:r>
        <w:rPr/>
        <w:t>Both</w:t>
      </w:r>
      <w:r>
        <w:rPr>
          <w:spacing w:val="-11"/>
        </w:rPr>
        <w:t> </w:t>
      </w:r>
      <w:r>
        <w:rPr/>
        <w:t>Leslie</w:t>
      </w:r>
      <w:r>
        <w:rPr>
          <w:spacing w:val="-11"/>
        </w:rPr>
        <w:t> </w:t>
      </w:r>
      <w:r>
        <w:rPr/>
        <w:t>Groves</w:t>
      </w:r>
      <w:r>
        <w:rPr>
          <w:spacing w:val="-10"/>
        </w:rPr>
        <w:t> </w:t>
      </w:r>
      <w:r>
        <w:rPr/>
        <w:t>and</w:t>
      </w:r>
      <w:r>
        <w:rPr>
          <w:spacing w:val="-12"/>
        </w:rPr>
        <w:t> </w:t>
      </w:r>
      <w:r>
        <w:rPr/>
        <w:t>Howard</w:t>
      </w:r>
      <w:r>
        <w:rPr>
          <w:spacing w:val="-12"/>
        </w:rPr>
        <w:t> </w:t>
      </w:r>
      <w:r>
        <w:rPr/>
        <w:t>Amon</w:t>
      </w:r>
      <w:r>
        <w:rPr>
          <w:spacing w:val="-12"/>
        </w:rPr>
        <w:t> </w:t>
      </w:r>
      <w:r>
        <w:rPr/>
        <w:t>Parks</w:t>
      </w:r>
      <w:r>
        <w:rPr>
          <w:spacing w:val="-10"/>
        </w:rPr>
        <w:t> </w:t>
      </w:r>
      <w:r>
        <w:rPr/>
        <w:t>have</w:t>
      </w:r>
      <w:r>
        <w:rPr>
          <w:spacing w:val="-11"/>
        </w:rPr>
        <w:t> </w:t>
      </w:r>
      <w:r>
        <w:rPr/>
        <w:t>roped</w:t>
      </w:r>
      <w:r>
        <w:rPr>
          <w:spacing w:val="-12"/>
        </w:rPr>
        <w:t> </w:t>
      </w:r>
      <w:r>
        <w:rPr/>
        <w:t>off</w:t>
      </w:r>
      <w:r>
        <w:rPr>
          <w:spacing w:val="-11"/>
        </w:rPr>
        <w:t> </w:t>
      </w:r>
      <w:r>
        <w:rPr/>
        <w:t>areas</w:t>
      </w:r>
      <w:r>
        <w:rPr>
          <w:spacing w:val="-10"/>
        </w:rPr>
        <w:t> </w:t>
      </w:r>
      <w:r>
        <w:rPr/>
        <w:t>for</w:t>
      </w:r>
      <w:r>
        <w:rPr>
          <w:spacing w:val="-14"/>
        </w:rPr>
        <w:t> </w:t>
      </w:r>
      <w:r>
        <w:rPr/>
        <w:t>swimming</w:t>
      </w:r>
      <w:r>
        <w:rPr>
          <w:spacing w:val="-11"/>
        </w:rPr>
        <w:t> </w:t>
      </w:r>
      <w:r>
        <w:rPr/>
        <w:t>in</w:t>
      </w:r>
      <w:r>
        <w:rPr>
          <w:spacing w:val="-12"/>
        </w:rPr>
        <w:t> </w:t>
      </w:r>
      <w:r>
        <w:rPr/>
        <w:t>the</w:t>
      </w:r>
      <w:r>
        <w:rPr>
          <w:spacing w:val="-11"/>
        </w:rPr>
        <w:t> </w:t>
      </w:r>
      <w:r>
        <w:rPr/>
        <w:t>Columbia River.</w:t>
      </w:r>
    </w:p>
    <w:p>
      <w:pPr>
        <w:spacing w:before="201"/>
        <w:ind w:left="120" w:right="0" w:firstLine="0"/>
        <w:jc w:val="both"/>
        <w:rPr>
          <w:i/>
          <w:sz w:val="22"/>
        </w:rPr>
      </w:pPr>
      <w:bookmarkStart w:name="Water-Oriented Facilities on the River" w:id="266"/>
      <w:bookmarkEnd w:id="266"/>
      <w:r>
        <w:rPr/>
      </w:r>
      <w:r>
        <w:rPr>
          <w:i/>
          <w:color w:val="233E5F"/>
          <w:sz w:val="22"/>
        </w:rPr>
        <w:t>Water-Oriented Facilities on the River</w:t>
      </w:r>
    </w:p>
    <w:p>
      <w:pPr>
        <w:pStyle w:val="BodyText"/>
        <w:spacing w:before="119"/>
        <w:ind w:left="120" w:right="236"/>
        <w:jc w:val="both"/>
      </w:pPr>
      <w:r>
        <w:rPr/>
        <w:t>Boat launches and moorage are provided at Leslie Groves Park, Howard Amon Park, Columbia Point Marina Park, and Columbia Park West. A dock for large watercraft is provided at the end of Lee Boulevard in Howard Amon Park. Primitive launch sites are provided at Wye Park, the north end of</w:t>
      </w:r>
    </w:p>
    <w:p>
      <w:pPr>
        <w:spacing w:after="0"/>
        <w:jc w:val="both"/>
        <w:sectPr>
          <w:pgSz w:w="12240" w:h="15840"/>
          <w:pgMar w:header="0" w:footer="1052" w:top="1440" w:bottom="1320" w:left="1320" w:right="1200"/>
        </w:sectPr>
      </w:pPr>
    </w:p>
    <w:p>
      <w:pPr>
        <w:pStyle w:val="BodyText"/>
        <w:spacing w:before="80"/>
        <w:ind w:left="120" w:right="235"/>
        <w:jc w:val="both"/>
      </w:pPr>
      <w:r>
        <w:rPr/>
        <w:t>Snively Road, Hyde Road, and Duportail Street. Transient moorage is provided at Columbia Point Marina Park and Columbia Park West. Private moorage is available at Columbia Park West.</w:t>
      </w:r>
    </w:p>
    <w:p>
      <w:pPr>
        <w:spacing w:before="201"/>
        <w:ind w:left="120" w:right="0" w:firstLine="0"/>
        <w:jc w:val="both"/>
        <w:rPr>
          <w:i/>
          <w:sz w:val="22"/>
        </w:rPr>
      </w:pPr>
      <w:bookmarkStart w:name="Sports Facilities" w:id="267"/>
      <w:bookmarkEnd w:id="267"/>
      <w:r>
        <w:rPr/>
      </w:r>
      <w:r>
        <w:rPr>
          <w:i/>
          <w:color w:val="233E5F"/>
          <w:sz w:val="22"/>
        </w:rPr>
        <w:t>Sports Facilities</w:t>
      </w:r>
    </w:p>
    <w:p>
      <w:pPr>
        <w:pStyle w:val="BodyText"/>
        <w:spacing w:before="119"/>
        <w:ind w:left="119" w:right="235"/>
        <w:jc w:val="both"/>
      </w:pPr>
      <w:r>
        <w:rPr/>
        <w:t>Columbia Playfield provides five game-ready lit softball fields. Badger Mountain Community Park and</w:t>
      </w:r>
      <w:r>
        <w:rPr>
          <w:spacing w:val="-10"/>
        </w:rPr>
        <w:t> </w:t>
      </w:r>
      <w:r>
        <w:rPr/>
        <w:t>Jefferson</w:t>
      </w:r>
      <w:r>
        <w:rPr>
          <w:spacing w:val="-10"/>
        </w:rPr>
        <w:t> </w:t>
      </w:r>
      <w:r>
        <w:rPr/>
        <w:t>Park</w:t>
      </w:r>
      <w:r>
        <w:rPr>
          <w:spacing w:val="-11"/>
        </w:rPr>
        <w:t> </w:t>
      </w:r>
      <w:r>
        <w:rPr/>
        <w:t>provide</w:t>
      </w:r>
      <w:r>
        <w:rPr>
          <w:spacing w:val="-9"/>
        </w:rPr>
        <w:t> </w:t>
      </w:r>
      <w:r>
        <w:rPr/>
        <w:t>five</w:t>
      </w:r>
      <w:r>
        <w:rPr>
          <w:spacing w:val="-9"/>
        </w:rPr>
        <w:t> </w:t>
      </w:r>
      <w:r>
        <w:rPr/>
        <w:t>additional</w:t>
      </w:r>
      <w:r>
        <w:rPr>
          <w:spacing w:val="-10"/>
        </w:rPr>
        <w:t> </w:t>
      </w:r>
      <w:r>
        <w:rPr/>
        <w:t>game-ready</w:t>
      </w:r>
      <w:r>
        <w:rPr>
          <w:spacing w:val="-10"/>
        </w:rPr>
        <w:t> </w:t>
      </w:r>
      <w:r>
        <w:rPr/>
        <w:t>little</w:t>
      </w:r>
      <w:r>
        <w:rPr>
          <w:spacing w:val="-10"/>
        </w:rPr>
        <w:t> </w:t>
      </w:r>
      <w:r>
        <w:rPr/>
        <w:t>league</w:t>
      </w:r>
      <w:r>
        <w:rPr>
          <w:spacing w:val="-9"/>
        </w:rPr>
        <w:t> </w:t>
      </w:r>
      <w:r>
        <w:rPr/>
        <w:t>fields.</w:t>
      </w:r>
      <w:r>
        <w:rPr>
          <w:spacing w:val="-9"/>
        </w:rPr>
        <w:t> </w:t>
      </w:r>
      <w:r>
        <w:rPr/>
        <w:t>Many</w:t>
      </w:r>
      <w:r>
        <w:rPr>
          <w:spacing w:val="-11"/>
        </w:rPr>
        <w:t> </w:t>
      </w:r>
      <w:r>
        <w:rPr/>
        <w:t>City</w:t>
      </w:r>
      <w:r>
        <w:rPr>
          <w:spacing w:val="-10"/>
        </w:rPr>
        <w:t> </w:t>
      </w:r>
      <w:r>
        <w:rPr/>
        <w:t>Parks</w:t>
      </w:r>
      <w:r>
        <w:rPr>
          <w:spacing w:val="-9"/>
        </w:rPr>
        <w:t> </w:t>
      </w:r>
      <w:r>
        <w:rPr/>
        <w:t>and</w:t>
      </w:r>
      <w:r>
        <w:rPr>
          <w:spacing w:val="-9"/>
        </w:rPr>
        <w:t> </w:t>
      </w:r>
      <w:r>
        <w:rPr/>
        <w:t>School District facilities contain backstops for informal ballfield</w:t>
      </w:r>
      <w:r>
        <w:rPr>
          <w:spacing w:val="-9"/>
        </w:rPr>
        <w:t> </w:t>
      </w:r>
      <w:r>
        <w:rPr/>
        <w:t>practice.</w:t>
      </w:r>
    </w:p>
    <w:p>
      <w:pPr>
        <w:pStyle w:val="BodyText"/>
        <w:spacing w:before="120"/>
        <w:ind w:left="120" w:right="232"/>
        <w:jc w:val="both"/>
      </w:pPr>
      <w:r>
        <w:rPr/>
        <w:t>Jeannette Taylor Park contains a 22,000-square foot concrete skate park for skateboards and BMX bicycles.</w:t>
      </w:r>
      <w:r>
        <w:rPr>
          <w:spacing w:val="-9"/>
        </w:rPr>
        <w:t> </w:t>
      </w:r>
      <w:r>
        <w:rPr/>
        <w:t>Many</w:t>
      </w:r>
      <w:r>
        <w:rPr>
          <w:spacing w:val="-10"/>
        </w:rPr>
        <w:t> </w:t>
      </w:r>
      <w:r>
        <w:rPr/>
        <w:t>of</w:t>
      </w:r>
      <w:r>
        <w:rPr>
          <w:spacing w:val="-8"/>
        </w:rPr>
        <w:t> </w:t>
      </w:r>
      <w:r>
        <w:rPr/>
        <w:t>the</w:t>
      </w:r>
      <w:r>
        <w:rPr>
          <w:spacing w:val="-9"/>
        </w:rPr>
        <w:t> </w:t>
      </w:r>
      <w:r>
        <w:rPr/>
        <w:t>City</w:t>
      </w:r>
      <w:r>
        <w:rPr>
          <w:spacing w:val="-10"/>
        </w:rPr>
        <w:t> </w:t>
      </w:r>
      <w:r>
        <w:rPr/>
        <w:t>parks</w:t>
      </w:r>
      <w:r>
        <w:rPr>
          <w:spacing w:val="-7"/>
        </w:rPr>
        <w:t> </w:t>
      </w:r>
      <w:r>
        <w:rPr/>
        <w:t>provide</w:t>
      </w:r>
      <w:r>
        <w:rPr>
          <w:spacing w:val="-9"/>
        </w:rPr>
        <w:t> </w:t>
      </w:r>
      <w:r>
        <w:rPr/>
        <w:t>shared</w:t>
      </w:r>
      <w:r>
        <w:rPr>
          <w:spacing w:val="-9"/>
        </w:rPr>
        <w:t> </w:t>
      </w:r>
      <w:r>
        <w:rPr/>
        <w:t>areas</w:t>
      </w:r>
      <w:r>
        <w:rPr>
          <w:spacing w:val="-7"/>
        </w:rPr>
        <w:t> </w:t>
      </w:r>
      <w:r>
        <w:rPr/>
        <w:t>or</w:t>
      </w:r>
      <w:r>
        <w:rPr>
          <w:spacing w:val="-9"/>
        </w:rPr>
        <w:t> </w:t>
      </w:r>
      <w:r>
        <w:rPr/>
        <w:t>dedicated</w:t>
      </w:r>
      <w:r>
        <w:rPr>
          <w:spacing w:val="-8"/>
        </w:rPr>
        <w:t> </w:t>
      </w:r>
      <w:r>
        <w:rPr/>
        <w:t>practice</w:t>
      </w:r>
      <w:r>
        <w:rPr>
          <w:spacing w:val="-9"/>
        </w:rPr>
        <w:t> </w:t>
      </w:r>
      <w:r>
        <w:rPr/>
        <w:t>fields</w:t>
      </w:r>
      <w:r>
        <w:rPr>
          <w:spacing w:val="-8"/>
        </w:rPr>
        <w:t> </w:t>
      </w:r>
      <w:r>
        <w:rPr/>
        <w:t>for</w:t>
      </w:r>
      <w:r>
        <w:rPr>
          <w:spacing w:val="-8"/>
        </w:rPr>
        <w:t> </w:t>
      </w:r>
      <w:r>
        <w:rPr/>
        <w:t>soccer,</w:t>
      </w:r>
      <w:r>
        <w:rPr>
          <w:spacing w:val="-9"/>
        </w:rPr>
        <w:t> </w:t>
      </w:r>
      <w:r>
        <w:rPr/>
        <w:t>baseball, and basketball. Football fields are mostly provided within the school facilities. Columbia Point provides</w:t>
      </w:r>
      <w:r>
        <w:rPr>
          <w:spacing w:val="-11"/>
        </w:rPr>
        <w:t> </w:t>
      </w:r>
      <w:r>
        <w:rPr/>
        <w:t>a</w:t>
      </w:r>
      <w:r>
        <w:rPr>
          <w:spacing w:val="-14"/>
        </w:rPr>
        <w:t> </w:t>
      </w:r>
      <w:r>
        <w:rPr/>
        <w:t>golf</w:t>
      </w:r>
      <w:r>
        <w:rPr>
          <w:spacing w:val="-12"/>
        </w:rPr>
        <w:t> </w:t>
      </w:r>
      <w:r>
        <w:rPr/>
        <w:t>course;</w:t>
      </w:r>
      <w:r>
        <w:rPr>
          <w:spacing w:val="-12"/>
        </w:rPr>
        <w:t> </w:t>
      </w:r>
      <w:r>
        <w:rPr/>
        <w:t>James</w:t>
      </w:r>
      <w:r>
        <w:rPr>
          <w:spacing w:val="-10"/>
        </w:rPr>
        <w:t> </w:t>
      </w:r>
      <w:r>
        <w:rPr/>
        <w:t>Lawless</w:t>
      </w:r>
      <w:r>
        <w:rPr>
          <w:spacing w:val="-11"/>
        </w:rPr>
        <w:t> </w:t>
      </w:r>
      <w:r>
        <w:rPr/>
        <w:t>Park</w:t>
      </w:r>
      <w:r>
        <w:rPr>
          <w:spacing w:val="-12"/>
        </w:rPr>
        <w:t> </w:t>
      </w:r>
      <w:r>
        <w:rPr/>
        <w:t>includes</w:t>
      </w:r>
      <w:r>
        <w:rPr>
          <w:spacing w:val="-11"/>
        </w:rPr>
        <w:t> </w:t>
      </w:r>
      <w:r>
        <w:rPr/>
        <w:t>one</w:t>
      </w:r>
      <w:r>
        <w:rPr>
          <w:spacing w:val="-12"/>
        </w:rPr>
        <w:t> </w:t>
      </w:r>
      <w:r>
        <w:rPr/>
        <w:t>18-hole</w:t>
      </w:r>
      <w:r>
        <w:rPr>
          <w:spacing w:val="-14"/>
        </w:rPr>
        <w:t> </w:t>
      </w:r>
      <w:r>
        <w:rPr/>
        <w:t>disc</w:t>
      </w:r>
      <w:r>
        <w:rPr>
          <w:spacing w:val="-14"/>
        </w:rPr>
        <w:t> </w:t>
      </w:r>
      <w:r>
        <w:rPr/>
        <w:t>golf</w:t>
      </w:r>
      <w:r>
        <w:rPr>
          <w:spacing w:val="-11"/>
        </w:rPr>
        <w:t> </w:t>
      </w:r>
      <w:r>
        <w:rPr/>
        <w:t>course.</w:t>
      </w:r>
      <w:r>
        <w:rPr>
          <w:spacing w:val="-14"/>
        </w:rPr>
        <w:t> </w:t>
      </w:r>
      <w:r>
        <w:rPr/>
        <w:t>Table</w:t>
      </w:r>
      <w:r>
        <w:rPr>
          <w:spacing w:val="-15"/>
        </w:rPr>
        <w:t> </w:t>
      </w:r>
      <w:r>
        <w:rPr/>
        <w:t>CF-4</w:t>
      </w:r>
      <w:r>
        <w:rPr>
          <w:spacing w:val="-14"/>
        </w:rPr>
        <w:t> </w:t>
      </w:r>
      <w:r>
        <w:rPr/>
        <w:t>indicates current facilities within the</w:t>
      </w:r>
      <w:r>
        <w:rPr>
          <w:spacing w:val="-5"/>
        </w:rPr>
        <w:t> </w:t>
      </w:r>
      <w:r>
        <w:rPr/>
        <w:t>City.</w:t>
      </w:r>
    </w:p>
    <w:p>
      <w:pPr>
        <w:spacing w:before="200"/>
        <w:ind w:left="120" w:right="0" w:firstLine="0"/>
        <w:jc w:val="both"/>
        <w:rPr>
          <w:i/>
          <w:sz w:val="22"/>
        </w:rPr>
      </w:pPr>
      <w:bookmarkStart w:name="Private Recreational Facilities" w:id="268"/>
      <w:bookmarkEnd w:id="268"/>
      <w:r>
        <w:rPr/>
      </w:r>
      <w:r>
        <w:rPr>
          <w:i/>
          <w:color w:val="233E5F"/>
          <w:sz w:val="22"/>
        </w:rPr>
        <w:t>Private Recreational Facilities</w:t>
      </w:r>
    </w:p>
    <w:p>
      <w:pPr>
        <w:pStyle w:val="BodyText"/>
        <w:spacing w:before="119"/>
        <w:ind w:left="119" w:right="234"/>
        <w:jc w:val="both"/>
      </w:pPr>
      <w:r>
        <w:rPr/>
        <w:t>Several</w:t>
      </w:r>
      <w:r>
        <w:rPr>
          <w:spacing w:val="-16"/>
        </w:rPr>
        <w:t> </w:t>
      </w:r>
      <w:r>
        <w:rPr/>
        <w:t>neighborhoods,</w:t>
      </w:r>
      <w:r>
        <w:rPr>
          <w:spacing w:val="-15"/>
        </w:rPr>
        <w:t> </w:t>
      </w:r>
      <w:r>
        <w:rPr/>
        <w:t>apartment</w:t>
      </w:r>
      <w:r>
        <w:rPr>
          <w:spacing w:val="-15"/>
        </w:rPr>
        <w:t> </w:t>
      </w:r>
      <w:r>
        <w:rPr/>
        <w:t>complexes,</w:t>
      </w:r>
      <w:r>
        <w:rPr>
          <w:spacing w:val="-15"/>
        </w:rPr>
        <w:t> </w:t>
      </w:r>
      <w:r>
        <w:rPr/>
        <w:t>private</w:t>
      </w:r>
      <w:r>
        <w:rPr>
          <w:spacing w:val="-15"/>
        </w:rPr>
        <w:t> </w:t>
      </w:r>
      <w:r>
        <w:rPr/>
        <w:t>businesses,</w:t>
      </w:r>
      <w:r>
        <w:rPr>
          <w:spacing w:val="-15"/>
        </w:rPr>
        <w:t> </w:t>
      </w:r>
      <w:r>
        <w:rPr/>
        <w:t>and</w:t>
      </w:r>
      <w:r>
        <w:rPr>
          <w:spacing w:val="-16"/>
        </w:rPr>
        <w:t> </w:t>
      </w:r>
      <w:r>
        <w:rPr/>
        <w:t>churches</w:t>
      </w:r>
      <w:r>
        <w:rPr>
          <w:spacing w:val="-14"/>
        </w:rPr>
        <w:t> </w:t>
      </w:r>
      <w:r>
        <w:rPr/>
        <w:t>throughout</w:t>
      </w:r>
      <w:r>
        <w:rPr>
          <w:spacing w:val="-15"/>
        </w:rPr>
        <w:t> </w:t>
      </w:r>
      <w:r>
        <w:rPr/>
        <w:t>Richland have built private facilities, such as swimming pools, tennis courts, gymnasiums, golf courses, and playgrounds</w:t>
      </w:r>
      <w:r>
        <w:rPr>
          <w:spacing w:val="-4"/>
        </w:rPr>
        <w:t> </w:t>
      </w:r>
      <w:r>
        <w:rPr/>
        <w:t>for</w:t>
      </w:r>
      <w:r>
        <w:rPr>
          <w:spacing w:val="-6"/>
        </w:rPr>
        <w:t> </w:t>
      </w:r>
      <w:r>
        <w:rPr/>
        <w:t>their</w:t>
      </w:r>
      <w:r>
        <w:rPr>
          <w:spacing w:val="-4"/>
        </w:rPr>
        <w:t> </w:t>
      </w:r>
      <w:r>
        <w:rPr/>
        <w:t>residents,</w:t>
      </w:r>
      <w:r>
        <w:rPr>
          <w:spacing w:val="-5"/>
        </w:rPr>
        <w:t> </w:t>
      </w:r>
      <w:r>
        <w:rPr/>
        <w:t>members,</w:t>
      </w:r>
      <w:r>
        <w:rPr>
          <w:spacing w:val="-5"/>
        </w:rPr>
        <w:t> </w:t>
      </w:r>
      <w:r>
        <w:rPr/>
        <w:t>and</w:t>
      </w:r>
      <w:r>
        <w:rPr>
          <w:spacing w:val="-4"/>
        </w:rPr>
        <w:t> </w:t>
      </w:r>
      <w:r>
        <w:rPr/>
        <w:t>employees.</w:t>
      </w:r>
      <w:r>
        <w:rPr>
          <w:spacing w:val="-5"/>
        </w:rPr>
        <w:t> </w:t>
      </w:r>
      <w:r>
        <w:rPr/>
        <w:t>While</w:t>
      </w:r>
      <w:r>
        <w:rPr>
          <w:spacing w:val="-5"/>
        </w:rPr>
        <w:t> </w:t>
      </w:r>
      <w:r>
        <w:rPr/>
        <w:t>these</w:t>
      </w:r>
      <w:r>
        <w:rPr>
          <w:spacing w:val="-4"/>
        </w:rPr>
        <w:t> </w:t>
      </w:r>
      <w:r>
        <w:rPr/>
        <w:t>amenities</w:t>
      </w:r>
      <w:r>
        <w:rPr>
          <w:spacing w:val="-4"/>
        </w:rPr>
        <w:t> </w:t>
      </w:r>
      <w:r>
        <w:rPr/>
        <w:t>are</w:t>
      </w:r>
      <w:r>
        <w:rPr>
          <w:spacing w:val="-4"/>
        </w:rPr>
        <w:t> </w:t>
      </w:r>
      <w:r>
        <w:rPr/>
        <w:t>not</w:t>
      </w:r>
      <w:r>
        <w:rPr>
          <w:spacing w:val="-6"/>
        </w:rPr>
        <w:t> </w:t>
      </w:r>
      <w:r>
        <w:rPr/>
        <w:t>considered</w:t>
      </w:r>
      <w:bookmarkStart w:name="LEVEL OF SERVICE" w:id="269"/>
      <w:bookmarkEnd w:id="269"/>
      <w:r>
        <w:rPr/>
      </w:r>
      <w:r>
        <w:rPr/>
        <w:t> in</w:t>
      </w:r>
      <w:r>
        <w:rPr>
          <w:spacing w:val="-4"/>
        </w:rPr>
        <w:t> </w:t>
      </w:r>
      <w:r>
        <w:rPr/>
        <w:t>the</w:t>
      </w:r>
      <w:r>
        <w:rPr>
          <w:spacing w:val="-2"/>
        </w:rPr>
        <w:t> </w:t>
      </w:r>
      <w:r>
        <w:rPr/>
        <w:t>inventory</w:t>
      </w:r>
      <w:r>
        <w:rPr>
          <w:spacing w:val="-4"/>
        </w:rPr>
        <w:t> </w:t>
      </w:r>
      <w:r>
        <w:rPr/>
        <w:t>of</w:t>
      </w:r>
      <w:r>
        <w:rPr>
          <w:spacing w:val="-2"/>
        </w:rPr>
        <w:t> </w:t>
      </w:r>
      <w:r>
        <w:rPr/>
        <w:t>available</w:t>
      </w:r>
      <w:r>
        <w:rPr>
          <w:spacing w:val="-3"/>
        </w:rPr>
        <w:t> </w:t>
      </w:r>
      <w:r>
        <w:rPr/>
        <w:t>public</w:t>
      </w:r>
      <w:r>
        <w:rPr>
          <w:spacing w:val="-1"/>
        </w:rPr>
        <w:t> </w:t>
      </w:r>
      <w:r>
        <w:rPr/>
        <w:t>facilities,</w:t>
      </w:r>
      <w:r>
        <w:rPr>
          <w:spacing w:val="-3"/>
        </w:rPr>
        <w:t> </w:t>
      </w:r>
      <w:r>
        <w:rPr/>
        <w:t>private</w:t>
      </w:r>
      <w:r>
        <w:rPr>
          <w:spacing w:val="-4"/>
        </w:rPr>
        <w:t> </w:t>
      </w:r>
      <w:r>
        <w:rPr/>
        <w:t>facilities</w:t>
      </w:r>
      <w:r>
        <w:rPr>
          <w:spacing w:val="-1"/>
        </w:rPr>
        <w:t> </w:t>
      </w:r>
      <w:r>
        <w:rPr/>
        <w:t>reduce</w:t>
      </w:r>
      <w:r>
        <w:rPr>
          <w:spacing w:val="-3"/>
        </w:rPr>
        <w:t> </w:t>
      </w:r>
      <w:r>
        <w:rPr/>
        <w:t>the</w:t>
      </w:r>
      <w:r>
        <w:rPr>
          <w:spacing w:val="-2"/>
        </w:rPr>
        <w:t> </w:t>
      </w:r>
      <w:r>
        <w:rPr/>
        <w:t>demand</w:t>
      </w:r>
      <w:r>
        <w:rPr>
          <w:spacing w:val="-3"/>
        </w:rPr>
        <w:t> </w:t>
      </w:r>
      <w:r>
        <w:rPr/>
        <w:t>on</w:t>
      </w:r>
      <w:r>
        <w:rPr>
          <w:spacing w:val="-3"/>
        </w:rPr>
        <w:t> </w:t>
      </w:r>
      <w:r>
        <w:rPr/>
        <w:t>public</w:t>
      </w:r>
      <w:r>
        <w:rPr>
          <w:spacing w:val="-2"/>
        </w:rPr>
        <w:t> </w:t>
      </w:r>
      <w:r>
        <w:rPr/>
        <w:t>facilities.</w:t>
      </w:r>
    </w:p>
    <w:p>
      <w:pPr>
        <w:spacing w:before="202"/>
        <w:ind w:left="120" w:right="0" w:firstLine="0"/>
        <w:jc w:val="both"/>
        <w:rPr>
          <w:b/>
          <w:sz w:val="24"/>
        </w:rPr>
      </w:pPr>
      <w:bookmarkStart w:name="Parks" w:id="270"/>
      <w:bookmarkEnd w:id="270"/>
      <w:r>
        <w:rPr/>
      </w:r>
      <w:r>
        <w:rPr>
          <w:b/>
          <w:sz w:val="24"/>
        </w:rPr>
        <w:t>LEVEL OF SERVICE</w:t>
      </w:r>
    </w:p>
    <w:p>
      <w:pPr>
        <w:spacing w:before="201"/>
        <w:ind w:left="120" w:right="0" w:firstLine="0"/>
        <w:jc w:val="left"/>
        <w:rPr>
          <w:b/>
          <w:sz w:val="22"/>
        </w:rPr>
      </w:pPr>
      <w:r>
        <w:rPr>
          <w:b/>
          <w:color w:val="C0504D"/>
          <w:sz w:val="22"/>
        </w:rPr>
        <w:t>Parks</w:t>
      </w:r>
    </w:p>
    <w:p>
      <w:pPr>
        <w:pStyle w:val="BodyText"/>
        <w:spacing w:before="119"/>
        <w:ind w:left="119" w:right="235"/>
        <w:jc w:val="both"/>
      </w:pPr>
      <w:r>
        <w:rPr/>
        <w:t>City of Richland level of service standards have been established for the location of neighborhood and community Parks. Neighborhood parks should be available within a one-mile radius from any dwelling unit. The level of service for community parks is a two-mile radius from any dwelling unit. For the purpose of establishing level of service standards, community and regional parks are considered</w:t>
      </w:r>
      <w:r>
        <w:rPr>
          <w:spacing w:val="-10"/>
        </w:rPr>
        <w:t> </w:t>
      </w:r>
      <w:r>
        <w:rPr/>
        <w:t>to</w:t>
      </w:r>
      <w:r>
        <w:rPr>
          <w:spacing w:val="-9"/>
        </w:rPr>
        <w:t> </w:t>
      </w:r>
      <w:r>
        <w:rPr/>
        <w:t>provide</w:t>
      </w:r>
      <w:r>
        <w:rPr>
          <w:spacing w:val="-9"/>
        </w:rPr>
        <w:t> </w:t>
      </w:r>
      <w:r>
        <w:rPr/>
        <w:t>Neighborhood</w:t>
      </w:r>
      <w:r>
        <w:rPr>
          <w:spacing w:val="-9"/>
        </w:rPr>
        <w:t> </w:t>
      </w:r>
      <w:r>
        <w:rPr/>
        <w:t>Park</w:t>
      </w:r>
      <w:r>
        <w:rPr>
          <w:spacing w:val="-10"/>
        </w:rPr>
        <w:t> </w:t>
      </w:r>
      <w:r>
        <w:rPr/>
        <w:t>service.</w:t>
      </w:r>
      <w:r>
        <w:rPr>
          <w:spacing w:val="-9"/>
        </w:rPr>
        <w:t> </w:t>
      </w:r>
      <w:r>
        <w:rPr/>
        <w:t>Park</w:t>
      </w:r>
      <w:r>
        <w:rPr>
          <w:spacing w:val="-10"/>
        </w:rPr>
        <w:t> </w:t>
      </w:r>
      <w:r>
        <w:rPr/>
        <w:t>area</w:t>
      </w:r>
      <w:r>
        <w:rPr>
          <w:spacing w:val="-9"/>
        </w:rPr>
        <w:t> </w:t>
      </w:r>
      <w:r>
        <w:rPr/>
        <w:t>level</w:t>
      </w:r>
      <w:r>
        <w:rPr>
          <w:spacing w:val="-9"/>
        </w:rPr>
        <w:t> </w:t>
      </w:r>
      <w:r>
        <w:rPr/>
        <w:t>of</w:t>
      </w:r>
      <w:r>
        <w:rPr>
          <w:spacing w:val="-9"/>
        </w:rPr>
        <w:t> </w:t>
      </w:r>
      <w:r>
        <w:rPr/>
        <w:t>service</w:t>
      </w:r>
      <w:r>
        <w:rPr>
          <w:spacing w:val="-9"/>
        </w:rPr>
        <w:t> </w:t>
      </w:r>
      <w:r>
        <w:rPr/>
        <w:t>standards</w:t>
      </w:r>
      <w:r>
        <w:rPr>
          <w:spacing w:val="-8"/>
        </w:rPr>
        <w:t> </w:t>
      </w:r>
      <w:r>
        <w:rPr/>
        <w:t>have</w:t>
      </w:r>
      <w:r>
        <w:rPr>
          <w:spacing w:val="-9"/>
        </w:rPr>
        <w:t> </w:t>
      </w:r>
      <w:r>
        <w:rPr/>
        <w:t>not</w:t>
      </w:r>
      <w:r>
        <w:rPr>
          <w:spacing w:val="-9"/>
        </w:rPr>
        <w:t> </w:t>
      </w:r>
      <w:r>
        <w:rPr/>
        <w:t>been established for the other park types, as they are developed based upon specific activity needs of the City.</w:t>
      </w:r>
    </w:p>
    <w:p>
      <w:pPr>
        <w:spacing w:before="201"/>
        <w:ind w:left="119" w:right="0" w:firstLine="0"/>
        <w:jc w:val="left"/>
        <w:rPr>
          <w:b/>
          <w:sz w:val="22"/>
        </w:rPr>
      </w:pPr>
      <w:bookmarkStart w:name="Trails" w:id="271"/>
      <w:bookmarkEnd w:id="271"/>
      <w:r>
        <w:rPr/>
      </w:r>
      <w:r>
        <w:rPr>
          <w:b/>
          <w:color w:val="C0504D"/>
          <w:sz w:val="22"/>
        </w:rPr>
        <w:t>Trails</w:t>
      </w:r>
    </w:p>
    <w:p>
      <w:pPr>
        <w:pStyle w:val="BodyText"/>
        <w:spacing w:before="119"/>
        <w:ind w:left="119" w:right="236"/>
        <w:jc w:val="both"/>
      </w:pPr>
      <w:r>
        <w:rPr/>
        <w:t>There</w:t>
      </w:r>
      <w:r>
        <w:rPr>
          <w:spacing w:val="-6"/>
        </w:rPr>
        <w:t> </w:t>
      </w:r>
      <w:r>
        <w:rPr/>
        <w:t>are</w:t>
      </w:r>
      <w:r>
        <w:rPr>
          <w:spacing w:val="-5"/>
        </w:rPr>
        <w:t> </w:t>
      </w:r>
      <w:r>
        <w:rPr/>
        <w:t>no</w:t>
      </w:r>
      <w:r>
        <w:rPr>
          <w:spacing w:val="-5"/>
        </w:rPr>
        <w:t> </w:t>
      </w:r>
      <w:r>
        <w:rPr/>
        <w:t>established</w:t>
      </w:r>
      <w:r>
        <w:rPr>
          <w:spacing w:val="-6"/>
        </w:rPr>
        <w:t> </w:t>
      </w:r>
      <w:r>
        <w:rPr/>
        <w:t>national</w:t>
      </w:r>
      <w:r>
        <w:rPr>
          <w:spacing w:val="-6"/>
        </w:rPr>
        <w:t> </w:t>
      </w:r>
      <w:r>
        <w:rPr/>
        <w:t>standards</w:t>
      </w:r>
      <w:r>
        <w:rPr>
          <w:spacing w:val="-5"/>
        </w:rPr>
        <w:t> </w:t>
      </w:r>
      <w:r>
        <w:rPr/>
        <w:t>for</w:t>
      </w:r>
      <w:r>
        <w:rPr>
          <w:spacing w:val="-6"/>
        </w:rPr>
        <w:t> </w:t>
      </w:r>
      <w:r>
        <w:rPr/>
        <w:t>trails.</w:t>
      </w:r>
      <w:r>
        <w:rPr>
          <w:spacing w:val="-5"/>
        </w:rPr>
        <w:t> </w:t>
      </w:r>
      <w:r>
        <w:rPr/>
        <w:t>The</w:t>
      </w:r>
      <w:r>
        <w:rPr>
          <w:spacing w:val="-5"/>
        </w:rPr>
        <w:t> </w:t>
      </w:r>
      <w:r>
        <w:rPr/>
        <w:t>City</w:t>
      </w:r>
      <w:r>
        <w:rPr>
          <w:spacing w:val="-7"/>
        </w:rPr>
        <w:t> </w:t>
      </w:r>
      <w:r>
        <w:rPr/>
        <w:t>of</w:t>
      </w:r>
      <w:r>
        <w:rPr>
          <w:spacing w:val="-5"/>
        </w:rPr>
        <w:t> </w:t>
      </w:r>
      <w:r>
        <w:rPr/>
        <w:t>Richland</w:t>
      </w:r>
      <w:r>
        <w:rPr>
          <w:spacing w:val="-7"/>
        </w:rPr>
        <w:t> </w:t>
      </w:r>
      <w:r>
        <w:rPr/>
        <w:t>has</w:t>
      </w:r>
      <w:r>
        <w:rPr>
          <w:spacing w:val="-5"/>
        </w:rPr>
        <w:t> </w:t>
      </w:r>
      <w:r>
        <w:rPr/>
        <w:t>chosen</w:t>
      </w:r>
      <w:r>
        <w:rPr>
          <w:spacing w:val="-6"/>
        </w:rPr>
        <w:t> </w:t>
      </w:r>
      <w:r>
        <w:rPr/>
        <w:t>not</w:t>
      </w:r>
      <w:r>
        <w:rPr>
          <w:spacing w:val="-6"/>
        </w:rPr>
        <w:t> </w:t>
      </w:r>
      <w:r>
        <w:rPr/>
        <w:t>to</w:t>
      </w:r>
      <w:r>
        <w:rPr>
          <w:spacing w:val="-5"/>
        </w:rPr>
        <w:t> </w:t>
      </w:r>
      <w:r>
        <w:rPr/>
        <w:t>identify a level of service standard for trails. Currently, Richland has 30 miles of paved Class 1 trails, or 0.49</w:t>
      </w:r>
      <w:bookmarkStart w:name="Natural Open Space" w:id="272"/>
      <w:bookmarkEnd w:id="272"/>
      <w:r>
        <w:rPr/>
      </w:r>
      <w:r>
        <w:rPr/>
        <w:t> miles per 1,000</w:t>
      </w:r>
      <w:r>
        <w:rPr>
          <w:spacing w:val="-6"/>
        </w:rPr>
        <w:t> </w:t>
      </w:r>
      <w:r>
        <w:rPr/>
        <w:t>population.</w:t>
      </w:r>
    </w:p>
    <w:p>
      <w:pPr>
        <w:spacing w:before="200"/>
        <w:ind w:left="119" w:right="0" w:firstLine="0"/>
        <w:jc w:val="both"/>
        <w:rPr>
          <w:b/>
          <w:sz w:val="22"/>
        </w:rPr>
      </w:pPr>
      <w:r>
        <w:rPr>
          <w:b/>
          <w:color w:val="C0504D"/>
          <w:sz w:val="22"/>
        </w:rPr>
        <w:t>Natural Open Space</w:t>
      </w:r>
    </w:p>
    <w:p>
      <w:pPr>
        <w:pStyle w:val="BodyText"/>
        <w:spacing w:before="119"/>
        <w:ind w:left="119" w:right="235"/>
        <w:jc w:val="both"/>
      </w:pPr>
      <w:r>
        <w:rPr/>
        <w:t>There are no established national standards for open space. The City of Richland has chosen not to identify a level of service standard for natural open space. As discussed in Table CF-1, the City has 874</w:t>
      </w:r>
      <w:r>
        <w:rPr>
          <w:spacing w:val="-6"/>
        </w:rPr>
        <w:t> </w:t>
      </w:r>
      <w:r>
        <w:rPr/>
        <w:t>acres</w:t>
      </w:r>
      <w:r>
        <w:rPr>
          <w:spacing w:val="-6"/>
        </w:rPr>
        <w:t> </w:t>
      </w:r>
      <w:r>
        <w:rPr/>
        <w:t>of</w:t>
      </w:r>
      <w:r>
        <w:rPr>
          <w:spacing w:val="-5"/>
        </w:rPr>
        <w:t> </w:t>
      </w:r>
      <w:r>
        <w:rPr/>
        <w:t>natural</w:t>
      </w:r>
      <w:r>
        <w:rPr>
          <w:spacing w:val="-7"/>
        </w:rPr>
        <w:t> </w:t>
      </w:r>
      <w:r>
        <w:rPr/>
        <w:t>open</w:t>
      </w:r>
      <w:r>
        <w:rPr>
          <w:spacing w:val="-7"/>
        </w:rPr>
        <w:t> </w:t>
      </w:r>
      <w:r>
        <w:rPr/>
        <w:t>space</w:t>
      </w:r>
      <w:r>
        <w:rPr>
          <w:spacing w:val="-6"/>
        </w:rPr>
        <w:t> </w:t>
      </w:r>
      <w:r>
        <w:rPr/>
        <w:t>in</w:t>
      </w:r>
      <w:r>
        <w:rPr>
          <w:spacing w:val="-7"/>
        </w:rPr>
        <w:t> </w:t>
      </w:r>
      <w:r>
        <w:rPr/>
        <w:t>seven</w:t>
      </w:r>
      <w:r>
        <w:rPr>
          <w:spacing w:val="-7"/>
        </w:rPr>
        <w:t> </w:t>
      </w:r>
      <w:r>
        <w:rPr/>
        <w:t>parks.</w:t>
      </w:r>
      <w:r>
        <w:rPr>
          <w:spacing w:val="-6"/>
        </w:rPr>
        <w:t> </w:t>
      </w:r>
      <w:r>
        <w:rPr/>
        <w:t>With</w:t>
      </w:r>
      <w:r>
        <w:rPr>
          <w:spacing w:val="-6"/>
        </w:rPr>
        <w:t> </w:t>
      </w:r>
      <w:r>
        <w:rPr/>
        <w:t>additional</w:t>
      </w:r>
      <w:r>
        <w:rPr>
          <w:spacing w:val="-5"/>
        </w:rPr>
        <w:t> </w:t>
      </w:r>
      <w:r>
        <w:rPr/>
        <w:t>acres</w:t>
      </w:r>
      <w:r>
        <w:rPr>
          <w:spacing w:val="-6"/>
        </w:rPr>
        <w:t> </w:t>
      </w:r>
      <w:r>
        <w:rPr/>
        <w:t>managed</w:t>
      </w:r>
      <w:r>
        <w:rPr>
          <w:spacing w:val="-6"/>
        </w:rPr>
        <w:t> </w:t>
      </w:r>
      <w:r>
        <w:rPr/>
        <w:t>by</w:t>
      </w:r>
      <w:r>
        <w:rPr>
          <w:spacing w:val="-5"/>
        </w:rPr>
        <w:t> </w:t>
      </w:r>
      <w:r>
        <w:rPr/>
        <w:t>other</w:t>
      </w:r>
      <w:r>
        <w:rPr>
          <w:spacing w:val="-5"/>
        </w:rPr>
        <w:t> </w:t>
      </w:r>
      <w:r>
        <w:rPr/>
        <w:t>government agencies within, or adjacent to the City limits, the total natural open space area in the City limits and UGA is 2,476 acres (Table LU-1). This equates to approximately 40 acres per 1,000 population or</w:t>
      </w:r>
      <w:bookmarkStart w:name="Aquatics" w:id="273"/>
      <w:bookmarkEnd w:id="273"/>
      <w:r>
        <w:rPr/>
      </w:r>
      <w:r>
        <w:rPr/>
        <w:t> 1,730 square foot per</w:t>
      </w:r>
      <w:r>
        <w:rPr>
          <w:spacing w:val="-8"/>
        </w:rPr>
        <w:t> </w:t>
      </w:r>
      <w:r>
        <w:rPr/>
        <w:t>resident.</w:t>
      </w:r>
    </w:p>
    <w:p>
      <w:pPr>
        <w:spacing w:before="200"/>
        <w:ind w:left="119" w:right="0" w:firstLine="0"/>
        <w:jc w:val="left"/>
        <w:rPr>
          <w:b/>
          <w:sz w:val="22"/>
        </w:rPr>
      </w:pPr>
      <w:r>
        <w:rPr>
          <w:b/>
          <w:color w:val="C0504D"/>
          <w:sz w:val="22"/>
        </w:rPr>
        <w:t>Aquatics</w:t>
      </w:r>
    </w:p>
    <w:p>
      <w:pPr>
        <w:pStyle w:val="BodyText"/>
        <w:spacing w:before="119"/>
        <w:ind w:left="119" w:right="236" w:hanging="1"/>
        <w:jc w:val="both"/>
      </w:pPr>
      <w:r>
        <w:rPr/>
        <w:t>The</w:t>
      </w:r>
      <w:r>
        <w:rPr>
          <w:spacing w:val="-7"/>
        </w:rPr>
        <w:t> </w:t>
      </w:r>
      <w:r>
        <w:rPr/>
        <w:t>National</w:t>
      </w:r>
      <w:r>
        <w:rPr>
          <w:spacing w:val="-4"/>
        </w:rPr>
        <w:t> </w:t>
      </w:r>
      <w:r>
        <w:rPr/>
        <w:t>Recreation</w:t>
      </w:r>
      <w:r>
        <w:rPr>
          <w:spacing w:val="-5"/>
        </w:rPr>
        <w:t> </w:t>
      </w:r>
      <w:r>
        <w:rPr/>
        <w:t>and</w:t>
      </w:r>
      <w:r>
        <w:rPr>
          <w:spacing w:val="-6"/>
        </w:rPr>
        <w:t> </w:t>
      </w:r>
      <w:r>
        <w:rPr/>
        <w:t>Park</w:t>
      </w:r>
      <w:r>
        <w:rPr>
          <w:spacing w:val="-5"/>
        </w:rPr>
        <w:t> </w:t>
      </w:r>
      <w:r>
        <w:rPr/>
        <w:t>Association’s</w:t>
      </w:r>
      <w:r>
        <w:rPr>
          <w:spacing w:val="-3"/>
        </w:rPr>
        <w:t> </w:t>
      </w:r>
      <w:r>
        <w:rPr/>
        <w:t>(NRPA)</w:t>
      </w:r>
      <w:r>
        <w:rPr>
          <w:spacing w:val="-6"/>
        </w:rPr>
        <w:t> </w:t>
      </w:r>
      <w:r>
        <w:rPr/>
        <w:t>Recreation,</w:t>
      </w:r>
      <w:r>
        <w:rPr>
          <w:spacing w:val="-4"/>
        </w:rPr>
        <w:t> </w:t>
      </w:r>
      <w:r>
        <w:rPr/>
        <w:t>Park,</w:t>
      </w:r>
      <w:r>
        <w:rPr>
          <w:spacing w:val="-4"/>
        </w:rPr>
        <w:t> </w:t>
      </w:r>
      <w:r>
        <w:rPr/>
        <w:t>and</w:t>
      </w:r>
      <w:r>
        <w:rPr>
          <w:spacing w:val="-8"/>
        </w:rPr>
        <w:t> </w:t>
      </w:r>
      <w:r>
        <w:rPr/>
        <w:t>Open</w:t>
      </w:r>
      <w:r>
        <w:rPr>
          <w:spacing w:val="-5"/>
        </w:rPr>
        <w:t> </w:t>
      </w:r>
      <w:r>
        <w:rPr/>
        <w:t>Space</w:t>
      </w:r>
      <w:r>
        <w:rPr>
          <w:spacing w:val="-4"/>
        </w:rPr>
        <w:t> </w:t>
      </w:r>
      <w:r>
        <w:rPr/>
        <w:t>Standards and Guidelines recommend that the City of Richland should provide one swimming pool per 20,000 residents and the pools should be able to accommodate 3-5 percent of the total population or</w:t>
      </w:r>
      <w:r>
        <w:rPr>
          <w:spacing w:val="28"/>
        </w:rPr>
        <w:t> </w:t>
      </w:r>
      <w:r>
        <w:rPr/>
        <w:t>1,964</w:t>
      </w:r>
    </w:p>
    <w:p>
      <w:pPr>
        <w:spacing w:after="0"/>
        <w:jc w:val="both"/>
        <w:sectPr>
          <w:pgSz w:w="12240" w:h="15840"/>
          <w:pgMar w:header="0" w:footer="1052" w:top="1360" w:bottom="1320" w:left="1320" w:right="1200"/>
        </w:sectPr>
      </w:pPr>
    </w:p>
    <w:p>
      <w:pPr>
        <w:pStyle w:val="BodyText"/>
        <w:spacing w:before="80"/>
        <w:ind w:left="120" w:right="237"/>
        <w:jc w:val="both"/>
      </w:pPr>
      <w:r>
        <w:rPr/>
        <w:t>people at a time. The City has no adopted standards for aquatic facilities. Several private, neighborhood pools exist in the City and are not included in this evaluation.</w:t>
      </w:r>
    </w:p>
    <w:p>
      <w:pPr>
        <w:spacing w:before="201"/>
        <w:ind w:left="120" w:right="0" w:firstLine="0"/>
        <w:jc w:val="both"/>
        <w:rPr>
          <w:b/>
          <w:sz w:val="22"/>
        </w:rPr>
      </w:pPr>
      <w:bookmarkStart w:name="Recreation Programing" w:id="274"/>
      <w:bookmarkEnd w:id="274"/>
      <w:r>
        <w:rPr/>
      </w:r>
      <w:r>
        <w:rPr>
          <w:b/>
          <w:color w:val="C0504D"/>
          <w:sz w:val="22"/>
        </w:rPr>
        <w:t>Recreation Programing</w:t>
      </w:r>
    </w:p>
    <w:p>
      <w:pPr>
        <w:pStyle w:val="BodyText"/>
        <w:spacing w:before="119"/>
        <w:ind w:left="119" w:right="235"/>
        <w:jc w:val="both"/>
      </w:pPr>
      <w:r>
        <w:rPr/>
        <w:t>The City of Richland Recreation Department provides recreational opportunities on a continuous, year-round</w:t>
      </w:r>
      <w:r>
        <w:rPr>
          <w:spacing w:val="-8"/>
        </w:rPr>
        <w:t> </w:t>
      </w:r>
      <w:r>
        <w:rPr/>
        <w:t>basis,</w:t>
      </w:r>
      <w:r>
        <w:rPr>
          <w:spacing w:val="-7"/>
        </w:rPr>
        <w:t> </w:t>
      </w:r>
      <w:r>
        <w:rPr/>
        <w:t>with</w:t>
      </w:r>
      <w:r>
        <w:rPr>
          <w:spacing w:val="-9"/>
        </w:rPr>
        <w:t> </w:t>
      </w:r>
      <w:r>
        <w:rPr/>
        <w:t>up-to-date</w:t>
      </w:r>
      <w:r>
        <w:rPr>
          <w:spacing w:val="-10"/>
        </w:rPr>
        <w:t> </w:t>
      </w:r>
      <w:r>
        <w:rPr/>
        <w:t>event/activity</w:t>
      </w:r>
      <w:r>
        <w:rPr>
          <w:spacing w:val="-10"/>
        </w:rPr>
        <w:t> </w:t>
      </w:r>
      <w:r>
        <w:rPr/>
        <w:t>guides</w:t>
      </w:r>
      <w:r>
        <w:rPr>
          <w:spacing w:val="-7"/>
        </w:rPr>
        <w:t> </w:t>
      </w:r>
      <w:r>
        <w:rPr/>
        <w:t>and</w:t>
      </w:r>
      <w:r>
        <w:rPr>
          <w:spacing w:val="-10"/>
        </w:rPr>
        <w:t> </w:t>
      </w:r>
      <w:r>
        <w:rPr/>
        <w:t>calendars</w:t>
      </w:r>
      <w:r>
        <w:rPr>
          <w:spacing w:val="-6"/>
        </w:rPr>
        <w:t> </w:t>
      </w:r>
      <w:r>
        <w:rPr/>
        <w:t>available</w:t>
      </w:r>
      <w:r>
        <w:rPr>
          <w:spacing w:val="-7"/>
        </w:rPr>
        <w:t> </w:t>
      </w:r>
      <w:r>
        <w:rPr/>
        <w:t>online</w:t>
      </w:r>
      <w:r>
        <w:rPr>
          <w:spacing w:val="-10"/>
        </w:rPr>
        <w:t> </w:t>
      </w:r>
      <w:r>
        <w:rPr/>
        <w:t>for</w:t>
      </w:r>
      <w:r>
        <w:rPr>
          <w:spacing w:val="-9"/>
        </w:rPr>
        <w:t> </w:t>
      </w:r>
      <w:r>
        <w:rPr/>
        <w:t>the</w:t>
      </w:r>
      <w:r>
        <w:rPr>
          <w:spacing w:val="-7"/>
        </w:rPr>
        <w:t> </w:t>
      </w:r>
      <w:r>
        <w:rPr/>
        <w:t>public. These facilities and programs are intended to enhance residents’ health and provide comfortable access to their local government and other community amenities. Listed below is a brief sample of activity categories with categories changing based on</w:t>
      </w:r>
      <w:r>
        <w:rPr>
          <w:spacing w:val="-10"/>
        </w:rPr>
        <w:t> </w:t>
      </w:r>
      <w:r>
        <w:rPr/>
        <w:t>demand.</w:t>
      </w:r>
    </w:p>
    <w:p>
      <w:pPr>
        <w:pStyle w:val="ListParagraph"/>
        <w:numPr>
          <w:ilvl w:val="1"/>
          <w:numId w:val="10"/>
        </w:numPr>
        <w:tabs>
          <w:tab w:pos="839" w:val="left" w:leader="none"/>
          <w:tab w:pos="840" w:val="left" w:leader="none"/>
        </w:tabs>
        <w:spacing w:line="240" w:lineRule="auto" w:before="60" w:after="0"/>
        <w:ind w:left="839" w:right="0" w:hanging="361"/>
        <w:jc w:val="left"/>
        <w:rPr>
          <w:sz w:val="22"/>
        </w:rPr>
      </w:pPr>
      <w:r>
        <w:rPr>
          <w:sz w:val="22"/>
        </w:rPr>
        <w:t>Aquatics-swim lessons, lap swim, open swim pre-school educational</w:t>
      </w:r>
      <w:r>
        <w:rPr>
          <w:spacing w:val="-13"/>
          <w:sz w:val="22"/>
        </w:rPr>
        <w:t> </w:t>
      </w:r>
      <w:r>
        <w:rPr>
          <w:sz w:val="22"/>
        </w:rPr>
        <w:t>activities</w:t>
      </w:r>
    </w:p>
    <w:p>
      <w:pPr>
        <w:pStyle w:val="ListParagraph"/>
        <w:numPr>
          <w:ilvl w:val="1"/>
          <w:numId w:val="10"/>
        </w:numPr>
        <w:tabs>
          <w:tab w:pos="840" w:val="left" w:leader="none"/>
          <w:tab w:pos="841" w:val="left" w:leader="none"/>
        </w:tabs>
        <w:spacing w:line="240" w:lineRule="auto" w:before="61" w:after="0"/>
        <w:ind w:left="840" w:right="0" w:hanging="362"/>
        <w:jc w:val="left"/>
        <w:rPr>
          <w:sz w:val="22"/>
        </w:rPr>
      </w:pPr>
      <w:r>
        <w:rPr>
          <w:sz w:val="22"/>
        </w:rPr>
        <w:t>Arts &amp; Crafts, General Education-chess, juggling, hunter education, first aid and</w:t>
      </w:r>
      <w:r>
        <w:rPr>
          <w:spacing w:val="-21"/>
          <w:sz w:val="22"/>
        </w:rPr>
        <w:t> </w:t>
      </w:r>
      <w:r>
        <w:rPr>
          <w:sz w:val="22"/>
        </w:rPr>
        <w:t>more</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Dog training, park ranger programs, geocaching, hikes and</w:t>
      </w:r>
      <w:r>
        <w:rPr>
          <w:spacing w:val="-13"/>
          <w:sz w:val="22"/>
        </w:rPr>
        <w:t> </w:t>
      </w:r>
      <w:r>
        <w:rPr>
          <w:sz w:val="22"/>
        </w:rPr>
        <w:t>classes</w:t>
      </w:r>
    </w:p>
    <w:p>
      <w:pPr>
        <w:pStyle w:val="ListParagraph"/>
        <w:numPr>
          <w:ilvl w:val="1"/>
          <w:numId w:val="10"/>
        </w:numPr>
        <w:tabs>
          <w:tab w:pos="840" w:val="left" w:leader="none"/>
          <w:tab w:pos="841" w:val="left" w:leader="none"/>
        </w:tabs>
        <w:spacing w:line="240" w:lineRule="auto" w:before="59" w:after="0"/>
        <w:ind w:left="840" w:right="0" w:hanging="362"/>
        <w:jc w:val="left"/>
        <w:rPr>
          <w:sz w:val="22"/>
        </w:rPr>
      </w:pPr>
      <w:r>
        <w:rPr>
          <w:sz w:val="22"/>
        </w:rPr>
        <w:t>Home and garden, language, computer and</w:t>
      </w:r>
      <w:r>
        <w:rPr>
          <w:spacing w:val="-10"/>
          <w:sz w:val="22"/>
        </w:rPr>
        <w:t> </w:t>
      </w:r>
      <w:r>
        <w:rPr>
          <w:sz w:val="22"/>
        </w:rPr>
        <w:t>technologies</w:t>
      </w:r>
    </w:p>
    <w:p>
      <w:pPr>
        <w:pStyle w:val="ListParagraph"/>
        <w:numPr>
          <w:ilvl w:val="1"/>
          <w:numId w:val="10"/>
        </w:numPr>
        <w:tabs>
          <w:tab w:pos="840" w:val="left" w:leader="none"/>
          <w:tab w:pos="841" w:val="left" w:leader="none"/>
        </w:tabs>
        <w:spacing w:line="240" w:lineRule="auto" w:before="61" w:after="0"/>
        <w:ind w:left="840" w:right="0" w:hanging="361"/>
        <w:jc w:val="left"/>
        <w:rPr>
          <w:sz w:val="22"/>
        </w:rPr>
      </w:pPr>
      <w:r>
        <w:rPr>
          <w:sz w:val="22"/>
        </w:rPr>
        <w:t>Fitness</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Yoga, martial arts, dance,</w:t>
      </w:r>
      <w:r>
        <w:rPr>
          <w:spacing w:val="-8"/>
          <w:sz w:val="22"/>
        </w:rPr>
        <w:t> </w:t>
      </w:r>
      <w:r>
        <w:rPr>
          <w:sz w:val="22"/>
        </w:rPr>
        <w:t>wellness-check-ups</w:t>
      </w:r>
    </w:p>
    <w:p>
      <w:pPr>
        <w:pStyle w:val="ListParagraph"/>
        <w:numPr>
          <w:ilvl w:val="1"/>
          <w:numId w:val="10"/>
        </w:numPr>
        <w:tabs>
          <w:tab w:pos="840" w:val="left" w:leader="none"/>
          <w:tab w:pos="841" w:val="left" w:leader="none"/>
        </w:tabs>
        <w:spacing w:line="240" w:lineRule="auto" w:before="62" w:after="0"/>
        <w:ind w:left="840" w:right="0" w:hanging="361"/>
        <w:jc w:val="left"/>
        <w:rPr>
          <w:sz w:val="22"/>
        </w:rPr>
      </w:pPr>
      <w:r>
        <w:rPr>
          <w:sz w:val="22"/>
        </w:rPr>
        <w:t>Sports: team and individual</w:t>
      </w:r>
      <w:r>
        <w:rPr>
          <w:spacing w:val="-7"/>
          <w:sz w:val="22"/>
        </w:rPr>
        <w:t> </w:t>
      </w:r>
      <w:r>
        <w:rPr>
          <w:sz w:val="22"/>
        </w:rPr>
        <w:t>sports</w:t>
      </w:r>
    </w:p>
    <w:p>
      <w:pPr>
        <w:pStyle w:val="ListParagraph"/>
        <w:numPr>
          <w:ilvl w:val="1"/>
          <w:numId w:val="10"/>
        </w:numPr>
        <w:tabs>
          <w:tab w:pos="840" w:val="left" w:leader="none"/>
          <w:tab w:pos="841" w:val="left" w:leader="none"/>
        </w:tabs>
        <w:spacing w:line="240" w:lineRule="auto" w:before="58" w:after="0"/>
        <w:ind w:left="840" w:right="0" w:hanging="361"/>
        <w:jc w:val="left"/>
        <w:rPr>
          <w:sz w:val="22"/>
        </w:rPr>
      </w:pPr>
      <w:r>
        <w:rPr>
          <w:sz w:val="22"/>
        </w:rPr>
        <w:t>Adventure camps-for</w:t>
      </w:r>
      <w:r>
        <w:rPr>
          <w:spacing w:val="-3"/>
          <w:sz w:val="22"/>
        </w:rPr>
        <w:t> </w:t>
      </w:r>
      <w:r>
        <w:rPr>
          <w:sz w:val="22"/>
        </w:rPr>
        <w:t>youth</w:t>
      </w:r>
    </w:p>
    <w:p>
      <w:pPr>
        <w:pStyle w:val="ListParagraph"/>
        <w:numPr>
          <w:ilvl w:val="1"/>
          <w:numId w:val="10"/>
        </w:numPr>
        <w:tabs>
          <w:tab w:pos="840" w:val="left" w:leader="none"/>
          <w:tab w:pos="841" w:val="left" w:leader="none"/>
        </w:tabs>
        <w:spacing w:line="240" w:lineRule="auto" w:before="62" w:after="0"/>
        <w:ind w:left="840" w:right="0" w:hanging="361"/>
        <w:jc w:val="left"/>
        <w:rPr>
          <w:sz w:val="22"/>
        </w:rPr>
      </w:pPr>
      <w:bookmarkStart w:name="FUTURE DEFICIENCIES" w:id="275"/>
      <w:bookmarkEnd w:id="275"/>
      <w:r>
        <w:rPr/>
      </w:r>
      <w:bookmarkStart w:name="FUTURE DEFICIENCIES" w:id="276"/>
      <w:bookmarkEnd w:id="276"/>
      <w:r>
        <w:rPr>
          <w:sz w:val="22"/>
        </w:rPr>
        <w:t>Ca</w:t>
      </w:r>
      <w:r>
        <w:rPr>
          <w:sz w:val="22"/>
        </w:rPr>
        <w:t>rds, socials</w:t>
      </w:r>
      <w:r>
        <w:rPr>
          <w:spacing w:val="-1"/>
          <w:sz w:val="22"/>
        </w:rPr>
        <w:t> </w:t>
      </w:r>
      <w:r>
        <w:rPr>
          <w:sz w:val="22"/>
        </w:rPr>
        <w:t>trips</w:t>
      </w:r>
    </w:p>
    <w:p>
      <w:pPr>
        <w:spacing w:before="200"/>
        <w:ind w:left="120" w:right="0" w:firstLine="0"/>
        <w:jc w:val="both"/>
        <w:rPr>
          <w:b/>
          <w:sz w:val="24"/>
        </w:rPr>
      </w:pPr>
      <w:bookmarkStart w:name="Parks" w:id="277"/>
      <w:bookmarkEnd w:id="277"/>
      <w:r>
        <w:rPr/>
      </w:r>
      <w:r>
        <w:rPr>
          <w:b/>
          <w:sz w:val="24"/>
        </w:rPr>
        <w:t>FUTURE DEFICIENCIES</w:t>
      </w:r>
    </w:p>
    <w:p>
      <w:pPr>
        <w:spacing w:before="200"/>
        <w:ind w:left="120" w:right="0" w:firstLine="0"/>
        <w:jc w:val="left"/>
        <w:rPr>
          <w:b/>
          <w:sz w:val="22"/>
        </w:rPr>
      </w:pPr>
      <w:r>
        <w:rPr>
          <w:b/>
          <w:color w:val="C0504D"/>
          <w:sz w:val="22"/>
        </w:rPr>
        <w:t>Parks</w:t>
      </w:r>
    </w:p>
    <w:p>
      <w:pPr>
        <w:pStyle w:val="BodyText"/>
        <w:spacing w:before="119"/>
        <w:ind w:left="120" w:right="233"/>
        <w:jc w:val="both"/>
      </w:pPr>
      <w:r>
        <w:rPr/>
        <w:t>The City is not in need of any additional neighborhood park land. The development of Horn Rapids and</w:t>
      </w:r>
      <w:r>
        <w:rPr>
          <w:spacing w:val="-8"/>
        </w:rPr>
        <w:t> </w:t>
      </w:r>
      <w:r>
        <w:rPr/>
        <w:t>Badger</w:t>
      </w:r>
      <w:r>
        <w:rPr>
          <w:spacing w:val="-9"/>
        </w:rPr>
        <w:t> </w:t>
      </w:r>
      <w:r>
        <w:rPr/>
        <w:t>Mountain</w:t>
      </w:r>
      <w:r>
        <w:rPr>
          <w:spacing w:val="-9"/>
        </w:rPr>
        <w:t> </w:t>
      </w:r>
      <w:r>
        <w:rPr/>
        <w:t>South</w:t>
      </w:r>
      <w:r>
        <w:rPr>
          <w:spacing w:val="-6"/>
        </w:rPr>
        <w:t> </w:t>
      </w:r>
      <w:r>
        <w:rPr/>
        <w:t>neighborhood</w:t>
      </w:r>
      <w:r>
        <w:rPr>
          <w:spacing w:val="-8"/>
        </w:rPr>
        <w:t> </w:t>
      </w:r>
      <w:r>
        <w:rPr/>
        <w:t>parks</w:t>
      </w:r>
      <w:r>
        <w:rPr>
          <w:spacing w:val="-6"/>
        </w:rPr>
        <w:t> </w:t>
      </w:r>
      <w:r>
        <w:rPr/>
        <w:t>will</w:t>
      </w:r>
      <w:r>
        <w:rPr>
          <w:spacing w:val="-8"/>
        </w:rPr>
        <w:t> </w:t>
      </w:r>
      <w:r>
        <w:rPr/>
        <w:t>provide</w:t>
      </w:r>
      <w:r>
        <w:rPr>
          <w:spacing w:val="-6"/>
        </w:rPr>
        <w:t> </w:t>
      </w:r>
      <w:r>
        <w:rPr/>
        <w:t>adequate</w:t>
      </w:r>
      <w:r>
        <w:rPr>
          <w:spacing w:val="-7"/>
        </w:rPr>
        <w:t> </w:t>
      </w:r>
      <w:r>
        <w:rPr/>
        <w:t>park</w:t>
      </w:r>
      <w:r>
        <w:rPr>
          <w:spacing w:val="-8"/>
        </w:rPr>
        <w:t> </w:t>
      </w:r>
      <w:r>
        <w:rPr/>
        <w:t>service.</w:t>
      </w:r>
      <w:r>
        <w:rPr>
          <w:spacing w:val="-6"/>
        </w:rPr>
        <w:t> </w:t>
      </w:r>
      <w:r>
        <w:rPr/>
        <w:t>New</w:t>
      </w:r>
      <w:r>
        <w:rPr>
          <w:spacing w:val="-8"/>
        </w:rPr>
        <w:t> </w:t>
      </w:r>
      <w:r>
        <w:rPr/>
        <w:t>areas</w:t>
      </w:r>
      <w:r>
        <w:rPr>
          <w:spacing w:val="-6"/>
        </w:rPr>
        <w:t> </w:t>
      </w:r>
      <w:r>
        <w:rPr/>
        <w:t>near City</w:t>
      </w:r>
      <w:r>
        <w:rPr>
          <w:spacing w:val="-12"/>
        </w:rPr>
        <w:t> </w:t>
      </w:r>
      <w:r>
        <w:rPr/>
        <w:t>View</w:t>
      </w:r>
      <w:r>
        <w:rPr>
          <w:spacing w:val="-12"/>
        </w:rPr>
        <w:t> </w:t>
      </w:r>
      <w:r>
        <w:rPr/>
        <w:t>re-designated</w:t>
      </w:r>
      <w:r>
        <w:rPr>
          <w:spacing w:val="-12"/>
        </w:rPr>
        <w:t> </w:t>
      </w:r>
      <w:r>
        <w:rPr/>
        <w:t>with</w:t>
      </w:r>
      <w:r>
        <w:rPr>
          <w:spacing w:val="-11"/>
        </w:rPr>
        <w:t> </w:t>
      </w:r>
      <w:r>
        <w:rPr/>
        <w:t>this</w:t>
      </w:r>
      <w:r>
        <w:rPr>
          <w:spacing w:val="-10"/>
        </w:rPr>
        <w:t> </w:t>
      </w:r>
      <w:r>
        <w:rPr/>
        <w:t>Comprehensive</w:t>
      </w:r>
      <w:r>
        <w:rPr>
          <w:spacing w:val="-10"/>
        </w:rPr>
        <w:t> </w:t>
      </w:r>
      <w:r>
        <w:rPr/>
        <w:t>Plan</w:t>
      </w:r>
      <w:r>
        <w:rPr>
          <w:spacing w:val="-12"/>
        </w:rPr>
        <w:t> </w:t>
      </w:r>
      <w:r>
        <w:rPr/>
        <w:t>update</w:t>
      </w:r>
      <w:r>
        <w:rPr>
          <w:spacing w:val="-11"/>
        </w:rPr>
        <w:t> </w:t>
      </w:r>
      <w:r>
        <w:rPr/>
        <w:t>will</w:t>
      </w:r>
      <w:r>
        <w:rPr>
          <w:spacing w:val="-11"/>
        </w:rPr>
        <w:t> </w:t>
      </w:r>
      <w:r>
        <w:rPr/>
        <w:t>require</w:t>
      </w:r>
      <w:r>
        <w:rPr>
          <w:spacing w:val="-11"/>
        </w:rPr>
        <w:t> </w:t>
      </w:r>
      <w:r>
        <w:rPr/>
        <w:t>one</w:t>
      </w:r>
      <w:r>
        <w:rPr>
          <w:spacing w:val="-11"/>
        </w:rPr>
        <w:t> </w:t>
      </w:r>
      <w:r>
        <w:rPr/>
        <w:t>additional</w:t>
      </w:r>
      <w:r>
        <w:rPr>
          <w:spacing w:val="-10"/>
        </w:rPr>
        <w:t> </w:t>
      </w:r>
      <w:r>
        <w:rPr/>
        <w:t>community park to serve the</w:t>
      </w:r>
      <w:r>
        <w:rPr>
          <w:spacing w:val="-6"/>
        </w:rPr>
        <w:t> </w:t>
      </w:r>
      <w:r>
        <w:rPr/>
        <w:t>area.</w:t>
      </w:r>
    </w:p>
    <w:p>
      <w:pPr>
        <w:pStyle w:val="BodyText"/>
        <w:spacing w:before="121"/>
        <w:ind w:left="120" w:right="236"/>
        <w:jc w:val="both"/>
      </w:pPr>
      <w:r>
        <w:rPr/>
        <w:t>The four community parks (Badger Mountain, Claybell, Hanford Legacy, and Trailhead) provide adequate land for development of needed park amenities. There is a need to complete the park amenities</w:t>
      </w:r>
      <w:r>
        <w:rPr>
          <w:spacing w:val="-3"/>
        </w:rPr>
        <w:t> </w:t>
      </w:r>
      <w:r>
        <w:rPr/>
        <w:t>at</w:t>
      </w:r>
      <w:r>
        <w:rPr>
          <w:spacing w:val="-5"/>
        </w:rPr>
        <w:t> </w:t>
      </w:r>
      <w:r>
        <w:rPr/>
        <w:t>Badger</w:t>
      </w:r>
      <w:r>
        <w:rPr>
          <w:spacing w:val="-4"/>
        </w:rPr>
        <w:t> </w:t>
      </w:r>
      <w:r>
        <w:rPr/>
        <w:t>Mountain</w:t>
      </w:r>
      <w:r>
        <w:rPr>
          <w:spacing w:val="-5"/>
        </w:rPr>
        <w:t> </w:t>
      </w:r>
      <w:r>
        <w:rPr/>
        <w:t>Park</w:t>
      </w:r>
      <w:r>
        <w:rPr>
          <w:spacing w:val="-4"/>
        </w:rPr>
        <w:t> </w:t>
      </w:r>
      <w:r>
        <w:rPr/>
        <w:t>and</w:t>
      </w:r>
      <w:r>
        <w:rPr>
          <w:spacing w:val="-5"/>
        </w:rPr>
        <w:t> </w:t>
      </w:r>
      <w:r>
        <w:rPr/>
        <w:t>Hanford</w:t>
      </w:r>
      <w:r>
        <w:rPr>
          <w:spacing w:val="-4"/>
        </w:rPr>
        <w:t> </w:t>
      </w:r>
      <w:r>
        <w:rPr/>
        <w:t>Legacy</w:t>
      </w:r>
      <w:r>
        <w:rPr>
          <w:spacing w:val="-5"/>
        </w:rPr>
        <w:t> </w:t>
      </w:r>
      <w:r>
        <w:rPr/>
        <w:t>Park.</w:t>
      </w:r>
      <w:r>
        <w:rPr>
          <w:spacing w:val="-4"/>
        </w:rPr>
        <w:t> </w:t>
      </w:r>
      <w:r>
        <w:rPr/>
        <w:t>Master</w:t>
      </w:r>
      <w:r>
        <w:rPr>
          <w:spacing w:val="-4"/>
        </w:rPr>
        <w:t> </w:t>
      </w:r>
      <w:r>
        <w:rPr/>
        <w:t>plans</w:t>
      </w:r>
      <w:r>
        <w:rPr>
          <w:spacing w:val="-3"/>
        </w:rPr>
        <w:t> </w:t>
      </w:r>
      <w:r>
        <w:rPr/>
        <w:t>have</w:t>
      </w:r>
      <w:r>
        <w:rPr>
          <w:spacing w:val="-3"/>
        </w:rPr>
        <w:t> </w:t>
      </w:r>
      <w:r>
        <w:rPr/>
        <w:t>been</w:t>
      </w:r>
      <w:r>
        <w:rPr>
          <w:spacing w:val="-5"/>
        </w:rPr>
        <w:t> </w:t>
      </w:r>
      <w:r>
        <w:rPr/>
        <w:t>completed</w:t>
      </w:r>
      <w:r>
        <w:rPr>
          <w:spacing w:val="-4"/>
        </w:rPr>
        <w:t> </w:t>
      </w:r>
      <w:r>
        <w:rPr/>
        <w:t>for</w:t>
      </w:r>
      <w:bookmarkStart w:name="Natural Open Space" w:id="278"/>
      <w:bookmarkEnd w:id="278"/>
      <w:r>
        <w:rPr/>
      </w:r>
      <w:r>
        <w:rPr/>
        <w:t> each community park with the exception of Trailhead</w:t>
      </w:r>
      <w:r>
        <w:rPr>
          <w:spacing w:val="-11"/>
        </w:rPr>
        <w:t> </w:t>
      </w:r>
      <w:r>
        <w:rPr/>
        <w:t>Park.</w:t>
      </w:r>
    </w:p>
    <w:p>
      <w:pPr>
        <w:spacing w:before="199"/>
        <w:ind w:left="119" w:right="0" w:firstLine="0"/>
        <w:jc w:val="both"/>
        <w:rPr>
          <w:b/>
          <w:sz w:val="22"/>
        </w:rPr>
      </w:pPr>
      <w:r>
        <w:rPr>
          <w:b/>
          <w:color w:val="C0504D"/>
          <w:sz w:val="22"/>
        </w:rPr>
        <w:t>Natural Open Space</w:t>
      </w:r>
    </w:p>
    <w:p>
      <w:pPr>
        <w:pStyle w:val="BodyText"/>
        <w:spacing w:before="119"/>
        <w:ind w:left="119" w:right="234"/>
        <w:jc w:val="both"/>
      </w:pPr>
      <w:r>
        <w:rPr/>
        <w:t>An</w:t>
      </w:r>
      <w:r>
        <w:rPr>
          <w:spacing w:val="-11"/>
        </w:rPr>
        <w:t> </w:t>
      </w:r>
      <w:r>
        <w:rPr/>
        <w:t>analysis</w:t>
      </w:r>
      <w:r>
        <w:rPr>
          <w:spacing w:val="-8"/>
        </w:rPr>
        <w:t> </w:t>
      </w:r>
      <w:r>
        <w:rPr/>
        <w:t>on</w:t>
      </w:r>
      <w:r>
        <w:rPr>
          <w:spacing w:val="-11"/>
        </w:rPr>
        <w:t> </w:t>
      </w:r>
      <w:r>
        <w:rPr/>
        <w:t>park</w:t>
      </w:r>
      <w:r>
        <w:rPr>
          <w:spacing w:val="-10"/>
        </w:rPr>
        <w:t> </w:t>
      </w:r>
      <w:r>
        <w:rPr/>
        <w:t>land</w:t>
      </w:r>
      <w:r>
        <w:rPr>
          <w:spacing w:val="-11"/>
        </w:rPr>
        <w:t> </w:t>
      </w:r>
      <w:r>
        <w:rPr/>
        <w:t>in</w:t>
      </w:r>
      <w:r>
        <w:rPr>
          <w:spacing w:val="-10"/>
        </w:rPr>
        <w:t> </w:t>
      </w:r>
      <w:r>
        <w:rPr/>
        <w:t>low</w:t>
      </w:r>
      <w:r>
        <w:rPr>
          <w:spacing w:val="-11"/>
        </w:rPr>
        <w:t> </w:t>
      </w:r>
      <w:r>
        <w:rPr/>
        <w:t>density</w:t>
      </w:r>
      <w:r>
        <w:rPr>
          <w:spacing w:val="-10"/>
        </w:rPr>
        <w:t> </w:t>
      </w:r>
      <w:r>
        <w:rPr/>
        <w:t>cities</w:t>
      </w:r>
      <w:r>
        <w:rPr>
          <w:spacing w:val="-8"/>
        </w:rPr>
        <w:t> </w:t>
      </w:r>
      <w:r>
        <w:rPr/>
        <w:t>indicates</w:t>
      </w:r>
      <w:r>
        <w:rPr>
          <w:spacing w:val="-9"/>
        </w:rPr>
        <w:t> </w:t>
      </w:r>
      <w:r>
        <w:rPr/>
        <w:t>only</w:t>
      </w:r>
      <w:r>
        <w:rPr>
          <w:spacing w:val="-10"/>
        </w:rPr>
        <w:t> </w:t>
      </w:r>
      <w:r>
        <w:rPr/>
        <w:t>eight</w:t>
      </w:r>
      <w:r>
        <w:rPr>
          <w:spacing w:val="-11"/>
        </w:rPr>
        <w:t> </w:t>
      </w:r>
      <w:r>
        <w:rPr/>
        <w:t>cities</w:t>
      </w:r>
      <w:r>
        <w:rPr>
          <w:spacing w:val="-8"/>
        </w:rPr>
        <w:t> </w:t>
      </w:r>
      <w:r>
        <w:rPr/>
        <w:t>in</w:t>
      </w:r>
      <w:r>
        <w:rPr>
          <w:spacing w:val="-11"/>
        </w:rPr>
        <w:t> </w:t>
      </w:r>
      <w:r>
        <w:rPr/>
        <w:t>US</w:t>
      </w:r>
      <w:r>
        <w:rPr>
          <w:spacing w:val="-9"/>
        </w:rPr>
        <w:t> </w:t>
      </w:r>
      <w:r>
        <w:rPr/>
        <w:t>have</w:t>
      </w:r>
      <w:r>
        <w:rPr>
          <w:spacing w:val="-9"/>
        </w:rPr>
        <w:t> </w:t>
      </w:r>
      <w:r>
        <w:rPr/>
        <w:t>more</w:t>
      </w:r>
      <w:r>
        <w:rPr>
          <w:spacing w:val="-10"/>
        </w:rPr>
        <w:t> </w:t>
      </w:r>
      <w:r>
        <w:rPr/>
        <w:t>than</w:t>
      </w:r>
      <w:r>
        <w:rPr>
          <w:spacing w:val="-10"/>
        </w:rPr>
        <w:t> </w:t>
      </w:r>
      <w:r>
        <w:rPr/>
        <w:t>40</w:t>
      </w:r>
      <w:r>
        <w:rPr>
          <w:spacing w:val="-10"/>
        </w:rPr>
        <w:t> </w:t>
      </w:r>
      <w:r>
        <w:rPr/>
        <w:t>acres per 1000 population of park land, which Richland has (The Trust for Public Land, 2015). With the park and natural open space combined, Richland has 79 acres per 1000 people. With the projected 20 years’ population, this ratio will be 55 acres per 1000 people. The land use changes indicated in Tables</w:t>
      </w:r>
      <w:r>
        <w:rPr>
          <w:spacing w:val="-6"/>
        </w:rPr>
        <w:t> </w:t>
      </w:r>
      <w:r>
        <w:rPr/>
        <w:t>LU-6</w:t>
      </w:r>
      <w:r>
        <w:rPr>
          <w:spacing w:val="-6"/>
        </w:rPr>
        <w:t> </w:t>
      </w:r>
      <w:r>
        <w:rPr/>
        <w:t>and</w:t>
      </w:r>
      <w:r>
        <w:rPr>
          <w:spacing w:val="-6"/>
        </w:rPr>
        <w:t> </w:t>
      </w:r>
      <w:r>
        <w:rPr/>
        <w:t>LU-7</w:t>
      </w:r>
      <w:r>
        <w:rPr>
          <w:spacing w:val="-7"/>
        </w:rPr>
        <w:t> </w:t>
      </w:r>
      <w:r>
        <w:rPr/>
        <w:t>will</w:t>
      </w:r>
      <w:r>
        <w:rPr>
          <w:spacing w:val="-8"/>
        </w:rPr>
        <w:t> </w:t>
      </w:r>
      <w:r>
        <w:rPr/>
        <w:t>increase</w:t>
      </w:r>
      <w:r>
        <w:rPr>
          <w:spacing w:val="-6"/>
        </w:rPr>
        <w:t> </w:t>
      </w:r>
      <w:r>
        <w:rPr/>
        <w:t>the</w:t>
      </w:r>
      <w:r>
        <w:rPr>
          <w:spacing w:val="-5"/>
        </w:rPr>
        <w:t> </w:t>
      </w:r>
      <w:r>
        <w:rPr/>
        <w:t>Natural</w:t>
      </w:r>
      <w:r>
        <w:rPr>
          <w:spacing w:val="-7"/>
        </w:rPr>
        <w:t> </w:t>
      </w:r>
      <w:r>
        <w:rPr/>
        <w:t>Open</w:t>
      </w:r>
      <w:r>
        <w:rPr>
          <w:spacing w:val="-9"/>
        </w:rPr>
        <w:t> </w:t>
      </w:r>
      <w:r>
        <w:rPr/>
        <w:t>Space,</w:t>
      </w:r>
      <w:r>
        <w:rPr>
          <w:spacing w:val="-5"/>
        </w:rPr>
        <w:t> </w:t>
      </w:r>
      <w:r>
        <w:rPr/>
        <w:t>and</w:t>
      </w:r>
      <w:r>
        <w:rPr>
          <w:spacing w:val="-6"/>
        </w:rPr>
        <w:t> </w:t>
      </w:r>
      <w:r>
        <w:rPr/>
        <w:t>decrease</w:t>
      </w:r>
      <w:r>
        <w:rPr>
          <w:spacing w:val="-7"/>
        </w:rPr>
        <w:t> </w:t>
      </w:r>
      <w:r>
        <w:rPr/>
        <w:t>the</w:t>
      </w:r>
      <w:r>
        <w:rPr>
          <w:spacing w:val="-5"/>
        </w:rPr>
        <w:t> </w:t>
      </w:r>
      <w:r>
        <w:rPr/>
        <w:t>Developed</w:t>
      </w:r>
      <w:r>
        <w:rPr>
          <w:spacing w:val="-6"/>
        </w:rPr>
        <w:t> </w:t>
      </w:r>
      <w:r>
        <w:rPr/>
        <w:t>Open</w:t>
      </w:r>
      <w:r>
        <w:rPr>
          <w:spacing w:val="-7"/>
        </w:rPr>
        <w:t> </w:t>
      </w:r>
      <w:r>
        <w:rPr/>
        <w:t>Space. Approximately 38 acres of Urban Reserve land along the Yakima River is re-designated to Natural Open Space (Table LU-6). With these changes, Richland will have about 78.7 acres of open space per 1000 people. For the next 20 years’ population, this ratio will remain about 55 acres of open space per 1000 people. The proposed land use changes will result in 54 acres of increase in Natural Open Space and 67 acres of decrease in Development Open Space with a net reduction of 17</w:t>
      </w:r>
      <w:r>
        <w:rPr>
          <w:spacing w:val="-27"/>
        </w:rPr>
        <w:t> </w:t>
      </w:r>
      <w:r>
        <w:rPr/>
        <w:t>acres.</w:t>
      </w:r>
    </w:p>
    <w:p>
      <w:pPr>
        <w:pStyle w:val="BodyText"/>
        <w:spacing w:before="121"/>
        <w:ind w:left="119" w:right="237"/>
        <w:jc w:val="both"/>
      </w:pPr>
      <w:r>
        <w:rPr/>
        <w:t>Although Richland includes more open space than communities around the nation, there is a community interest in preserving and expanding open space. The need of open space should be further assessed through stakeholder and public involvement.</w:t>
      </w:r>
    </w:p>
    <w:p>
      <w:pPr>
        <w:spacing w:after="0"/>
        <w:jc w:val="both"/>
        <w:sectPr>
          <w:pgSz w:w="12240" w:h="15840"/>
          <w:pgMar w:header="0" w:footer="1052" w:top="1360" w:bottom="1320" w:left="1320" w:right="1200"/>
        </w:sectPr>
      </w:pPr>
    </w:p>
    <w:p>
      <w:pPr>
        <w:spacing w:before="80"/>
        <w:ind w:left="120" w:right="0" w:firstLine="0"/>
        <w:jc w:val="left"/>
        <w:rPr>
          <w:b/>
          <w:sz w:val="22"/>
        </w:rPr>
      </w:pPr>
      <w:bookmarkStart w:name="Recreation" w:id="279"/>
      <w:bookmarkEnd w:id="279"/>
      <w:r>
        <w:rPr/>
      </w:r>
      <w:r>
        <w:rPr>
          <w:b/>
          <w:color w:val="C0504D"/>
          <w:sz w:val="22"/>
        </w:rPr>
        <w:t>Recreation</w:t>
      </w:r>
    </w:p>
    <w:p>
      <w:pPr>
        <w:spacing w:before="118"/>
        <w:ind w:left="120" w:right="0" w:firstLine="0"/>
        <w:jc w:val="left"/>
        <w:rPr>
          <w:rFonts w:ascii="Arial"/>
          <w:b/>
          <w:sz w:val="20"/>
        </w:rPr>
      </w:pPr>
      <w:r>
        <w:rPr>
          <w:rFonts w:ascii="Arial"/>
          <w:b/>
          <w:sz w:val="20"/>
        </w:rPr>
        <w:t>Table CF-4: Recreational Facilities Inventory and Deficiency</w:t>
      </w:r>
    </w:p>
    <w:p>
      <w:pPr>
        <w:pStyle w:val="BodyText"/>
        <w:spacing w:before="6"/>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01"/>
        <w:gridCol w:w="1944"/>
        <w:gridCol w:w="2105"/>
        <w:gridCol w:w="1793"/>
      </w:tblGrid>
      <w:tr>
        <w:trPr>
          <w:trHeight w:val="688" w:hRule="atLeast"/>
        </w:trPr>
        <w:tc>
          <w:tcPr>
            <w:tcW w:w="3401" w:type="dxa"/>
            <w:shd w:val="clear" w:color="auto" w:fill="B8CCE3"/>
          </w:tcPr>
          <w:p>
            <w:pPr>
              <w:pStyle w:val="TableParagraph"/>
              <w:spacing w:before="119"/>
              <w:rPr>
                <w:b/>
                <w:sz w:val="22"/>
              </w:rPr>
            </w:pPr>
            <w:r>
              <w:rPr>
                <w:b/>
                <w:sz w:val="22"/>
              </w:rPr>
              <w:t>Facility Type</w:t>
            </w:r>
          </w:p>
        </w:tc>
        <w:tc>
          <w:tcPr>
            <w:tcW w:w="1944" w:type="dxa"/>
            <w:shd w:val="clear" w:color="auto" w:fill="B8CCE3"/>
          </w:tcPr>
          <w:p>
            <w:pPr>
              <w:pStyle w:val="TableParagraph"/>
              <w:spacing w:line="280" w:lineRule="atLeast" w:before="97"/>
              <w:ind w:right="807"/>
              <w:rPr>
                <w:b/>
                <w:sz w:val="22"/>
              </w:rPr>
            </w:pPr>
            <w:r>
              <w:rPr>
                <w:b/>
                <w:sz w:val="22"/>
              </w:rPr>
              <w:t>Existing Inventory</w:t>
            </w:r>
          </w:p>
        </w:tc>
        <w:tc>
          <w:tcPr>
            <w:tcW w:w="2105" w:type="dxa"/>
            <w:shd w:val="clear" w:color="auto" w:fill="B8CCE3"/>
          </w:tcPr>
          <w:p>
            <w:pPr>
              <w:pStyle w:val="TableParagraph"/>
              <w:spacing w:before="119"/>
              <w:rPr>
                <w:b/>
                <w:sz w:val="22"/>
              </w:rPr>
            </w:pPr>
            <w:r>
              <w:rPr>
                <w:b/>
                <w:sz w:val="22"/>
              </w:rPr>
              <w:t>Build-out Demand</w:t>
            </w:r>
          </w:p>
        </w:tc>
        <w:tc>
          <w:tcPr>
            <w:tcW w:w="1793" w:type="dxa"/>
            <w:shd w:val="clear" w:color="auto" w:fill="B8CCE3"/>
          </w:tcPr>
          <w:p>
            <w:pPr>
              <w:pStyle w:val="TableParagraph"/>
              <w:spacing w:line="280" w:lineRule="atLeast" w:before="97"/>
              <w:ind w:right="587"/>
              <w:rPr>
                <w:b/>
                <w:sz w:val="22"/>
              </w:rPr>
            </w:pPr>
            <w:r>
              <w:rPr>
                <w:b/>
                <w:sz w:val="22"/>
              </w:rPr>
              <w:t>Additional Need</w:t>
            </w:r>
          </w:p>
        </w:tc>
      </w:tr>
      <w:tr>
        <w:trPr>
          <w:trHeight w:val="328" w:hRule="atLeast"/>
        </w:trPr>
        <w:tc>
          <w:tcPr>
            <w:tcW w:w="3401" w:type="dxa"/>
          </w:tcPr>
          <w:p>
            <w:pPr>
              <w:pStyle w:val="TableParagraph"/>
              <w:spacing w:line="249" w:lineRule="exact"/>
              <w:rPr>
                <w:sz w:val="22"/>
              </w:rPr>
            </w:pPr>
            <w:r>
              <w:rPr>
                <w:sz w:val="22"/>
              </w:rPr>
              <w:t>Youth Baseball Game Fields</w:t>
            </w:r>
          </w:p>
        </w:tc>
        <w:tc>
          <w:tcPr>
            <w:tcW w:w="1944" w:type="dxa"/>
          </w:tcPr>
          <w:p>
            <w:pPr>
              <w:pStyle w:val="TableParagraph"/>
              <w:spacing w:line="249" w:lineRule="exact"/>
              <w:rPr>
                <w:rFonts w:ascii="Calibri"/>
                <w:sz w:val="22"/>
              </w:rPr>
            </w:pPr>
            <w:r>
              <w:rPr>
                <w:rFonts w:ascii="Calibri"/>
                <w:sz w:val="22"/>
              </w:rPr>
              <w:t>10 Fields</w:t>
            </w:r>
          </w:p>
        </w:tc>
        <w:tc>
          <w:tcPr>
            <w:tcW w:w="2105" w:type="dxa"/>
          </w:tcPr>
          <w:p>
            <w:pPr>
              <w:pStyle w:val="TableParagraph"/>
              <w:spacing w:line="249" w:lineRule="exact"/>
              <w:rPr>
                <w:rFonts w:ascii="Calibri"/>
                <w:sz w:val="22"/>
              </w:rPr>
            </w:pPr>
            <w:r>
              <w:rPr>
                <w:rFonts w:ascii="Calibri"/>
                <w:sz w:val="22"/>
              </w:rPr>
              <w:t>10 Fields</w:t>
            </w:r>
          </w:p>
        </w:tc>
        <w:tc>
          <w:tcPr>
            <w:tcW w:w="1793" w:type="dxa"/>
          </w:tcPr>
          <w:p>
            <w:pPr>
              <w:pStyle w:val="TableParagraph"/>
              <w:spacing w:line="249" w:lineRule="exact"/>
              <w:rPr>
                <w:rFonts w:ascii="Calibri"/>
                <w:sz w:val="22"/>
              </w:rPr>
            </w:pPr>
            <w:r>
              <w:rPr>
                <w:rFonts w:ascii="Calibri"/>
                <w:w w:val="100"/>
                <w:sz w:val="22"/>
              </w:rPr>
              <w:t>0</w:t>
            </w:r>
          </w:p>
        </w:tc>
      </w:tr>
      <w:tr>
        <w:trPr>
          <w:trHeight w:val="328" w:hRule="atLeast"/>
        </w:trPr>
        <w:tc>
          <w:tcPr>
            <w:tcW w:w="3401" w:type="dxa"/>
          </w:tcPr>
          <w:p>
            <w:pPr>
              <w:pStyle w:val="TableParagraph"/>
              <w:spacing w:line="249" w:lineRule="exact"/>
              <w:rPr>
                <w:sz w:val="22"/>
              </w:rPr>
            </w:pPr>
            <w:r>
              <w:rPr>
                <w:sz w:val="22"/>
              </w:rPr>
              <w:t>Youth Baseball Practice Fields</w:t>
            </w:r>
          </w:p>
        </w:tc>
        <w:tc>
          <w:tcPr>
            <w:tcW w:w="1944" w:type="dxa"/>
          </w:tcPr>
          <w:p>
            <w:pPr>
              <w:pStyle w:val="TableParagraph"/>
              <w:spacing w:line="249" w:lineRule="exact"/>
              <w:rPr>
                <w:rFonts w:ascii="Calibri"/>
                <w:sz w:val="22"/>
              </w:rPr>
            </w:pPr>
            <w:r>
              <w:rPr>
                <w:rFonts w:ascii="Calibri"/>
                <w:sz w:val="22"/>
              </w:rPr>
              <w:t>12 Fields</w:t>
            </w:r>
          </w:p>
        </w:tc>
        <w:tc>
          <w:tcPr>
            <w:tcW w:w="2105" w:type="dxa"/>
          </w:tcPr>
          <w:p>
            <w:pPr>
              <w:pStyle w:val="TableParagraph"/>
              <w:spacing w:line="249" w:lineRule="exact"/>
              <w:rPr>
                <w:rFonts w:ascii="Calibri"/>
                <w:sz w:val="22"/>
              </w:rPr>
            </w:pPr>
            <w:r>
              <w:rPr>
                <w:rFonts w:ascii="Calibri"/>
                <w:sz w:val="22"/>
              </w:rPr>
              <w:t>18 Fields</w:t>
            </w:r>
          </w:p>
        </w:tc>
        <w:tc>
          <w:tcPr>
            <w:tcW w:w="1793" w:type="dxa"/>
          </w:tcPr>
          <w:p>
            <w:pPr>
              <w:pStyle w:val="TableParagraph"/>
              <w:spacing w:line="249" w:lineRule="exact"/>
              <w:rPr>
                <w:rFonts w:ascii="Calibri"/>
                <w:sz w:val="22"/>
              </w:rPr>
            </w:pPr>
            <w:r>
              <w:rPr>
                <w:rFonts w:ascii="Calibri"/>
                <w:sz w:val="22"/>
              </w:rPr>
              <w:t>6 Fields</w:t>
            </w:r>
          </w:p>
        </w:tc>
      </w:tr>
      <w:tr>
        <w:trPr>
          <w:trHeight w:val="328" w:hRule="atLeast"/>
        </w:trPr>
        <w:tc>
          <w:tcPr>
            <w:tcW w:w="3401" w:type="dxa"/>
          </w:tcPr>
          <w:p>
            <w:pPr>
              <w:pStyle w:val="TableParagraph"/>
              <w:spacing w:line="249" w:lineRule="exact"/>
              <w:rPr>
                <w:sz w:val="22"/>
              </w:rPr>
            </w:pPr>
            <w:r>
              <w:rPr>
                <w:sz w:val="22"/>
              </w:rPr>
              <w:t>Youth Softball Game Fields</w:t>
            </w:r>
          </w:p>
        </w:tc>
        <w:tc>
          <w:tcPr>
            <w:tcW w:w="1944" w:type="dxa"/>
          </w:tcPr>
          <w:p>
            <w:pPr>
              <w:pStyle w:val="TableParagraph"/>
              <w:spacing w:line="249" w:lineRule="exact"/>
              <w:rPr>
                <w:rFonts w:ascii="Calibri"/>
                <w:sz w:val="22"/>
              </w:rPr>
            </w:pPr>
            <w:r>
              <w:rPr>
                <w:rFonts w:ascii="Calibri"/>
                <w:sz w:val="22"/>
              </w:rPr>
              <w:t>5 Fields</w:t>
            </w:r>
          </w:p>
        </w:tc>
        <w:tc>
          <w:tcPr>
            <w:tcW w:w="2105" w:type="dxa"/>
          </w:tcPr>
          <w:p>
            <w:pPr>
              <w:pStyle w:val="TableParagraph"/>
              <w:spacing w:line="249" w:lineRule="exact"/>
              <w:rPr>
                <w:rFonts w:ascii="Calibri"/>
                <w:sz w:val="22"/>
              </w:rPr>
            </w:pPr>
            <w:r>
              <w:rPr>
                <w:rFonts w:ascii="Calibri"/>
                <w:sz w:val="22"/>
              </w:rPr>
              <w:t>6 Fields</w:t>
            </w:r>
          </w:p>
        </w:tc>
        <w:tc>
          <w:tcPr>
            <w:tcW w:w="1793" w:type="dxa"/>
          </w:tcPr>
          <w:p>
            <w:pPr>
              <w:pStyle w:val="TableParagraph"/>
              <w:spacing w:line="249" w:lineRule="exact"/>
              <w:rPr>
                <w:rFonts w:ascii="Calibri"/>
                <w:sz w:val="22"/>
              </w:rPr>
            </w:pPr>
            <w:r>
              <w:rPr>
                <w:rFonts w:ascii="Calibri"/>
                <w:sz w:val="22"/>
              </w:rPr>
              <w:t>2 Fields</w:t>
            </w:r>
          </w:p>
        </w:tc>
      </w:tr>
      <w:tr>
        <w:trPr>
          <w:trHeight w:val="328" w:hRule="atLeast"/>
        </w:trPr>
        <w:tc>
          <w:tcPr>
            <w:tcW w:w="3401" w:type="dxa"/>
          </w:tcPr>
          <w:p>
            <w:pPr>
              <w:pStyle w:val="TableParagraph"/>
              <w:spacing w:line="249" w:lineRule="exact"/>
              <w:rPr>
                <w:sz w:val="22"/>
              </w:rPr>
            </w:pPr>
            <w:r>
              <w:rPr>
                <w:sz w:val="22"/>
              </w:rPr>
              <w:t>Youth Softball Practice Fields</w:t>
            </w:r>
          </w:p>
        </w:tc>
        <w:tc>
          <w:tcPr>
            <w:tcW w:w="1944" w:type="dxa"/>
          </w:tcPr>
          <w:p>
            <w:pPr>
              <w:pStyle w:val="TableParagraph"/>
              <w:spacing w:line="249" w:lineRule="exact"/>
              <w:rPr>
                <w:rFonts w:ascii="Calibri"/>
                <w:sz w:val="22"/>
              </w:rPr>
            </w:pPr>
            <w:r>
              <w:rPr>
                <w:rFonts w:ascii="Calibri"/>
                <w:sz w:val="22"/>
              </w:rPr>
              <w:t>10 Fields</w:t>
            </w:r>
          </w:p>
        </w:tc>
        <w:tc>
          <w:tcPr>
            <w:tcW w:w="2105" w:type="dxa"/>
          </w:tcPr>
          <w:p>
            <w:pPr>
              <w:pStyle w:val="TableParagraph"/>
              <w:spacing w:line="249" w:lineRule="exact"/>
              <w:rPr>
                <w:rFonts w:ascii="Calibri"/>
                <w:sz w:val="22"/>
              </w:rPr>
            </w:pPr>
            <w:r>
              <w:rPr>
                <w:rFonts w:ascii="Calibri"/>
                <w:sz w:val="22"/>
              </w:rPr>
              <w:t>16 Fields</w:t>
            </w:r>
          </w:p>
        </w:tc>
        <w:tc>
          <w:tcPr>
            <w:tcW w:w="1793" w:type="dxa"/>
          </w:tcPr>
          <w:p>
            <w:pPr>
              <w:pStyle w:val="TableParagraph"/>
              <w:spacing w:line="249" w:lineRule="exact"/>
              <w:rPr>
                <w:rFonts w:ascii="Calibri"/>
                <w:sz w:val="22"/>
              </w:rPr>
            </w:pPr>
            <w:r>
              <w:rPr>
                <w:rFonts w:ascii="Calibri"/>
                <w:sz w:val="22"/>
              </w:rPr>
              <w:t>6 Fields</w:t>
            </w:r>
          </w:p>
        </w:tc>
      </w:tr>
      <w:tr>
        <w:trPr>
          <w:trHeight w:val="328" w:hRule="atLeast"/>
        </w:trPr>
        <w:tc>
          <w:tcPr>
            <w:tcW w:w="3401" w:type="dxa"/>
          </w:tcPr>
          <w:p>
            <w:pPr>
              <w:pStyle w:val="TableParagraph"/>
              <w:spacing w:line="249" w:lineRule="exact"/>
              <w:rPr>
                <w:sz w:val="22"/>
              </w:rPr>
            </w:pPr>
            <w:r>
              <w:rPr>
                <w:sz w:val="22"/>
              </w:rPr>
              <w:t>Adult Softball Fields</w:t>
            </w:r>
          </w:p>
        </w:tc>
        <w:tc>
          <w:tcPr>
            <w:tcW w:w="1944" w:type="dxa"/>
          </w:tcPr>
          <w:p>
            <w:pPr>
              <w:pStyle w:val="TableParagraph"/>
              <w:spacing w:line="249" w:lineRule="exact"/>
              <w:rPr>
                <w:rFonts w:ascii="Calibri"/>
                <w:sz w:val="22"/>
              </w:rPr>
            </w:pPr>
            <w:r>
              <w:rPr>
                <w:rFonts w:ascii="Calibri"/>
                <w:sz w:val="22"/>
              </w:rPr>
              <w:t>4 Fields</w:t>
            </w:r>
          </w:p>
        </w:tc>
        <w:tc>
          <w:tcPr>
            <w:tcW w:w="2105" w:type="dxa"/>
          </w:tcPr>
          <w:p>
            <w:pPr>
              <w:pStyle w:val="TableParagraph"/>
              <w:spacing w:line="249" w:lineRule="exact"/>
              <w:rPr>
                <w:rFonts w:ascii="Calibri"/>
                <w:sz w:val="22"/>
              </w:rPr>
            </w:pPr>
            <w:r>
              <w:rPr>
                <w:rFonts w:ascii="Calibri"/>
                <w:sz w:val="22"/>
              </w:rPr>
              <w:t>6 Fields</w:t>
            </w:r>
          </w:p>
        </w:tc>
        <w:tc>
          <w:tcPr>
            <w:tcW w:w="1793" w:type="dxa"/>
          </w:tcPr>
          <w:p>
            <w:pPr>
              <w:pStyle w:val="TableParagraph"/>
              <w:spacing w:line="249" w:lineRule="exact"/>
              <w:rPr>
                <w:rFonts w:ascii="Calibri"/>
                <w:sz w:val="22"/>
              </w:rPr>
            </w:pPr>
            <w:r>
              <w:rPr>
                <w:rFonts w:ascii="Calibri"/>
                <w:sz w:val="22"/>
              </w:rPr>
              <w:t>2 Fields</w:t>
            </w:r>
          </w:p>
        </w:tc>
      </w:tr>
      <w:tr>
        <w:trPr>
          <w:trHeight w:val="328" w:hRule="atLeast"/>
        </w:trPr>
        <w:tc>
          <w:tcPr>
            <w:tcW w:w="3401" w:type="dxa"/>
          </w:tcPr>
          <w:p>
            <w:pPr>
              <w:pStyle w:val="TableParagraph"/>
              <w:spacing w:line="249" w:lineRule="exact"/>
              <w:rPr>
                <w:sz w:val="22"/>
              </w:rPr>
            </w:pPr>
            <w:r>
              <w:rPr>
                <w:sz w:val="22"/>
              </w:rPr>
              <w:t>Indoor Basketball Practice Courts</w:t>
            </w:r>
          </w:p>
        </w:tc>
        <w:tc>
          <w:tcPr>
            <w:tcW w:w="1944" w:type="dxa"/>
          </w:tcPr>
          <w:p>
            <w:pPr>
              <w:pStyle w:val="TableParagraph"/>
              <w:spacing w:line="249" w:lineRule="exact"/>
              <w:rPr>
                <w:rFonts w:ascii="Calibri"/>
                <w:sz w:val="22"/>
              </w:rPr>
            </w:pPr>
            <w:r>
              <w:rPr>
                <w:rFonts w:ascii="Calibri"/>
                <w:sz w:val="22"/>
              </w:rPr>
              <w:t>7 Courts</w:t>
            </w:r>
          </w:p>
        </w:tc>
        <w:tc>
          <w:tcPr>
            <w:tcW w:w="2105" w:type="dxa"/>
          </w:tcPr>
          <w:p>
            <w:pPr>
              <w:pStyle w:val="TableParagraph"/>
              <w:spacing w:line="249" w:lineRule="exact"/>
              <w:rPr>
                <w:rFonts w:ascii="Calibri"/>
                <w:sz w:val="22"/>
              </w:rPr>
            </w:pPr>
            <w:r>
              <w:rPr>
                <w:rFonts w:ascii="Calibri"/>
                <w:sz w:val="22"/>
              </w:rPr>
              <w:t>16 Courts</w:t>
            </w:r>
          </w:p>
        </w:tc>
        <w:tc>
          <w:tcPr>
            <w:tcW w:w="1793" w:type="dxa"/>
          </w:tcPr>
          <w:p>
            <w:pPr>
              <w:pStyle w:val="TableParagraph"/>
              <w:spacing w:line="249" w:lineRule="exact"/>
              <w:rPr>
                <w:rFonts w:ascii="Calibri"/>
                <w:sz w:val="22"/>
              </w:rPr>
            </w:pPr>
            <w:r>
              <w:rPr>
                <w:rFonts w:ascii="Calibri"/>
                <w:sz w:val="22"/>
              </w:rPr>
              <w:t>9 Courts</w:t>
            </w:r>
          </w:p>
        </w:tc>
      </w:tr>
      <w:tr>
        <w:trPr>
          <w:trHeight w:val="328" w:hRule="atLeast"/>
        </w:trPr>
        <w:tc>
          <w:tcPr>
            <w:tcW w:w="3401" w:type="dxa"/>
          </w:tcPr>
          <w:p>
            <w:pPr>
              <w:pStyle w:val="TableParagraph"/>
              <w:spacing w:line="249" w:lineRule="exact"/>
              <w:rPr>
                <w:sz w:val="22"/>
              </w:rPr>
            </w:pPr>
            <w:r>
              <w:rPr>
                <w:sz w:val="22"/>
              </w:rPr>
              <w:t>Indoor Basketball Game Courts</w:t>
            </w:r>
          </w:p>
        </w:tc>
        <w:tc>
          <w:tcPr>
            <w:tcW w:w="1944" w:type="dxa"/>
          </w:tcPr>
          <w:p>
            <w:pPr>
              <w:pStyle w:val="TableParagraph"/>
              <w:spacing w:line="249" w:lineRule="exact"/>
              <w:rPr>
                <w:rFonts w:ascii="Calibri"/>
                <w:sz w:val="22"/>
              </w:rPr>
            </w:pPr>
            <w:r>
              <w:rPr>
                <w:rFonts w:ascii="Calibri"/>
                <w:sz w:val="22"/>
              </w:rPr>
              <w:t>5 Courts</w:t>
            </w:r>
          </w:p>
        </w:tc>
        <w:tc>
          <w:tcPr>
            <w:tcW w:w="2105" w:type="dxa"/>
          </w:tcPr>
          <w:p>
            <w:pPr>
              <w:pStyle w:val="TableParagraph"/>
              <w:spacing w:line="249" w:lineRule="exact"/>
              <w:rPr>
                <w:rFonts w:ascii="Calibri"/>
                <w:sz w:val="22"/>
              </w:rPr>
            </w:pPr>
            <w:r>
              <w:rPr>
                <w:rFonts w:ascii="Calibri"/>
                <w:sz w:val="22"/>
              </w:rPr>
              <w:t>7 Courts</w:t>
            </w:r>
          </w:p>
        </w:tc>
        <w:tc>
          <w:tcPr>
            <w:tcW w:w="1793" w:type="dxa"/>
          </w:tcPr>
          <w:p>
            <w:pPr>
              <w:pStyle w:val="TableParagraph"/>
              <w:spacing w:line="249" w:lineRule="exact"/>
              <w:rPr>
                <w:rFonts w:ascii="Calibri"/>
                <w:sz w:val="22"/>
              </w:rPr>
            </w:pPr>
            <w:r>
              <w:rPr>
                <w:rFonts w:ascii="Calibri"/>
                <w:sz w:val="22"/>
              </w:rPr>
              <w:t>2 Courts</w:t>
            </w:r>
          </w:p>
        </w:tc>
      </w:tr>
      <w:tr>
        <w:trPr>
          <w:trHeight w:val="328" w:hRule="atLeast"/>
        </w:trPr>
        <w:tc>
          <w:tcPr>
            <w:tcW w:w="3401" w:type="dxa"/>
          </w:tcPr>
          <w:p>
            <w:pPr>
              <w:pStyle w:val="TableParagraph"/>
              <w:spacing w:line="246" w:lineRule="exact" w:before="62"/>
              <w:rPr>
                <w:sz w:val="22"/>
              </w:rPr>
            </w:pPr>
            <w:r>
              <w:rPr>
                <w:sz w:val="22"/>
              </w:rPr>
              <w:t>Indoor Volleyball Courts</w:t>
            </w:r>
          </w:p>
        </w:tc>
        <w:tc>
          <w:tcPr>
            <w:tcW w:w="1944" w:type="dxa"/>
          </w:tcPr>
          <w:p>
            <w:pPr>
              <w:pStyle w:val="TableParagraph"/>
              <w:spacing w:line="249" w:lineRule="exact"/>
              <w:rPr>
                <w:rFonts w:ascii="Calibri"/>
                <w:sz w:val="22"/>
              </w:rPr>
            </w:pPr>
            <w:r>
              <w:rPr>
                <w:rFonts w:ascii="Calibri"/>
                <w:sz w:val="22"/>
              </w:rPr>
              <w:t>21 Courts</w:t>
            </w:r>
          </w:p>
        </w:tc>
        <w:tc>
          <w:tcPr>
            <w:tcW w:w="2105" w:type="dxa"/>
          </w:tcPr>
          <w:p>
            <w:pPr>
              <w:pStyle w:val="TableParagraph"/>
              <w:spacing w:line="249" w:lineRule="exact"/>
              <w:rPr>
                <w:rFonts w:ascii="Calibri"/>
                <w:sz w:val="22"/>
              </w:rPr>
            </w:pPr>
            <w:r>
              <w:rPr>
                <w:rFonts w:ascii="Calibri"/>
                <w:sz w:val="22"/>
              </w:rPr>
              <w:t>14 Courts</w:t>
            </w:r>
          </w:p>
        </w:tc>
        <w:tc>
          <w:tcPr>
            <w:tcW w:w="1793" w:type="dxa"/>
          </w:tcPr>
          <w:p>
            <w:pPr>
              <w:pStyle w:val="TableParagraph"/>
              <w:spacing w:line="249" w:lineRule="exact"/>
              <w:rPr>
                <w:rFonts w:ascii="Calibri"/>
                <w:sz w:val="22"/>
              </w:rPr>
            </w:pPr>
            <w:r>
              <w:rPr>
                <w:rFonts w:ascii="Calibri"/>
                <w:sz w:val="22"/>
              </w:rPr>
              <w:t>4 Courts</w:t>
            </w:r>
          </w:p>
        </w:tc>
      </w:tr>
      <w:tr>
        <w:trPr>
          <w:trHeight w:val="318" w:hRule="atLeast"/>
        </w:trPr>
        <w:tc>
          <w:tcPr>
            <w:tcW w:w="3401" w:type="dxa"/>
          </w:tcPr>
          <w:p>
            <w:pPr>
              <w:pStyle w:val="TableParagraph"/>
              <w:spacing w:line="237" w:lineRule="exact" w:before="62"/>
              <w:rPr>
                <w:sz w:val="22"/>
              </w:rPr>
            </w:pPr>
            <w:r>
              <w:rPr>
                <w:sz w:val="22"/>
              </w:rPr>
              <w:t>Youth Soccer Practice Fields</w:t>
            </w:r>
          </w:p>
        </w:tc>
        <w:tc>
          <w:tcPr>
            <w:tcW w:w="1944" w:type="dxa"/>
          </w:tcPr>
          <w:p>
            <w:pPr>
              <w:pStyle w:val="TableParagraph"/>
              <w:spacing w:line="237" w:lineRule="exact" w:before="62"/>
              <w:rPr>
                <w:sz w:val="22"/>
              </w:rPr>
            </w:pPr>
            <w:r>
              <w:rPr>
                <w:sz w:val="22"/>
              </w:rPr>
              <w:t>27 Fields</w:t>
            </w:r>
          </w:p>
        </w:tc>
        <w:tc>
          <w:tcPr>
            <w:tcW w:w="2105" w:type="dxa"/>
          </w:tcPr>
          <w:p>
            <w:pPr>
              <w:pStyle w:val="TableParagraph"/>
              <w:spacing w:line="237" w:lineRule="exact" w:before="62"/>
              <w:rPr>
                <w:sz w:val="22"/>
              </w:rPr>
            </w:pPr>
            <w:r>
              <w:rPr>
                <w:sz w:val="22"/>
              </w:rPr>
              <w:t>38 Fields</w:t>
            </w:r>
          </w:p>
        </w:tc>
        <w:tc>
          <w:tcPr>
            <w:tcW w:w="1793" w:type="dxa"/>
          </w:tcPr>
          <w:p>
            <w:pPr>
              <w:pStyle w:val="TableParagraph"/>
              <w:spacing w:line="237" w:lineRule="exact" w:before="62"/>
              <w:rPr>
                <w:sz w:val="22"/>
              </w:rPr>
            </w:pPr>
            <w:r>
              <w:rPr>
                <w:sz w:val="22"/>
              </w:rPr>
              <w:t>15 Fields</w:t>
            </w:r>
          </w:p>
        </w:tc>
      </w:tr>
      <w:tr>
        <w:trPr>
          <w:trHeight w:val="318" w:hRule="atLeast"/>
        </w:trPr>
        <w:tc>
          <w:tcPr>
            <w:tcW w:w="3401" w:type="dxa"/>
          </w:tcPr>
          <w:p>
            <w:pPr>
              <w:pStyle w:val="TableParagraph"/>
              <w:spacing w:line="239" w:lineRule="exact"/>
              <w:rPr>
                <w:sz w:val="22"/>
              </w:rPr>
            </w:pPr>
            <w:r>
              <w:rPr>
                <w:sz w:val="22"/>
              </w:rPr>
              <w:t>Youth Lacrosse Game Fields</w:t>
            </w:r>
          </w:p>
        </w:tc>
        <w:tc>
          <w:tcPr>
            <w:tcW w:w="1944" w:type="dxa"/>
          </w:tcPr>
          <w:p>
            <w:pPr>
              <w:pStyle w:val="TableParagraph"/>
              <w:spacing w:line="239" w:lineRule="exact"/>
              <w:rPr>
                <w:sz w:val="22"/>
              </w:rPr>
            </w:pPr>
            <w:r>
              <w:rPr>
                <w:sz w:val="22"/>
              </w:rPr>
              <w:t>0 Fields</w:t>
            </w:r>
          </w:p>
        </w:tc>
        <w:tc>
          <w:tcPr>
            <w:tcW w:w="2105" w:type="dxa"/>
          </w:tcPr>
          <w:p>
            <w:pPr>
              <w:pStyle w:val="TableParagraph"/>
              <w:spacing w:line="239" w:lineRule="exact"/>
              <w:rPr>
                <w:sz w:val="22"/>
              </w:rPr>
            </w:pPr>
            <w:r>
              <w:rPr>
                <w:sz w:val="22"/>
              </w:rPr>
              <w:t>8 Fields</w:t>
            </w:r>
          </w:p>
        </w:tc>
        <w:tc>
          <w:tcPr>
            <w:tcW w:w="1793" w:type="dxa"/>
          </w:tcPr>
          <w:p>
            <w:pPr>
              <w:pStyle w:val="TableParagraph"/>
              <w:spacing w:line="239" w:lineRule="exact"/>
              <w:rPr>
                <w:sz w:val="22"/>
              </w:rPr>
            </w:pPr>
            <w:r>
              <w:rPr>
                <w:sz w:val="22"/>
              </w:rPr>
              <w:t>4 Fields</w:t>
            </w:r>
          </w:p>
        </w:tc>
      </w:tr>
      <w:tr>
        <w:trPr>
          <w:trHeight w:val="316" w:hRule="atLeast"/>
        </w:trPr>
        <w:tc>
          <w:tcPr>
            <w:tcW w:w="3401" w:type="dxa"/>
          </w:tcPr>
          <w:p>
            <w:pPr>
              <w:pStyle w:val="TableParagraph"/>
              <w:spacing w:line="237" w:lineRule="exact"/>
              <w:rPr>
                <w:sz w:val="22"/>
              </w:rPr>
            </w:pPr>
            <w:r>
              <w:rPr>
                <w:sz w:val="22"/>
              </w:rPr>
              <w:t>Youth Lacrosse Practice Fields</w:t>
            </w:r>
          </w:p>
        </w:tc>
        <w:tc>
          <w:tcPr>
            <w:tcW w:w="1944" w:type="dxa"/>
          </w:tcPr>
          <w:p>
            <w:pPr>
              <w:pStyle w:val="TableParagraph"/>
              <w:spacing w:line="237" w:lineRule="exact"/>
              <w:rPr>
                <w:sz w:val="22"/>
              </w:rPr>
            </w:pPr>
            <w:r>
              <w:rPr>
                <w:sz w:val="22"/>
              </w:rPr>
              <w:t>0 Fields</w:t>
            </w:r>
          </w:p>
        </w:tc>
        <w:tc>
          <w:tcPr>
            <w:tcW w:w="2105" w:type="dxa"/>
          </w:tcPr>
          <w:p>
            <w:pPr>
              <w:pStyle w:val="TableParagraph"/>
              <w:spacing w:line="237" w:lineRule="exact"/>
              <w:rPr>
                <w:sz w:val="22"/>
              </w:rPr>
            </w:pPr>
            <w:r>
              <w:rPr>
                <w:sz w:val="22"/>
              </w:rPr>
              <w:t>2 Fields</w:t>
            </w:r>
          </w:p>
        </w:tc>
        <w:tc>
          <w:tcPr>
            <w:tcW w:w="1793" w:type="dxa"/>
          </w:tcPr>
          <w:p>
            <w:pPr>
              <w:pStyle w:val="TableParagraph"/>
              <w:spacing w:line="237" w:lineRule="exact"/>
              <w:rPr>
                <w:sz w:val="22"/>
              </w:rPr>
            </w:pPr>
            <w:r>
              <w:rPr>
                <w:sz w:val="22"/>
              </w:rPr>
              <w:t>2 Fields</w:t>
            </w:r>
          </w:p>
        </w:tc>
      </w:tr>
      <w:tr>
        <w:trPr>
          <w:trHeight w:val="318" w:hRule="atLeast"/>
        </w:trPr>
        <w:tc>
          <w:tcPr>
            <w:tcW w:w="3401" w:type="dxa"/>
          </w:tcPr>
          <w:p>
            <w:pPr>
              <w:pStyle w:val="TableParagraph"/>
              <w:spacing w:line="239" w:lineRule="exact"/>
              <w:rPr>
                <w:sz w:val="22"/>
              </w:rPr>
            </w:pPr>
            <w:r>
              <w:rPr>
                <w:sz w:val="22"/>
              </w:rPr>
              <w:t>Youth Football Game Fields</w:t>
            </w:r>
          </w:p>
        </w:tc>
        <w:tc>
          <w:tcPr>
            <w:tcW w:w="1944" w:type="dxa"/>
          </w:tcPr>
          <w:p>
            <w:pPr>
              <w:pStyle w:val="TableParagraph"/>
              <w:spacing w:line="239" w:lineRule="exact"/>
              <w:rPr>
                <w:sz w:val="22"/>
              </w:rPr>
            </w:pPr>
            <w:r>
              <w:rPr>
                <w:sz w:val="22"/>
              </w:rPr>
              <w:t>1 Field</w:t>
            </w:r>
          </w:p>
        </w:tc>
        <w:tc>
          <w:tcPr>
            <w:tcW w:w="2105" w:type="dxa"/>
          </w:tcPr>
          <w:p>
            <w:pPr>
              <w:pStyle w:val="TableParagraph"/>
              <w:spacing w:line="239" w:lineRule="exact"/>
              <w:rPr>
                <w:sz w:val="22"/>
              </w:rPr>
            </w:pPr>
            <w:r>
              <w:rPr>
                <w:sz w:val="22"/>
              </w:rPr>
              <w:t>3 Fields</w:t>
            </w:r>
          </w:p>
        </w:tc>
        <w:tc>
          <w:tcPr>
            <w:tcW w:w="1793" w:type="dxa"/>
          </w:tcPr>
          <w:p>
            <w:pPr>
              <w:pStyle w:val="TableParagraph"/>
              <w:spacing w:line="239" w:lineRule="exact"/>
              <w:rPr>
                <w:sz w:val="22"/>
              </w:rPr>
            </w:pPr>
            <w:r>
              <w:rPr>
                <w:sz w:val="22"/>
              </w:rPr>
              <w:t>2 Fields</w:t>
            </w:r>
          </w:p>
        </w:tc>
      </w:tr>
      <w:tr>
        <w:trPr>
          <w:trHeight w:val="318" w:hRule="atLeast"/>
        </w:trPr>
        <w:tc>
          <w:tcPr>
            <w:tcW w:w="3401" w:type="dxa"/>
          </w:tcPr>
          <w:p>
            <w:pPr>
              <w:pStyle w:val="TableParagraph"/>
              <w:spacing w:line="239" w:lineRule="exact"/>
              <w:rPr>
                <w:sz w:val="22"/>
              </w:rPr>
            </w:pPr>
            <w:r>
              <w:rPr>
                <w:sz w:val="22"/>
              </w:rPr>
              <w:t>Youth Football Practice Fields</w:t>
            </w:r>
          </w:p>
        </w:tc>
        <w:tc>
          <w:tcPr>
            <w:tcW w:w="1944" w:type="dxa"/>
          </w:tcPr>
          <w:p>
            <w:pPr>
              <w:pStyle w:val="TableParagraph"/>
              <w:spacing w:line="239" w:lineRule="exact"/>
              <w:rPr>
                <w:sz w:val="22"/>
              </w:rPr>
            </w:pPr>
            <w:r>
              <w:rPr>
                <w:sz w:val="22"/>
              </w:rPr>
              <w:t>0 Field</w:t>
            </w:r>
          </w:p>
        </w:tc>
        <w:tc>
          <w:tcPr>
            <w:tcW w:w="2105" w:type="dxa"/>
          </w:tcPr>
          <w:p>
            <w:pPr>
              <w:pStyle w:val="TableParagraph"/>
              <w:spacing w:line="239" w:lineRule="exact"/>
              <w:rPr>
                <w:sz w:val="22"/>
              </w:rPr>
            </w:pPr>
            <w:r>
              <w:rPr>
                <w:sz w:val="22"/>
              </w:rPr>
              <w:t>0 Fields</w:t>
            </w:r>
          </w:p>
        </w:tc>
        <w:tc>
          <w:tcPr>
            <w:tcW w:w="1793" w:type="dxa"/>
          </w:tcPr>
          <w:p>
            <w:pPr>
              <w:pStyle w:val="TableParagraph"/>
              <w:spacing w:line="239" w:lineRule="exact"/>
              <w:rPr>
                <w:sz w:val="22"/>
              </w:rPr>
            </w:pPr>
            <w:r>
              <w:rPr>
                <w:sz w:val="22"/>
              </w:rPr>
              <w:t>0 Fields</w:t>
            </w:r>
          </w:p>
        </w:tc>
      </w:tr>
      <w:tr>
        <w:trPr>
          <w:trHeight w:val="316" w:hRule="atLeast"/>
        </w:trPr>
        <w:tc>
          <w:tcPr>
            <w:tcW w:w="3401" w:type="dxa"/>
          </w:tcPr>
          <w:p>
            <w:pPr>
              <w:pStyle w:val="TableParagraph"/>
              <w:spacing w:line="237" w:lineRule="exact"/>
              <w:rPr>
                <w:sz w:val="22"/>
              </w:rPr>
            </w:pPr>
            <w:r>
              <w:rPr>
                <w:sz w:val="22"/>
              </w:rPr>
              <w:t>Golf Driving Ranges</w:t>
            </w:r>
          </w:p>
        </w:tc>
        <w:tc>
          <w:tcPr>
            <w:tcW w:w="1944" w:type="dxa"/>
          </w:tcPr>
          <w:p>
            <w:pPr>
              <w:pStyle w:val="TableParagraph"/>
              <w:spacing w:line="237" w:lineRule="exact"/>
              <w:rPr>
                <w:sz w:val="22"/>
              </w:rPr>
            </w:pPr>
            <w:r>
              <w:rPr>
                <w:sz w:val="22"/>
              </w:rPr>
              <w:t>1 Range</w:t>
            </w:r>
          </w:p>
        </w:tc>
        <w:tc>
          <w:tcPr>
            <w:tcW w:w="2105" w:type="dxa"/>
          </w:tcPr>
          <w:p>
            <w:pPr>
              <w:pStyle w:val="TableParagraph"/>
              <w:spacing w:line="237" w:lineRule="exact"/>
              <w:rPr>
                <w:sz w:val="22"/>
              </w:rPr>
            </w:pPr>
            <w:r>
              <w:rPr>
                <w:sz w:val="22"/>
              </w:rPr>
              <w:t>2 Ranges</w:t>
            </w:r>
          </w:p>
        </w:tc>
        <w:tc>
          <w:tcPr>
            <w:tcW w:w="1793" w:type="dxa"/>
          </w:tcPr>
          <w:p>
            <w:pPr>
              <w:pStyle w:val="TableParagraph"/>
              <w:spacing w:line="237" w:lineRule="exact"/>
              <w:rPr>
                <w:sz w:val="22"/>
              </w:rPr>
            </w:pPr>
            <w:r>
              <w:rPr>
                <w:sz w:val="22"/>
              </w:rPr>
              <w:t>1 Range</w:t>
            </w:r>
          </w:p>
        </w:tc>
      </w:tr>
      <w:tr>
        <w:trPr>
          <w:trHeight w:val="318" w:hRule="atLeast"/>
        </w:trPr>
        <w:tc>
          <w:tcPr>
            <w:tcW w:w="3401" w:type="dxa"/>
          </w:tcPr>
          <w:p>
            <w:pPr>
              <w:pStyle w:val="TableParagraph"/>
              <w:spacing w:line="239" w:lineRule="exact"/>
              <w:rPr>
                <w:sz w:val="22"/>
              </w:rPr>
            </w:pPr>
            <w:r>
              <w:rPr>
                <w:sz w:val="22"/>
              </w:rPr>
              <w:t>Golf, 18-Hole Courses</w:t>
            </w:r>
          </w:p>
        </w:tc>
        <w:tc>
          <w:tcPr>
            <w:tcW w:w="1944" w:type="dxa"/>
          </w:tcPr>
          <w:p>
            <w:pPr>
              <w:pStyle w:val="TableParagraph"/>
              <w:spacing w:line="239" w:lineRule="exact"/>
              <w:rPr>
                <w:sz w:val="22"/>
              </w:rPr>
            </w:pPr>
            <w:r>
              <w:rPr>
                <w:sz w:val="22"/>
              </w:rPr>
              <w:t>1 Course</w:t>
            </w:r>
          </w:p>
        </w:tc>
        <w:tc>
          <w:tcPr>
            <w:tcW w:w="2105" w:type="dxa"/>
          </w:tcPr>
          <w:p>
            <w:pPr>
              <w:pStyle w:val="TableParagraph"/>
              <w:spacing w:line="239" w:lineRule="exact"/>
              <w:rPr>
                <w:sz w:val="22"/>
              </w:rPr>
            </w:pPr>
            <w:r>
              <w:rPr>
                <w:sz w:val="22"/>
              </w:rPr>
              <w:t>2 Courses</w:t>
            </w:r>
          </w:p>
        </w:tc>
        <w:tc>
          <w:tcPr>
            <w:tcW w:w="1793" w:type="dxa"/>
          </w:tcPr>
          <w:p>
            <w:pPr>
              <w:pStyle w:val="TableParagraph"/>
              <w:spacing w:line="239" w:lineRule="exact"/>
              <w:rPr>
                <w:sz w:val="22"/>
              </w:rPr>
            </w:pPr>
            <w:r>
              <w:rPr>
                <w:sz w:val="22"/>
              </w:rPr>
              <w:t>1 Course</w:t>
            </w:r>
          </w:p>
        </w:tc>
      </w:tr>
      <w:tr>
        <w:trPr>
          <w:trHeight w:val="316" w:hRule="atLeast"/>
        </w:trPr>
        <w:tc>
          <w:tcPr>
            <w:tcW w:w="3401" w:type="dxa"/>
          </w:tcPr>
          <w:p>
            <w:pPr>
              <w:pStyle w:val="TableParagraph"/>
              <w:spacing w:line="237" w:lineRule="exact"/>
              <w:rPr>
                <w:sz w:val="22"/>
              </w:rPr>
            </w:pPr>
            <w:r>
              <w:rPr>
                <w:sz w:val="22"/>
              </w:rPr>
              <w:t>Archery Ranges</w:t>
            </w:r>
          </w:p>
        </w:tc>
        <w:tc>
          <w:tcPr>
            <w:tcW w:w="1944" w:type="dxa"/>
          </w:tcPr>
          <w:p>
            <w:pPr>
              <w:pStyle w:val="TableParagraph"/>
              <w:spacing w:line="237" w:lineRule="exact"/>
              <w:rPr>
                <w:sz w:val="22"/>
              </w:rPr>
            </w:pPr>
            <w:r>
              <w:rPr>
                <w:sz w:val="22"/>
              </w:rPr>
              <w:t>1 Course</w:t>
            </w:r>
          </w:p>
        </w:tc>
        <w:tc>
          <w:tcPr>
            <w:tcW w:w="2105" w:type="dxa"/>
          </w:tcPr>
          <w:p>
            <w:pPr>
              <w:pStyle w:val="TableParagraph"/>
              <w:spacing w:line="237" w:lineRule="exact"/>
              <w:rPr>
                <w:sz w:val="22"/>
              </w:rPr>
            </w:pPr>
            <w:r>
              <w:rPr>
                <w:sz w:val="22"/>
              </w:rPr>
              <w:t>2 Courses</w:t>
            </w:r>
          </w:p>
        </w:tc>
        <w:tc>
          <w:tcPr>
            <w:tcW w:w="1793" w:type="dxa"/>
          </w:tcPr>
          <w:p>
            <w:pPr>
              <w:pStyle w:val="TableParagraph"/>
              <w:spacing w:line="237" w:lineRule="exact"/>
              <w:rPr>
                <w:sz w:val="22"/>
              </w:rPr>
            </w:pPr>
            <w:r>
              <w:rPr>
                <w:sz w:val="22"/>
              </w:rPr>
              <w:t>1 Course</w:t>
            </w:r>
          </w:p>
        </w:tc>
      </w:tr>
      <w:tr>
        <w:trPr>
          <w:trHeight w:val="318" w:hRule="atLeast"/>
        </w:trPr>
        <w:tc>
          <w:tcPr>
            <w:tcW w:w="3401" w:type="dxa"/>
          </w:tcPr>
          <w:p>
            <w:pPr>
              <w:pStyle w:val="TableParagraph"/>
              <w:spacing w:line="237" w:lineRule="exact" w:before="62"/>
              <w:rPr>
                <w:sz w:val="22"/>
              </w:rPr>
            </w:pPr>
            <w:r>
              <w:rPr>
                <w:sz w:val="22"/>
              </w:rPr>
              <w:t>Skateboard Park</w:t>
            </w:r>
          </w:p>
        </w:tc>
        <w:tc>
          <w:tcPr>
            <w:tcW w:w="1944" w:type="dxa"/>
          </w:tcPr>
          <w:p>
            <w:pPr>
              <w:pStyle w:val="TableParagraph"/>
              <w:spacing w:line="237" w:lineRule="exact" w:before="62"/>
              <w:rPr>
                <w:sz w:val="22"/>
              </w:rPr>
            </w:pPr>
            <w:r>
              <w:rPr>
                <w:sz w:val="22"/>
              </w:rPr>
              <w:t>22,700 sf</w:t>
            </w:r>
          </w:p>
        </w:tc>
        <w:tc>
          <w:tcPr>
            <w:tcW w:w="2105" w:type="dxa"/>
          </w:tcPr>
          <w:p>
            <w:pPr>
              <w:pStyle w:val="TableParagraph"/>
              <w:spacing w:line="237" w:lineRule="exact" w:before="62"/>
              <w:rPr>
                <w:sz w:val="22"/>
              </w:rPr>
            </w:pPr>
            <w:r>
              <w:rPr>
                <w:sz w:val="22"/>
              </w:rPr>
              <w:t>30,000 sf</w:t>
            </w:r>
          </w:p>
        </w:tc>
        <w:tc>
          <w:tcPr>
            <w:tcW w:w="1793" w:type="dxa"/>
          </w:tcPr>
          <w:p>
            <w:pPr>
              <w:pStyle w:val="TableParagraph"/>
              <w:spacing w:line="237" w:lineRule="exact" w:before="62"/>
              <w:rPr>
                <w:sz w:val="22"/>
              </w:rPr>
            </w:pPr>
            <w:r>
              <w:rPr>
                <w:sz w:val="22"/>
              </w:rPr>
              <w:t>7,300 sf</w:t>
            </w:r>
          </w:p>
        </w:tc>
      </w:tr>
      <w:tr>
        <w:trPr>
          <w:trHeight w:val="328" w:hRule="atLeast"/>
        </w:trPr>
        <w:tc>
          <w:tcPr>
            <w:tcW w:w="3401" w:type="dxa"/>
          </w:tcPr>
          <w:p>
            <w:pPr>
              <w:pStyle w:val="TableParagraph"/>
              <w:spacing w:line="249" w:lineRule="exact"/>
              <w:rPr>
                <w:sz w:val="22"/>
              </w:rPr>
            </w:pPr>
            <w:r>
              <w:rPr>
                <w:sz w:val="22"/>
              </w:rPr>
              <w:t>Outdoor Tennis Courts</w:t>
            </w:r>
          </w:p>
        </w:tc>
        <w:tc>
          <w:tcPr>
            <w:tcW w:w="1944" w:type="dxa"/>
          </w:tcPr>
          <w:p>
            <w:pPr>
              <w:pStyle w:val="TableParagraph"/>
              <w:spacing w:line="249" w:lineRule="exact"/>
              <w:rPr>
                <w:rFonts w:ascii="Calibri"/>
                <w:sz w:val="22"/>
              </w:rPr>
            </w:pPr>
            <w:r>
              <w:rPr>
                <w:rFonts w:ascii="Calibri"/>
                <w:sz w:val="22"/>
              </w:rPr>
              <w:t>28 Courts</w:t>
            </w:r>
          </w:p>
        </w:tc>
        <w:tc>
          <w:tcPr>
            <w:tcW w:w="2105" w:type="dxa"/>
          </w:tcPr>
          <w:p>
            <w:pPr>
              <w:pStyle w:val="TableParagraph"/>
              <w:spacing w:line="249" w:lineRule="exact"/>
              <w:rPr>
                <w:rFonts w:ascii="Calibri"/>
                <w:sz w:val="22"/>
              </w:rPr>
            </w:pPr>
            <w:r>
              <w:rPr>
                <w:rFonts w:ascii="Calibri"/>
                <w:sz w:val="22"/>
              </w:rPr>
              <w:t>45 Courts</w:t>
            </w:r>
          </w:p>
        </w:tc>
        <w:tc>
          <w:tcPr>
            <w:tcW w:w="1793" w:type="dxa"/>
          </w:tcPr>
          <w:p>
            <w:pPr>
              <w:pStyle w:val="TableParagraph"/>
              <w:spacing w:line="249" w:lineRule="exact"/>
              <w:rPr>
                <w:rFonts w:ascii="Calibri"/>
                <w:sz w:val="22"/>
              </w:rPr>
            </w:pPr>
            <w:r>
              <w:rPr>
                <w:rFonts w:ascii="Calibri"/>
                <w:sz w:val="22"/>
              </w:rPr>
              <w:t>17 Courts</w:t>
            </w:r>
          </w:p>
        </w:tc>
      </w:tr>
      <w:tr>
        <w:trPr>
          <w:trHeight w:val="318" w:hRule="atLeast"/>
        </w:trPr>
        <w:tc>
          <w:tcPr>
            <w:tcW w:w="3401" w:type="dxa"/>
          </w:tcPr>
          <w:p>
            <w:pPr>
              <w:pStyle w:val="TableParagraph"/>
              <w:spacing w:line="239" w:lineRule="exact"/>
              <w:rPr>
                <w:sz w:val="22"/>
              </w:rPr>
            </w:pPr>
            <w:r>
              <w:rPr>
                <w:sz w:val="22"/>
              </w:rPr>
              <w:t>Indoor Swimming Pools</w:t>
            </w:r>
          </w:p>
        </w:tc>
        <w:tc>
          <w:tcPr>
            <w:tcW w:w="1944" w:type="dxa"/>
          </w:tcPr>
          <w:p>
            <w:pPr>
              <w:pStyle w:val="TableParagraph"/>
              <w:spacing w:line="239" w:lineRule="exact"/>
              <w:rPr>
                <w:sz w:val="22"/>
              </w:rPr>
            </w:pPr>
            <w:r>
              <w:rPr>
                <w:sz w:val="22"/>
              </w:rPr>
              <w:t>1 Pool</w:t>
            </w:r>
          </w:p>
        </w:tc>
        <w:tc>
          <w:tcPr>
            <w:tcW w:w="2105" w:type="dxa"/>
          </w:tcPr>
          <w:p>
            <w:pPr>
              <w:pStyle w:val="TableParagraph"/>
              <w:spacing w:line="239" w:lineRule="exact"/>
              <w:rPr>
                <w:sz w:val="22"/>
              </w:rPr>
            </w:pPr>
            <w:r>
              <w:rPr>
                <w:sz w:val="22"/>
              </w:rPr>
              <w:t>4 Pools</w:t>
            </w:r>
          </w:p>
        </w:tc>
        <w:tc>
          <w:tcPr>
            <w:tcW w:w="1793" w:type="dxa"/>
          </w:tcPr>
          <w:p>
            <w:pPr>
              <w:pStyle w:val="TableParagraph"/>
              <w:spacing w:line="239" w:lineRule="exact"/>
              <w:rPr>
                <w:sz w:val="22"/>
              </w:rPr>
            </w:pPr>
            <w:r>
              <w:rPr>
                <w:sz w:val="22"/>
              </w:rPr>
              <w:t>3 Pool</w:t>
            </w:r>
          </w:p>
        </w:tc>
      </w:tr>
    </w:tbl>
    <w:p>
      <w:pPr>
        <w:spacing w:before="59"/>
        <w:ind w:left="340" w:right="0" w:firstLine="0"/>
        <w:jc w:val="left"/>
        <w:rPr>
          <w:i/>
          <w:sz w:val="20"/>
        </w:rPr>
      </w:pPr>
      <w:r>
        <w:rPr>
          <w:i/>
          <w:sz w:val="20"/>
        </w:rPr>
        <w:t>(Based on a 2030 Population 70,000; Source: 2014-2019 Parks, Trails, Open Space and Facilities Master Plan)</w:t>
      </w:r>
    </w:p>
    <w:p>
      <w:pPr>
        <w:pStyle w:val="BodyText"/>
        <w:spacing w:before="1"/>
        <w:rPr>
          <w:i/>
          <w:sz w:val="17"/>
        </w:rPr>
      </w:pPr>
    </w:p>
    <w:p>
      <w:pPr>
        <w:spacing w:before="0"/>
        <w:ind w:left="120" w:right="0" w:firstLine="0"/>
        <w:jc w:val="left"/>
        <w:rPr>
          <w:b/>
          <w:sz w:val="24"/>
        </w:rPr>
      </w:pPr>
      <w:bookmarkStart w:name="RECOMMENDATIONS" w:id="280"/>
      <w:bookmarkEnd w:id="280"/>
      <w:r>
        <w:rPr/>
      </w:r>
      <w:r>
        <w:rPr>
          <w:b/>
          <w:sz w:val="24"/>
        </w:rPr>
        <w:t>RECOMMENDATIONS</w:t>
      </w:r>
    </w:p>
    <w:p>
      <w:pPr>
        <w:spacing w:before="119"/>
        <w:ind w:left="120" w:right="0" w:firstLine="0"/>
        <w:jc w:val="left"/>
        <w:rPr>
          <w:rFonts w:ascii="Arial"/>
          <w:b/>
          <w:sz w:val="20"/>
        </w:rPr>
      </w:pPr>
      <w:r>
        <w:rPr>
          <w:rFonts w:ascii="Arial"/>
          <w:b/>
          <w:sz w:val="20"/>
        </w:rPr>
        <w:t>Table CF-5: Parks, Trail, Recreation, and Open Space Financing</w:t>
      </w:r>
    </w:p>
    <w:p>
      <w:pPr>
        <w:pStyle w:val="BodyText"/>
        <w:spacing w:before="6"/>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58"/>
        <w:gridCol w:w="1680"/>
        <w:gridCol w:w="3322"/>
        <w:gridCol w:w="1683"/>
      </w:tblGrid>
      <w:tr>
        <w:trPr>
          <w:trHeight w:val="402" w:hRule="atLeast"/>
        </w:trPr>
        <w:tc>
          <w:tcPr>
            <w:tcW w:w="2558" w:type="dxa"/>
            <w:shd w:val="clear" w:color="auto" w:fill="B8CCE3"/>
          </w:tcPr>
          <w:p>
            <w:pPr>
              <w:pStyle w:val="TableParagraph"/>
              <w:spacing w:before="119"/>
              <w:rPr>
                <w:b/>
                <w:sz w:val="22"/>
              </w:rPr>
            </w:pPr>
            <w:r>
              <w:rPr>
                <w:b/>
                <w:sz w:val="22"/>
              </w:rPr>
              <w:t>Facilities</w:t>
            </w:r>
          </w:p>
        </w:tc>
        <w:tc>
          <w:tcPr>
            <w:tcW w:w="1680" w:type="dxa"/>
            <w:shd w:val="clear" w:color="auto" w:fill="B8CCE3"/>
          </w:tcPr>
          <w:p>
            <w:pPr>
              <w:pStyle w:val="TableParagraph"/>
              <w:spacing w:before="119"/>
              <w:ind w:left="108"/>
              <w:rPr>
                <w:b/>
                <w:sz w:val="22"/>
              </w:rPr>
            </w:pPr>
            <w:r>
              <w:rPr>
                <w:b/>
                <w:sz w:val="22"/>
              </w:rPr>
              <w:t>Total Cost</w:t>
            </w:r>
            <w:r>
              <w:rPr>
                <w:b/>
                <w:position w:val="5"/>
                <w:sz w:val="14"/>
              </w:rPr>
              <w:t>1 </w:t>
            </w:r>
            <w:r>
              <w:rPr>
                <w:b/>
                <w:sz w:val="22"/>
              </w:rPr>
              <w:t>($)</w:t>
            </w:r>
          </w:p>
        </w:tc>
        <w:tc>
          <w:tcPr>
            <w:tcW w:w="3322" w:type="dxa"/>
            <w:shd w:val="clear" w:color="auto" w:fill="B8CCE3"/>
          </w:tcPr>
          <w:p>
            <w:pPr>
              <w:pStyle w:val="TableParagraph"/>
              <w:spacing w:before="119"/>
              <w:ind w:left="108"/>
              <w:rPr>
                <w:b/>
                <w:sz w:val="22"/>
              </w:rPr>
            </w:pPr>
            <w:r>
              <w:rPr>
                <w:b/>
                <w:sz w:val="22"/>
              </w:rPr>
              <w:t>Funding Sources</w:t>
            </w:r>
          </w:p>
        </w:tc>
        <w:tc>
          <w:tcPr>
            <w:tcW w:w="1683" w:type="dxa"/>
            <w:shd w:val="clear" w:color="auto" w:fill="B8CCE3"/>
          </w:tcPr>
          <w:p>
            <w:pPr>
              <w:pStyle w:val="TableParagraph"/>
              <w:spacing w:before="119"/>
              <w:rPr>
                <w:b/>
                <w:sz w:val="22"/>
              </w:rPr>
            </w:pPr>
            <w:r>
              <w:rPr>
                <w:b/>
                <w:sz w:val="22"/>
              </w:rPr>
              <w:t>Time Frame</w:t>
            </w:r>
          </w:p>
        </w:tc>
      </w:tr>
      <w:tr>
        <w:trPr>
          <w:trHeight w:val="1271" w:hRule="atLeast"/>
        </w:trPr>
        <w:tc>
          <w:tcPr>
            <w:tcW w:w="2558" w:type="dxa"/>
          </w:tcPr>
          <w:p>
            <w:pPr>
              <w:pStyle w:val="TableParagraph"/>
              <w:spacing w:before="62"/>
              <w:rPr>
                <w:sz w:val="22"/>
              </w:rPr>
            </w:pPr>
            <w:r>
              <w:rPr>
                <w:sz w:val="22"/>
              </w:rPr>
              <w:t>Badger Mountain Park</w:t>
            </w:r>
          </w:p>
        </w:tc>
        <w:tc>
          <w:tcPr>
            <w:tcW w:w="1680" w:type="dxa"/>
          </w:tcPr>
          <w:p>
            <w:pPr>
              <w:pStyle w:val="TableParagraph"/>
              <w:spacing w:before="62"/>
              <w:ind w:left="108"/>
              <w:rPr>
                <w:sz w:val="22"/>
              </w:rPr>
            </w:pPr>
            <w:r>
              <w:rPr>
                <w:sz w:val="22"/>
              </w:rPr>
              <w:t>1,950,000</w:t>
            </w:r>
          </w:p>
        </w:tc>
        <w:tc>
          <w:tcPr>
            <w:tcW w:w="3322" w:type="dxa"/>
          </w:tcPr>
          <w:p>
            <w:pPr>
              <w:pStyle w:val="TableParagraph"/>
              <w:spacing w:line="295" w:lineRule="auto" w:before="62"/>
              <w:ind w:left="108" w:right="1409"/>
              <w:rPr>
                <w:sz w:val="22"/>
              </w:rPr>
            </w:pPr>
            <w:r>
              <w:rPr>
                <w:sz w:val="22"/>
              </w:rPr>
              <w:t>Park Reserve Fund Park Districts 5 RCO Grant</w:t>
            </w:r>
          </w:p>
          <w:p>
            <w:pPr>
              <w:pStyle w:val="TableParagraph"/>
              <w:spacing w:line="237" w:lineRule="exact" w:before="1"/>
              <w:ind w:left="108"/>
              <w:rPr>
                <w:sz w:val="22"/>
              </w:rPr>
            </w:pPr>
            <w:r>
              <w:rPr>
                <w:sz w:val="22"/>
              </w:rPr>
              <w:t>General Fund</w:t>
            </w:r>
          </w:p>
        </w:tc>
        <w:tc>
          <w:tcPr>
            <w:tcW w:w="1683" w:type="dxa"/>
          </w:tcPr>
          <w:p>
            <w:pPr>
              <w:pStyle w:val="TableParagraph"/>
              <w:spacing w:before="62"/>
              <w:rPr>
                <w:sz w:val="22"/>
              </w:rPr>
            </w:pPr>
            <w:r>
              <w:rPr>
                <w:sz w:val="22"/>
              </w:rPr>
              <w:t>2019 - 2020</w:t>
            </w:r>
          </w:p>
        </w:tc>
      </w:tr>
      <w:tr>
        <w:trPr>
          <w:trHeight w:val="954" w:hRule="atLeast"/>
        </w:trPr>
        <w:tc>
          <w:tcPr>
            <w:tcW w:w="2558" w:type="dxa"/>
          </w:tcPr>
          <w:p>
            <w:pPr>
              <w:pStyle w:val="TableParagraph"/>
              <w:spacing w:before="62"/>
              <w:ind w:right="659"/>
              <w:rPr>
                <w:sz w:val="22"/>
              </w:rPr>
            </w:pPr>
            <w:r>
              <w:rPr>
                <w:sz w:val="22"/>
              </w:rPr>
              <w:t>Columbia Playfield Improvement</w:t>
            </w:r>
          </w:p>
        </w:tc>
        <w:tc>
          <w:tcPr>
            <w:tcW w:w="1680" w:type="dxa"/>
          </w:tcPr>
          <w:p>
            <w:pPr>
              <w:pStyle w:val="TableParagraph"/>
              <w:spacing w:before="62"/>
              <w:ind w:left="108"/>
              <w:rPr>
                <w:sz w:val="22"/>
              </w:rPr>
            </w:pPr>
            <w:r>
              <w:rPr>
                <w:sz w:val="22"/>
              </w:rPr>
              <w:t>1,096,109</w:t>
            </w:r>
          </w:p>
        </w:tc>
        <w:tc>
          <w:tcPr>
            <w:tcW w:w="3322" w:type="dxa"/>
          </w:tcPr>
          <w:p>
            <w:pPr>
              <w:pStyle w:val="TableParagraph"/>
              <w:spacing w:line="295" w:lineRule="auto" w:before="62"/>
              <w:ind w:left="108" w:right="1510" w:hanging="1"/>
              <w:rPr>
                <w:sz w:val="22"/>
              </w:rPr>
            </w:pPr>
            <w:r>
              <w:rPr>
                <w:sz w:val="22"/>
              </w:rPr>
              <w:t>Right-of-way Sale Lodging tax Grant</w:t>
            </w:r>
          </w:p>
          <w:p>
            <w:pPr>
              <w:pStyle w:val="TableParagraph"/>
              <w:spacing w:line="237" w:lineRule="exact" w:before="1"/>
              <w:ind w:left="108"/>
              <w:rPr>
                <w:sz w:val="22"/>
              </w:rPr>
            </w:pPr>
            <w:r>
              <w:rPr>
                <w:sz w:val="22"/>
              </w:rPr>
              <w:t>Re Excise tax 1st ¼%</w:t>
            </w:r>
          </w:p>
        </w:tc>
        <w:tc>
          <w:tcPr>
            <w:tcW w:w="1683" w:type="dxa"/>
          </w:tcPr>
          <w:p>
            <w:pPr>
              <w:pStyle w:val="TableParagraph"/>
              <w:spacing w:before="62"/>
              <w:rPr>
                <w:sz w:val="22"/>
              </w:rPr>
            </w:pPr>
            <w:r>
              <w:rPr>
                <w:sz w:val="22"/>
              </w:rPr>
              <w:t>2018</w:t>
            </w:r>
          </w:p>
        </w:tc>
      </w:tr>
      <w:tr>
        <w:trPr>
          <w:trHeight w:val="575" w:hRule="atLeast"/>
        </w:trPr>
        <w:tc>
          <w:tcPr>
            <w:tcW w:w="2558" w:type="dxa"/>
          </w:tcPr>
          <w:p>
            <w:pPr>
              <w:pStyle w:val="TableParagraph"/>
              <w:spacing w:line="260" w:lineRule="atLeast" w:before="57"/>
              <w:ind w:right="711"/>
              <w:rPr>
                <w:sz w:val="22"/>
              </w:rPr>
            </w:pPr>
            <w:r>
              <w:rPr>
                <w:sz w:val="22"/>
              </w:rPr>
              <w:t>Gateway Entrance Improvement</w:t>
            </w:r>
          </w:p>
        </w:tc>
        <w:tc>
          <w:tcPr>
            <w:tcW w:w="1680" w:type="dxa"/>
          </w:tcPr>
          <w:p>
            <w:pPr>
              <w:pStyle w:val="TableParagraph"/>
              <w:ind w:left="108"/>
              <w:rPr>
                <w:sz w:val="22"/>
              </w:rPr>
            </w:pPr>
            <w:r>
              <w:rPr>
                <w:sz w:val="22"/>
              </w:rPr>
              <w:t>361,000</w:t>
            </w:r>
          </w:p>
        </w:tc>
        <w:tc>
          <w:tcPr>
            <w:tcW w:w="3322" w:type="dxa"/>
          </w:tcPr>
          <w:p>
            <w:pPr>
              <w:pStyle w:val="TableParagraph"/>
              <w:ind w:left="108"/>
              <w:rPr>
                <w:sz w:val="22"/>
              </w:rPr>
            </w:pPr>
            <w:r>
              <w:rPr>
                <w:sz w:val="22"/>
              </w:rPr>
              <w:t>Re Excise tax 1st ¼%</w:t>
            </w:r>
          </w:p>
        </w:tc>
        <w:tc>
          <w:tcPr>
            <w:tcW w:w="1683" w:type="dxa"/>
          </w:tcPr>
          <w:p>
            <w:pPr>
              <w:pStyle w:val="TableParagraph"/>
              <w:rPr>
                <w:sz w:val="22"/>
              </w:rPr>
            </w:pPr>
            <w:r>
              <w:rPr>
                <w:sz w:val="22"/>
              </w:rPr>
              <w:t>2012 - 2017</w:t>
            </w:r>
          </w:p>
        </w:tc>
      </w:tr>
      <w:tr>
        <w:trPr>
          <w:trHeight w:val="634" w:hRule="atLeast"/>
        </w:trPr>
        <w:tc>
          <w:tcPr>
            <w:tcW w:w="2558" w:type="dxa"/>
          </w:tcPr>
          <w:p>
            <w:pPr>
              <w:pStyle w:val="TableParagraph"/>
              <w:spacing w:before="58"/>
              <w:rPr>
                <w:sz w:val="22"/>
              </w:rPr>
            </w:pPr>
            <w:r>
              <w:rPr>
                <w:sz w:val="22"/>
              </w:rPr>
              <w:t>Hanford Legacy Park</w:t>
            </w:r>
          </w:p>
        </w:tc>
        <w:tc>
          <w:tcPr>
            <w:tcW w:w="1680" w:type="dxa"/>
          </w:tcPr>
          <w:p>
            <w:pPr>
              <w:pStyle w:val="TableParagraph"/>
              <w:spacing w:before="58"/>
              <w:ind w:left="108"/>
              <w:rPr>
                <w:sz w:val="22"/>
              </w:rPr>
            </w:pPr>
            <w:r>
              <w:rPr>
                <w:sz w:val="22"/>
              </w:rPr>
              <w:t>7,600,000</w:t>
            </w:r>
          </w:p>
        </w:tc>
        <w:tc>
          <w:tcPr>
            <w:tcW w:w="3322" w:type="dxa"/>
          </w:tcPr>
          <w:p>
            <w:pPr>
              <w:pStyle w:val="TableParagraph"/>
              <w:spacing w:line="320" w:lineRule="exact" w:before="11"/>
              <w:ind w:left="108" w:right="1556"/>
              <w:rPr>
                <w:sz w:val="22"/>
              </w:rPr>
            </w:pPr>
            <w:r>
              <w:rPr>
                <w:sz w:val="22"/>
              </w:rPr>
              <w:t>Lodging tax Fund RCO Grant</w:t>
            </w:r>
          </w:p>
        </w:tc>
        <w:tc>
          <w:tcPr>
            <w:tcW w:w="1683" w:type="dxa"/>
          </w:tcPr>
          <w:p>
            <w:pPr>
              <w:pStyle w:val="TableParagraph"/>
              <w:spacing w:before="58"/>
              <w:rPr>
                <w:sz w:val="22"/>
              </w:rPr>
            </w:pPr>
            <w:r>
              <w:rPr>
                <w:sz w:val="22"/>
              </w:rPr>
              <w:t>2013 - 2030</w:t>
            </w:r>
          </w:p>
        </w:tc>
      </w:tr>
    </w:tbl>
    <w:p>
      <w:pPr>
        <w:spacing w:after="0"/>
        <w:rPr>
          <w:sz w:val="22"/>
        </w:rPr>
        <w:sectPr>
          <w:pgSz w:w="12240" w:h="15840"/>
          <w:pgMar w:header="0" w:footer="1052" w:top="1360" w:bottom="1320" w:left="1320" w:right="1200"/>
        </w:sect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58"/>
        <w:gridCol w:w="1680"/>
        <w:gridCol w:w="3322"/>
        <w:gridCol w:w="1683"/>
      </w:tblGrid>
      <w:tr>
        <w:trPr>
          <w:trHeight w:val="402" w:hRule="atLeast"/>
        </w:trPr>
        <w:tc>
          <w:tcPr>
            <w:tcW w:w="2558" w:type="dxa"/>
            <w:shd w:val="clear" w:color="auto" w:fill="B8CCE3"/>
          </w:tcPr>
          <w:p>
            <w:pPr>
              <w:pStyle w:val="TableParagraph"/>
              <w:spacing w:before="119"/>
              <w:rPr>
                <w:b/>
                <w:sz w:val="22"/>
              </w:rPr>
            </w:pPr>
            <w:r>
              <w:rPr>
                <w:b/>
                <w:sz w:val="22"/>
              </w:rPr>
              <w:t>Facilities</w:t>
            </w:r>
          </w:p>
        </w:tc>
        <w:tc>
          <w:tcPr>
            <w:tcW w:w="1680" w:type="dxa"/>
            <w:shd w:val="clear" w:color="auto" w:fill="B8CCE3"/>
          </w:tcPr>
          <w:p>
            <w:pPr>
              <w:pStyle w:val="TableParagraph"/>
              <w:spacing w:before="119"/>
              <w:ind w:left="108"/>
              <w:rPr>
                <w:b/>
                <w:sz w:val="22"/>
              </w:rPr>
            </w:pPr>
            <w:r>
              <w:rPr>
                <w:b/>
                <w:sz w:val="22"/>
              </w:rPr>
              <w:t>Total Cost</w:t>
            </w:r>
            <w:r>
              <w:rPr>
                <w:b/>
                <w:position w:val="5"/>
                <w:sz w:val="14"/>
              </w:rPr>
              <w:t>1 </w:t>
            </w:r>
            <w:r>
              <w:rPr>
                <w:b/>
                <w:sz w:val="22"/>
              </w:rPr>
              <w:t>($)</w:t>
            </w:r>
          </w:p>
        </w:tc>
        <w:tc>
          <w:tcPr>
            <w:tcW w:w="3322" w:type="dxa"/>
            <w:shd w:val="clear" w:color="auto" w:fill="B8CCE3"/>
          </w:tcPr>
          <w:p>
            <w:pPr>
              <w:pStyle w:val="TableParagraph"/>
              <w:spacing w:before="119"/>
              <w:ind w:left="108"/>
              <w:rPr>
                <w:b/>
                <w:sz w:val="22"/>
              </w:rPr>
            </w:pPr>
            <w:r>
              <w:rPr>
                <w:b/>
                <w:sz w:val="22"/>
              </w:rPr>
              <w:t>Funding Sources</w:t>
            </w:r>
          </w:p>
        </w:tc>
        <w:tc>
          <w:tcPr>
            <w:tcW w:w="1683" w:type="dxa"/>
            <w:shd w:val="clear" w:color="auto" w:fill="B8CCE3"/>
          </w:tcPr>
          <w:p>
            <w:pPr>
              <w:pStyle w:val="TableParagraph"/>
              <w:spacing w:before="119"/>
              <w:rPr>
                <w:b/>
                <w:sz w:val="22"/>
              </w:rPr>
            </w:pPr>
            <w:r>
              <w:rPr>
                <w:b/>
                <w:sz w:val="22"/>
              </w:rPr>
              <w:t>Time Frame</w:t>
            </w:r>
          </w:p>
        </w:tc>
      </w:tr>
      <w:tr>
        <w:trPr>
          <w:trHeight w:val="318" w:hRule="atLeast"/>
        </w:trPr>
        <w:tc>
          <w:tcPr>
            <w:tcW w:w="2558" w:type="dxa"/>
          </w:tcPr>
          <w:p>
            <w:pPr>
              <w:pStyle w:val="TableParagraph"/>
              <w:spacing w:before="0"/>
              <w:ind w:left="0"/>
              <w:rPr>
                <w:rFonts w:ascii="Times New Roman"/>
                <w:sz w:val="20"/>
              </w:rPr>
            </w:pPr>
          </w:p>
        </w:tc>
        <w:tc>
          <w:tcPr>
            <w:tcW w:w="1680" w:type="dxa"/>
          </w:tcPr>
          <w:p>
            <w:pPr>
              <w:pStyle w:val="TableParagraph"/>
              <w:spacing w:before="0"/>
              <w:ind w:left="0"/>
              <w:rPr>
                <w:rFonts w:ascii="Times New Roman"/>
                <w:sz w:val="20"/>
              </w:rPr>
            </w:pPr>
          </w:p>
        </w:tc>
        <w:tc>
          <w:tcPr>
            <w:tcW w:w="3322" w:type="dxa"/>
          </w:tcPr>
          <w:p>
            <w:pPr>
              <w:pStyle w:val="TableParagraph"/>
              <w:spacing w:line="237" w:lineRule="exact" w:before="62"/>
              <w:ind w:left="108"/>
              <w:rPr>
                <w:sz w:val="22"/>
              </w:rPr>
            </w:pPr>
            <w:r>
              <w:rPr>
                <w:sz w:val="22"/>
              </w:rPr>
              <w:t>Re Excise tax 1st ¼%</w:t>
            </w:r>
          </w:p>
        </w:tc>
        <w:tc>
          <w:tcPr>
            <w:tcW w:w="1683" w:type="dxa"/>
          </w:tcPr>
          <w:p>
            <w:pPr>
              <w:pStyle w:val="TableParagraph"/>
              <w:spacing w:before="0"/>
              <w:ind w:left="0"/>
              <w:rPr>
                <w:rFonts w:ascii="Times New Roman"/>
                <w:sz w:val="20"/>
              </w:rPr>
            </w:pPr>
          </w:p>
        </w:tc>
      </w:tr>
      <w:tr>
        <w:trPr>
          <w:trHeight w:val="954" w:hRule="atLeast"/>
        </w:trPr>
        <w:tc>
          <w:tcPr>
            <w:tcW w:w="2558" w:type="dxa"/>
          </w:tcPr>
          <w:p>
            <w:pPr>
              <w:pStyle w:val="TableParagraph"/>
              <w:ind w:right="960"/>
              <w:rPr>
                <w:sz w:val="22"/>
              </w:rPr>
            </w:pPr>
            <w:r>
              <w:rPr>
                <w:sz w:val="22"/>
              </w:rPr>
              <w:t>John Dam Plaza Improvements</w:t>
            </w:r>
          </w:p>
        </w:tc>
        <w:tc>
          <w:tcPr>
            <w:tcW w:w="1680" w:type="dxa"/>
          </w:tcPr>
          <w:p>
            <w:pPr>
              <w:pStyle w:val="TableParagraph"/>
              <w:ind w:left="108"/>
              <w:rPr>
                <w:sz w:val="22"/>
              </w:rPr>
            </w:pPr>
            <w:r>
              <w:rPr>
                <w:sz w:val="22"/>
              </w:rPr>
              <w:t>2,000,000</w:t>
            </w:r>
          </w:p>
        </w:tc>
        <w:tc>
          <w:tcPr>
            <w:tcW w:w="3322" w:type="dxa"/>
          </w:tcPr>
          <w:p>
            <w:pPr>
              <w:pStyle w:val="TableParagraph"/>
              <w:spacing w:line="297" w:lineRule="auto"/>
              <w:ind w:left="108" w:right="306"/>
              <w:rPr>
                <w:sz w:val="22"/>
              </w:rPr>
            </w:pPr>
            <w:r>
              <w:rPr>
                <w:sz w:val="22"/>
              </w:rPr>
              <w:t>Business License reserve Fund Private Donations</w:t>
            </w:r>
          </w:p>
          <w:p>
            <w:pPr>
              <w:pStyle w:val="TableParagraph"/>
              <w:spacing w:line="236" w:lineRule="exact" w:before="0"/>
              <w:ind w:left="108"/>
              <w:rPr>
                <w:sz w:val="22"/>
              </w:rPr>
            </w:pPr>
            <w:r>
              <w:rPr>
                <w:sz w:val="22"/>
              </w:rPr>
              <w:t>Re Excise tax 1st ¼%</w:t>
            </w:r>
          </w:p>
        </w:tc>
        <w:tc>
          <w:tcPr>
            <w:tcW w:w="1683" w:type="dxa"/>
          </w:tcPr>
          <w:p>
            <w:pPr>
              <w:pStyle w:val="TableParagraph"/>
              <w:rPr>
                <w:sz w:val="22"/>
              </w:rPr>
            </w:pPr>
            <w:r>
              <w:rPr>
                <w:sz w:val="22"/>
              </w:rPr>
              <w:t>2018</w:t>
            </w:r>
          </w:p>
        </w:tc>
      </w:tr>
      <w:tr>
        <w:trPr>
          <w:trHeight w:val="892" w:hRule="atLeast"/>
        </w:trPr>
        <w:tc>
          <w:tcPr>
            <w:tcW w:w="2558" w:type="dxa"/>
          </w:tcPr>
          <w:p>
            <w:pPr>
              <w:pStyle w:val="TableParagraph"/>
              <w:ind w:right="148"/>
              <w:rPr>
                <w:sz w:val="22"/>
              </w:rPr>
            </w:pPr>
            <w:r>
              <w:rPr>
                <w:sz w:val="22"/>
              </w:rPr>
              <w:t>Park, Facilities and Trail Signage</w:t>
            </w:r>
          </w:p>
        </w:tc>
        <w:tc>
          <w:tcPr>
            <w:tcW w:w="1680" w:type="dxa"/>
          </w:tcPr>
          <w:p>
            <w:pPr>
              <w:pStyle w:val="TableParagraph"/>
              <w:ind w:left="108"/>
              <w:rPr>
                <w:sz w:val="22"/>
              </w:rPr>
            </w:pPr>
            <w:r>
              <w:rPr>
                <w:sz w:val="22"/>
              </w:rPr>
              <w:t>1,70,000</w:t>
            </w:r>
          </w:p>
        </w:tc>
        <w:tc>
          <w:tcPr>
            <w:tcW w:w="3322" w:type="dxa"/>
          </w:tcPr>
          <w:p>
            <w:pPr>
              <w:pStyle w:val="TableParagraph"/>
              <w:ind w:left="108" w:right="600"/>
              <w:rPr>
                <w:sz w:val="22"/>
              </w:rPr>
            </w:pPr>
            <w:r>
              <w:rPr>
                <w:sz w:val="22"/>
              </w:rPr>
              <w:t>Undesignated Park Reserve Fund</w:t>
            </w:r>
          </w:p>
          <w:p>
            <w:pPr>
              <w:pStyle w:val="TableParagraph"/>
              <w:spacing w:line="237" w:lineRule="exact" w:before="60"/>
              <w:ind w:left="108"/>
              <w:rPr>
                <w:sz w:val="22"/>
              </w:rPr>
            </w:pPr>
            <w:r>
              <w:rPr>
                <w:sz w:val="22"/>
              </w:rPr>
              <w:t>Re Excise tax 1st ¼%</w:t>
            </w:r>
          </w:p>
        </w:tc>
        <w:tc>
          <w:tcPr>
            <w:tcW w:w="1683" w:type="dxa"/>
          </w:tcPr>
          <w:p>
            <w:pPr>
              <w:pStyle w:val="TableParagraph"/>
              <w:rPr>
                <w:sz w:val="22"/>
              </w:rPr>
            </w:pPr>
            <w:r>
              <w:rPr>
                <w:sz w:val="22"/>
              </w:rPr>
              <w:t>2017 - 2030</w:t>
            </w:r>
          </w:p>
        </w:tc>
      </w:tr>
      <w:tr>
        <w:trPr>
          <w:trHeight w:val="1530" w:hRule="atLeast"/>
        </w:trPr>
        <w:tc>
          <w:tcPr>
            <w:tcW w:w="2558" w:type="dxa"/>
          </w:tcPr>
          <w:p>
            <w:pPr>
              <w:pStyle w:val="TableParagraph"/>
              <w:ind w:right="160"/>
              <w:rPr>
                <w:sz w:val="22"/>
              </w:rPr>
            </w:pPr>
            <w:r>
              <w:rPr>
                <w:sz w:val="22"/>
              </w:rPr>
              <w:t>Park, Facilities Deferred Maintenance</w:t>
            </w:r>
          </w:p>
        </w:tc>
        <w:tc>
          <w:tcPr>
            <w:tcW w:w="1680" w:type="dxa"/>
          </w:tcPr>
          <w:p>
            <w:pPr>
              <w:pStyle w:val="TableParagraph"/>
              <w:ind w:left="108"/>
              <w:rPr>
                <w:sz w:val="22"/>
              </w:rPr>
            </w:pPr>
            <w:r>
              <w:rPr>
                <w:sz w:val="22"/>
              </w:rPr>
              <w:t>2,140,725</w:t>
            </w:r>
          </w:p>
        </w:tc>
        <w:tc>
          <w:tcPr>
            <w:tcW w:w="3322" w:type="dxa"/>
          </w:tcPr>
          <w:p>
            <w:pPr>
              <w:pStyle w:val="TableParagraph"/>
              <w:ind w:left="108"/>
              <w:rPr>
                <w:sz w:val="22"/>
              </w:rPr>
            </w:pPr>
            <w:r>
              <w:rPr>
                <w:sz w:val="22"/>
              </w:rPr>
              <w:t>Park Districts 3</w:t>
            </w:r>
          </w:p>
          <w:p>
            <w:pPr>
              <w:pStyle w:val="TableParagraph"/>
              <w:spacing w:before="62"/>
              <w:ind w:left="108" w:right="600"/>
              <w:rPr>
                <w:sz w:val="22"/>
              </w:rPr>
            </w:pPr>
            <w:r>
              <w:rPr>
                <w:sz w:val="22"/>
              </w:rPr>
              <w:t>Undesignated Park Reserve Fund</w:t>
            </w:r>
          </w:p>
          <w:p>
            <w:pPr>
              <w:pStyle w:val="TableParagraph"/>
              <w:spacing w:line="310" w:lineRule="atLeast" w:before="8"/>
              <w:ind w:left="108" w:right="1240"/>
              <w:rPr>
                <w:sz w:val="22"/>
              </w:rPr>
            </w:pPr>
            <w:r>
              <w:rPr>
                <w:sz w:val="22"/>
              </w:rPr>
              <w:t>RCO Tier 1 Big Grant Donation</w:t>
            </w:r>
          </w:p>
        </w:tc>
        <w:tc>
          <w:tcPr>
            <w:tcW w:w="1683" w:type="dxa"/>
          </w:tcPr>
          <w:p>
            <w:pPr>
              <w:pStyle w:val="TableParagraph"/>
              <w:rPr>
                <w:sz w:val="22"/>
              </w:rPr>
            </w:pPr>
            <w:r>
              <w:rPr>
                <w:sz w:val="22"/>
              </w:rPr>
              <w:t>2013 - 2030</w:t>
            </w:r>
          </w:p>
        </w:tc>
      </w:tr>
      <w:tr>
        <w:trPr>
          <w:trHeight w:val="892" w:hRule="atLeast"/>
        </w:trPr>
        <w:tc>
          <w:tcPr>
            <w:tcW w:w="2558" w:type="dxa"/>
          </w:tcPr>
          <w:p>
            <w:pPr>
              <w:pStyle w:val="TableParagraph"/>
              <w:ind w:right="637"/>
              <w:rPr>
                <w:sz w:val="22"/>
              </w:rPr>
            </w:pPr>
            <w:r>
              <w:rPr>
                <w:sz w:val="22"/>
              </w:rPr>
              <w:t>Shoreline Deferred Maintenance</w:t>
            </w:r>
          </w:p>
        </w:tc>
        <w:tc>
          <w:tcPr>
            <w:tcW w:w="1680" w:type="dxa"/>
          </w:tcPr>
          <w:p>
            <w:pPr>
              <w:pStyle w:val="TableParagraph"/>
              <w:ind w:left="108"/>
              <w:rPr>
                <w:sz w:val="22"/>
              </w:rPr>
            </w:pPr>
            <w:r>
              <w:rPr>
                <w:sz w:val="22"/>
              </w:rPr>
              <w:t>280,000</w:t>
            </w:r>
          </w:p>
        </w:tc>
        <w:tc>
          <w:tcPr>
            <w:tcW w:w="3322" w:type="dxa"/>
          </w:tcPr>
          <w:p>
            <w:pPr>
              <w:pStyle w:val="TableParagraph"/>
              <w:ind w:left="108" w:right="600"/>
              <w:rPr>
                <w:sz w:val="22"/>
              </w:rPr>
            </w:pPr>
            <w:r>
              <w:rPr>
                <w:sz w:val="22"/>
              </w:rPr>
              <w:t>Undesignated Park Reserve Fund</w:t>
            </w:r>
          </w:p>
          <w:p>
            <w:pPr>
              <w:pStyle w:val="TableParagraph"/>
              <w:spacing w:line="237" w:lineRule="exact" w:before="60"/>
              <w:ind w:left="108"/>
              <w:rPr>
                <w:sz w:val="22"/>
              </w:rPr>
            </w:pPr>
            <w:r>
              <w:rPr>
                <w:sz w:val="22"/>
              </w:rPr>
              <w:t>Re Excise tax 1st ¼%</w:t>
            </w:r>
          </w:p>
        </w:tc>
        <w:tc>
          <w:tcPr>
            <w:tcW w:w="1683" w:type="dxa"/>
          </w:tcPr>
          <w:p>
            <w:pPr>
              <w:pStyle w:val="TableParagraph"/>
              <w:rPr>
                <w:sz w:val="22"/>
              </w:rPr>
            </w:pPr>
            <w:r>
              <w:rPr>
                <w:sz w:val="22"/>
              </w:rPr>
              <w:t>2014 - 2030</w:t>
            </w:r>
          </w:p>
        </w:tc>
      </w:tr>
      <w:tr>
        <w:trPr>
          <w:trHeight w:val="894" w:hRule="atLeast"/>
        </w:trPr>
        <w:tc>
          <w:tcPr>
            <w:tcW w:w="2558" w:type="dxa"/>
          </w:tcPr>
          <w:p>
            <w:pPr>
              <w:pStyle w:val="TableParagraph"/>
              <w:ind w:right="310"/>
              <w:rPr>
                <w:sz w:val="22"/>
              </w:rPr>
            </w:pPr>
            <w:r>
              <w:rPr>
                <w:sz w:val="22"/>
              </w:rPr>
              <w:t>Tree Replacement and Deferred Maintenance</w:t>
            </w:r>
          </w:p>
        </w:tc>
        <w:tc>
          <w:tcPr>
            <w:tcW w:w="1680" w:type="dxa"/>
          </w:tcPr>
          <w:p>
            <w:pPr>
              <w:pStyle w:val="TableParagraph"/>
              <w:ind w:left="108"/>
              <w:rPr>
                <w:sz w:val="22"/>
              </w:rPr>
            </w:pPr>
            <w:r>
              <w:rPr>
                <w:sz w:val="22"/>
              </w:rPr>
              <w:t>120,000</w:t>
            </w:r>
          </w:p>
        </w:tc>
        <w:tc>
          <w:tcPr>
            <w:tcW w:w="3322" w:type="dxa"/>
          </w:tcPr>
          <w:p>
            <w:pPr>
              <w:pStyle w:val="TableParagraph"/>
              <w:ind w:left="108"/>
              <w:rPr>
                <w:sz w:val="22"/>
              </w:rPr>
            </w:pPr>
            <w:r>
              <w:rPr>
                <w:sz w:val="22"/>
              </w:rPr>
              <w:t>Re Excise tax 1st ¼%</w:t>
            </w:r>
          </w:p>
          <w:p>
            <w:pPr>
              <w:pStyle w:val="TableParagraph"/>
              <w:spacing w:line="256" w:lineRule="exact" w:before="66"/>
              <w:ind w:left="108" w:right="596"/>
              <w:rPr>
                <w:sz w:val="22"/>
              </w:rPr>
            </w:pPr>
            <w:r>
              <w:rPr>
                <w:sz w:val="22"/>
              </w:rPr>
              <w:t>WCIA Insurance Settlement Payment</w:t>
            </w:r>
          </w:p>
        </w:tc>
        <w:tc>
          <w:tcPr>
            <w:tcW w:w="1683" w:type="dxa"/>
          </w:tcPr>
          <w:p>
            <w:pPr>
              <w:pStyle w:val="TableParagraph"/>
              <w:rPr>
                <w:sz w:val="22"/>
              </w:rPr>
            </w:pPr>
            <w:r>
              <w:rPr>
                <w:sz w:val="22"/>
              </w:rPr>
              <w:t>2014 - 2030</w:t>
            </w:r>
          </w:p>
        </w:tc>
      </w:tr>
      <w:tr>
        <w:trPr>
          <w:trHeight w:val="575" w:hRule="atLeast"/>
        </w:trPr>
        <w:tc>
          <w:tcPr>
            <w:tcW w:w="2558" w:type="dxa"/>
          </w:tcPr>
          <w:p>
            <w:pPr>
              <w:pStyle w:val="TableParagraph"/>
              <w:spacing w:line="256" w:lineRule="exact" w:before="63"/>
              <w:ind w:right="203"/>
              <w:rPr>
                <w:sz w:val="22"/>
              </w:rPr>
            </w:pPr>
            <w:r>
              <w:rPr>
                <w:sz w:val="22"/>
              </w:rPr>
              <w:t>West Village Park at Badger Mountain South</w:t>
            </w:r>
          </w:p>
        </w:tc>
        <w:tc>
          <w:tcPr>
            <w:tcW w:w="1680" w:type="dxa"/>
          </w:tcPr>
          <w:p>
            <w:pPr>
              <w:pStyle w:val="TableParagraph"/>
              <w:ind w:left="108"/>
              <w:rPr>
                <w:sz w:val="22"/>
              </w:rPr>
            </w:pPr>
            <w:r>
              <w:rPr>
                <w:sz w:val="22"/>
              </w:rPr>
              <w:t>250,000</w:t>
            </w:r>
          </w:p>
        </w:tc>
        <w:tc>
          <w:tcPr>
            <w:tcW w:w="3322" w:type="dxa"/>
          </w:tcPr>
          <w:p>
            <w:pPr>
              <w:pStyle w:val="TableParagraph"/>
              <w:ind w:left="108"/>
              <w:rPr>
                <w:sz w:val="22"/>
              </w:rPr>
            </w:pPr>
            <w:r>
              <w:rPr>
                <w:sz w:val="22"/>
              </w:rPr>
              <w:t>Park District 4</w:t>
            </w:r>
          </w:p>
        </w:tc>
        <w:tc>
          <w:tcPr>
            <w:tcW w:w="1683" w:type="dxa"/>
          </w:tcPr>
          <w:p>
            <w:pPr>
              <w:pStyle w:val="TableParagraph"/>
              <w:rPr>
                <w:sz w:val="22"/>
              </w:rPr>
            </w:pPr>
            <w:r>
              <w:rPr>
                <w:sz w:val="22"/>
              </w:rPr>
              <w:t>2017</w:t>
            </w:r>
          </w:p>
        </w:tc>
      </w:tr>
      <w:tr>
        <w:trPr>
          <w:trHeight w:val="530" w:hRule="atLeast"/>
        </w:trPr>
        <w:tc>
          <w:tcPr>
            <w:tcW w:w="9243" w:type="dxa"/>
            <w:gridSpan w:val="4"/>
          </w:tcPr>
          <w:p>
            <w:pPr>
              <w:pStyle w:val="TableParagraph"/>
              <w:spacing w:line="232" w:lineRule="exact" w:before="63"/>
              <w:ind w:right="5"/>
              <w:rPr>
                <w:i/>
                <w:sz w:val="20"/>
              </w:rPr>
            </w:pPr>
            <w:r>
              <w:rPr>
                <w:i/>
                <w:position w:val="5"/>
                <w:sz w:val="13"/>
              </w:rPr>
              <w:t>1</w:t>
            </w:r>
            <w:r>
              <w:rPr>
                <w:i/>
                <w:sz w:val="20"/>
              </w:rPr>
              <w:t>Includes amount that has already been spent in previous years starting in 2012; projects with budget already </w:t>
            </w:r>
            <w:r>
              <w:rPr>
                <w:i/>
                <w:sz w:val="20"/>
              </w:rPr>
              <w:t>spent before 2017 is not included in this table.</w:t>
            </w:r>
          </w:p>
        </w:tc>
      </w:tr>
    </w:tbl>
    <w:p>
      <w:pPr>
        <w:pStyle w:val="BodyText"/>
        <w:spacing w:before="119"/>
        <w:ind w:left="119" w:right="236"/>
      </w:pPr>
      <w:r>
        <w:rPr/>
        <w:t>Park and recreational facility improvements will be met through proactive long-term planning. Programs and planning shall be done in accordance with the Parks, Trails, Open Space and Facilities Plan. The 2014 – 2019 Parks, Trails, and Open Space Facilities Master Plan indicates major facilities proposed for parks and recreation and their funding sources for a timeframe between 2017 and 2030.</w:t>
      </w:r>
    </w:p>
    <w:p>
      <w:pPr>
        <w:pStyle w:val="BodyText"/>
        <w:spacing w:before="120"/>
        <w:ind w:left="119" w:right="1042"/>
      </w:pPr>
      <w:r>
        <w:rPr/>
        <w:t>The 2017 Capital Improvement Plan provides a detailed project list for 2017 through 2022. Additional projects in the CIP include:</w:t>
      </w:r>
    </w:p>
    <w:p>
      <w:pPr>
        <w:pStyle w:val="ListParagraph"/>
        <w:numPr>
          <w:ilvl w:val="1"/>
          <w:numId w:val="10"/>
        </w:numPr>
        <w:tabs>
          <w:tab w:pos="839" w:val="left" w:leader="none"/>
          <w:tab w:pos="841" w:val="left" w:leader="none"/>
        </w:tabs>
        <w:spacing w:line="240" w:lineRule="auto" w:before="60" w:after="0"/>
        <w:ind w:left="840" w:right="0" w:hanging="362"/>
        <w:jc w:val="left"/>
        <w:rPr>
          <w:sz w:val="22"/>
        </w:rPr>
      </w:pPr>
      <w:r>
        <w:rPr>
          <w:sz w:val="22"/>
        </w:rPr>
        <w:t>Bypass Shelterbelt, budgeted for $1,206,458 in 2020 through</w:t>
      </w:r>
      <w:r>
        <w:rPr>
          <w:spacing w:val="-12"/>
          <w:sz w:val="22"/>
        </w:rPr>
        <w:t> </w:t>
      </w:r>
      <w:r>
        <w:rPr>
          <w:sz w:val="22"/>
        </w:rPr>
        <w:t>2022</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Conversion of State Funded Recreation Land Mitigation, budgeted for $60,000 in</w:t>
      </w:r>
      <w:r>
        <w:rPr>
          <w:spacing w:val="-20"/>
          <w:sz w:val="22"/>
        </w:rPr>
        <w:t> </w:t>
      </w:r>
      <w:r>
        <w:rPr>
          <w:sz w:val="22"/>
        </w:rPr>
        <w:t>2017</w:t>
      </w:r>
    </w:p>
    <w:p>
      <w:pPr>
        <w:pStyle w:val="ListParagraph"/>
        <w:numPr>
          <w:ilvl w:val="1"/>
          <w:numId w:val="10"/>
        </w:numPr>
        <w:tabs>
          <w:tab w:pos="840" w:val="left" w:leader="none"/>
          <w:tab w:pos="841" w:val="left" w:leader="none"/>
        </w:tabs>
        <w:spacing w:line="240" w:lineRule="auto" w:before="61" w:after="0"/>
        <w:ind w:left="840" w:right="0" w:hanging="361"/>
        <w:jc w:val="left"/>
        <w:rPr>
          <w:sz w:val="22"/>
        </w:rPr>
      </w:pPr>
      <w:r>
        <w:rPr>
          <w:sz w:val="22"/>
        </w:rPr>
        <w:t>Craighill Park, budgeted and spent $50,000 in</w:t>
      </w:r>
      <w:r>
        <w:rPr>
          <w:spacing w:val="-11"/>
          <w:sz w:val="22"/>
        </w:rPr>
        <w:t> </w:t>
      </w:r>
      <w:r>
        <w:rPr>
          <w:sz w:val="22"/>
        </w:rPr>
        <w:t>2016</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Drollinger Park, budgeted for $120,000; remains $60,000 for</w:t>
      </w:r>
      <w:r>
        <w:rPr>
          <w:spacing w:val="-13"/>
          <w:sz w:val="22"/>
        </w:rPr>
        <w:t> </w:t>
      </w:r>
      <w:r>
        <w:rPr>
          <w:sz w:val="22"/>
        </w:rPr>
        <w:t>2018</w:t>
      </w:r>
    </w:p>
    <w:p>
      <w:pPr>
        <w:pStyle w:val="ListParagraph"/>
        <w:numPr>
          <w:ilvl w:val="1"/>
          <w:numId w:val="10"/>
        </w:numPr>
        <w:tabs>
          <w:tab w:pos="840" w:val="left" w:leader="none"/>
          <w:tab w:pos="841" w:val="left" w:leader="none"/>
        </w:tabs>
        <w:spacing w:line="240" w:lineRule="auto" w:before="61" w:after="0"/>
        <w:ind w:left="840" w:right="0" w:hanging="361"/>
        <w:jc w:val="left"/>
        <w:rPr>
          <w:sz w:val="22"/>
        </w:rPr>
      </w:pPr>
      <w:r>
        <w:rPr>
          <w:sz w:val="22"/>
        </w:rPr>
        <w:t>Gala Park, budgeted for $398,386; remains $70,000 for</w:t>
      </w:r>
      <w:r>
        <w:rPr>
          <w:spacing w:val="-9"/>
          <w:sz w:val="22"/>
        </w:rPr>
        <w:t> </w:t>
      </w:r>
      <w:r>
        <w:rPr>
          <w:sz w:val="22"/>
        </w:rPr>
        <w:t>2019</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Horn Rapids Athletic Complex, budgeted for $650,000 for 2017 through</w:t>
      </w:r>
      <w:r>
        <w:rPr>
          <w:spacing w:val="-15"/>
          <w:sz w:val="22"/>
        </w:rPr>
        <w:t> </w:t>
      </w:r>
      <w:r>
        <w:rPr>
          <w:sz w:val="22"/>
        </w:rPr>
        <w:t>2021</w:t>
      </w:r>
    </w:p>
    <w:p>
      <w:pPr>
        <w:pStyle w:val="ListParagraph"/>
        <w:numPr>
          <w:ilvl w:val="1"/>
          <w:numId w:val="10"/>
        </w:numPr>
        <w:tabs>
          <w:tab w:pos="840" w:val="left" w:leader="none"/>
          <w:tab w:pos="841" w:val="left" w:leader="none"/>
        </w:tabs>
        <w:spacing w:line="240" w:lineRule="auto" w:before="62" w:after="0"/>
        <w:ind w:left="840" w:right="0" w:hanging="361"/>
        <w:jc w:val="left"/>
        <w:rPr>
          <w:sz w:val="22"/>
        </w:rPr>
      </w:pPr>
      <w:r>
        <w:rPr>
          <w:sz w:val="22"/>
        </w:rPr>
        <w:t>Parks Facilities ongoing maintenance, budgeted for $4,192,000 for 2017 through</w:t>
      </w:r>
      <w:r>
        <w:rPr>
          <w:spacing w:val="-16"/>
          <w:sz w:val="22"/>
        </w:rPr>
        <w:t> </w:t>
      </w:r>
      <w:r>
        <w:rPr>
          <w:sz w:val="22"/>
        </w:rPr>
        <w:t>2022</w:t>
      </w:r>
    </w:p>
    <w:p>
      <w:pPr>
        <w:pStyle w:val="BodyText"/>
        <w:spacing w:before="119"/>
        <w:ind w:left="120" w:right="234"/>
        <w:jc w:val="both"/>
      </w:pPr>
      <w:r>
        <w:rPr/>
        <w:t>Land use change indicated in Tables LU-6 and -7 will result in 50 acres on increase in Natural Open Space and 67 acres of decrease in Development Open Space with a net reduction of 17 acres of Open Space. However, this will increase Commercial Recreational land that will offer water-oriented recreational opportunities.</w:t>
      </w:r>
    </w:p>
    <w:p>
      <w:pPr>
        <w:spacing w:after="0"/>
        <w:jc w:val="both"/>
        <w:sectPr>
          <w:pgSz w:w="12240" w:h="15840"/>
          <w:pgMar w:header="0" w:footer="1052" w:top="1440" w:bottom="1320" w:left="1320" w:right="1200"/>
        </w:sectPr>
      </w:pPr>
    </w:p>
    <w:p>
      <w:pPr>
        <w:spacing w:before="79"/>
        <w:ind w:left="120" w:right="0" w:firstLine="0"/>
        <w:jc w:val="left"/>
        <w:rPr>
          <w:rFonts w:ascii="Arial"/>
          <w:b/>
          <w:sz w:val="20"/>
        </w:rPr>
      </w:pPr>
      <w:bookmarkStart w:name="_bookmark92" w:id="281"/>
      <w:bookmarkEnd w:id="281"/>
      <w:r>
        <w:rPr/>
      </w:r>
      <w:r>
        <w:rPr>
          <w:rFonts w:ascii="Arial"/>
          <w:b/>
          <w:sz w:val="20"/>
        </w:rPr>
        <w:t>Figure CF-1: Parks, Schools and Open Space</w:t>
      </w:r>
    </w:p>
    <w:p>
      <w:pPr>
        <w:spacing w:after="0"/>
        <w:jc w:val="left"/>
        <w:rPr>
          <w:rFonts w:ascii="Arial"/>
          <w:sz w:val="20"/>
        </w:rPr>
        <w:sectPr>
          <w:pgSz w:w="12240" w:h="15840"/>
          <w:pgMar w:header="0" w:footer="1052" w:top="1360" w:bottom="1320" w:left="1320" w:right="1200"/>
        </w:sectPr>
      </w:pPr>
    </w:p>
    <w:p>
      <w:pPr>
        <w:pStyle w:val="Heading7"/>
        <w:jc w:val="both"/>
      </w:pPr>
      <w:bookmarkStart w:name="Section Three" w:id="282"/>
      <w:bookmarkEnd w:id="282"/>
      <w:r>
        <w:rPr/>
      </w:r>
      <w:bookmarkStart w:name="_bookmark93" w:id="283"/>
      <w:bookmarkEnd w:id="283"/>
      <w:r>
        <w:rPr/>
      </w:r>
      <w:r>
        <w:rPr>
          <w:color w:val="4F81BC"/>
        </w:rPr>
        <w:t>SECTION THREE</w:t>
      </w:r>
    </w:p>
    <w:p>
      <w:pPr>
        <w:pStyle w:val="Heading6"/>
        <w:ind w:left="119"/>
        <w:jc w:val="both"/>
      </w:pPr>
      <w:bookmarkStart w:name="Municipal Facilities" w:id="284"/>
      <w:bookmarkEnd w:id="284"/>
      <w:r>
        <w:rPr>
          <w:b w:val="0"/>
        </w:rPr>
      </w:r>
      <w:bookmarkStart w:name="EXISTING CONDITIONS" w:id="285"/>
      <w:bookmarkEnd w:id="285"/>
      <w:r>
        <w:rPr>
          <w:b w:val="0"/>
        </w:rPr>
      </w:r>
      <w:bookmarkStart w:name="_bookmark94" w:id="286"/>
      <w:bookmarkEnd w:id="286"/>
      <w:r>
        <w:rPr>
          <w:b w:val="0"/>
        </w:rPr>
      </w:r>
      <w:r>
        <w:rPr/>
        <w:t>MUNICIPAL FACILITIES</w:t>
      </w:r>
    </w:p>
    <w:p>
      <w:pPr>
        <w:spacing w:before="202"/>
        <w:ind w:left="120" w:right="0" w:firstLine="0"/>
        <w:jc w:val="both"/>
        <w:rPr>
          <w:b/>
          <w:sz w:val="24"/>
        </w:rPr>
      </w:pPr>
      <w:r>
        <w:rPr>
          <w:b/>
          <w:sz w:val="24"/>
        </w:rPr>
        <w:t>EXISTING CONDITIONS</w:t>
      </w:r>
    </w:p>
    <w:p>
      <w:pPr>
        <w:pStyle w:val="BodyText"/>
        <w:spacing w:before="120"/>
        <w:ind w:left="119" w:right="235"/>
        <w:jc w:val="both"/>
      </w:pPr>
      <w:r>
        <w:rPr/>
        <w:t>The</w:t>
      </w:r>
      <w:r>
        <w:rPr>
          <w:spacing w:val="-12"/>
        </w:rPr>
        <w:t> </w:t>
      </w:r>
      <w:r>
        <w:rPr/>
        <w:t>City</w:t>
      </w:r>
      <w:r>
        <w:rPr>
          <w:spacing w:val="-10"/>
        </w:rPr>
        <w:t> </w:t>
      </w:r>
      <w:r>
        <w:rPr/>
        <w:t>of</w:t>
      </w:r>
      <w:r>
        <w:rPr>
          <w:spacing w:val="-11"/>
        </w:rPr>
        <w:t> </w:t>
      </w:r>
      <w:r>
        <w:rPr/>
        <w:t>Richland</w:t>
      </w:r>
      <w:r>
        <w:rPr>
          <w:spacing w:val="-12"/>
        </w:rPr>
        <w:t> </w:t>
      </w:r>
      <w:r>
        <w:rPr/>
        <w:t>provides</w:t>
      </w:r>
      <w:r>
        <w:rPr>
          <w:spacing w:val="-10"/>
        </w:rPr>
        <w:t> </w:t>
      </w:r>
      <w:r>
        <w:rPr/>
        <w:t>many</w:t>
      </w:r>
      <w:r>
        <w:rPr>
          <w:spacing w:val="-12"/>
        </w:rPr>
        <w:t> </w:t>
      </w:r>
      <w:r>
        <w:rPr/>
        <w:t>services</w:t>
      </w:r>
      <w:r>
        <w:rPr>
          <w:spacing w:val="-8"/>
        </w:rPr>
        <w:t> </w:t>
      </w:r>
      <w:r>
        <w:rPr/>
        <w:t>at</w:t>
      </w:r>
      <w:r>
        <w:rPr>
          <w:spacing w:val="-12"/>
        </w:rPr>
        <w:t> </w:t>
      </w:r>
      <w:r>
        <w:rPr/>
        <w:t>municipal</w:t>
      </w:r>
      <w:r>
        <w:rPr>
          <w:spacing w:val="-12"/>
        </w:rPr>
        <w:t> </w:t>
      </w:r>
      <w:r>
        <w:rPr/>
        <w:t>facilities</w:t>
      </w:r>
      <w:r>
        <w:rPr>
          <w:spacing w:val="-10"/>
        </w:rPr>
        <w:t> </w:t>
      </w:r>
      <w:r>
        <w:rPr/>
        <w:t>throughout</w:t>
      </w:r>
      <w:r>
        <w:rPr>
          <w:spacing w:val="-12"/>
        </w:rPr>
        <w:t> </w:t>
      </w:r>
      <w:r>
        <w:rPr/>
        <w:t>the</w:t>
      </w:r>
      <w:r>
        <w:rPr>
          <w:spacing w:val="-9"/>
        </w:rPr>
        <w:t> </w:t>
      </w:r>
      <w:r>
        <w:rPr/>
        <w:t>City.</w:t>
      </w:r>
      <w:r>
        <w:rPr>
          <w:spacing w:val="-9"/>
        </w:rPr>
        <w:t> </w:t>
      </w:r>
      <w:r>
        <w:rPr/>
        <w:t>Many</w:t>
      </w:r>
      <w:r>
        <w:rPr>
          <w:spacing w:val="-10"/>
        </w:rPr>
        <w:t> </w:t>
      </w:r>
      <w:r>
        <w:rPr/>
        <w:t>of</w:t>
      </w:r>
      <w:r>
        <w:rPr>
          <w:spacing w:val="-9"/>
        </w:rPr>
        <w:t> </w:t>
      </w:r>
      <w:r>
        <w:rPr/>
        <w:t>these services are discussed in detail in other sections of this Capital Facilities Element and in the Utilities Element. This section describes the City of Richland’s administrative buildings and civic center municipal facilities, including City Hall, City Hall Annex, Community Center, Development Services Center, and the City Shops and Warehouse</w:t>
      </w:r>
      <w:r>
        <w:rPr>
          <w:spacing w:val="-12"/>
        </w:rPr>
        <w:t> </w:t>
      </w:r>
      <w:r>
        <w:rPr/>
        <w:t>Facility.</w:t>
      </w:r>
    </w:p>
    <w:p>
      <w:pPr>
        <w:pStyle w:val="BodyText"/>
        <w:spacing w:before="119"/>
        <w:ind w:left="119" w:right="234"/>
        <w:jc w:val="both"/>
      </w:pPr>
      <w:r>
        <w:rPr/>
        <w:t>City Hall in downtown Richland houses the Council Chambers, Finance Division, and Administrative Services. It also houses the Cable Communications and the Public Information Officer. The City Hall Annex, adjacent to City Hall, houses the City Manager’s office, Assistant City Manager and City Clerk, City Attorney, and Hanford Communities.</w:t>
      </w:r>
    </w:p>
    <w:p>
      <w:pPr>
        <w:pStyle w:val="BodyText"/>
        <w:spacing w:before="120"/>
        <w:ind w:left="119" w:right="234"/>
        <w:jc w:val="both"/>
      </w:pPr>
      <w:r>
        <w:rPr/>
        <w:t>The</w:t>
      </w:r>
      <w:r>
        <w:rPr>
          <w:spacing w:val="-6"/>
        </w:rPr>
        <w:t> </w:t>
      </w:r>
      <w:r>
        <w:rPr/>
        <w:t>Community</w:t>
      </w:r>
      <w:r>
        <w:rPr>
          <w:spacing w:val="-4"/>
        </w:rPr>
        <w:t> </w:t>
      </w:r>
      <w:r>
        <w:rPr/>
        <w:t>Center,</w:t>
      </w:r>
      <w:r>
        <w:rPr>
          <w:spacing w:val="-3"/>
        </w:rPr>
        <w:t> </w:t>
      </w:r>
      <w:r>
        <w:rPr/>
        <w:t>a</w:t>
      </w:r>
      <w:r>
        <w:rPr>
          <w:spacing w:val="-3"/>
        </w:rPr>
        <w:t> </w:t>
      </w:r>
      <w:r>
        <w:rPr/>
        <w:t>13,000-square</w:t>
      </w:r>
      <w:r>
        <w:rPr>
          <w:spacing w:val="-4"/>
        </w:rPr>
        <w:t> </w:t>
      </w:r>
      <w:r>
        <w:rPr/>
        <w:t>foot</w:t>
      </w:r>
      <w:r>
        <w:rPr>
          <w:spacing w:val="-4"/>
        </w:rPr>
        <w:t> </w:t>
      </w:r>
      <w:r>
        <w:rPr/>
        <w:t>facility</w:t>
      </w:r>
      <w:r>
        <w:rPr>
          <w:spacing w:val="-4"/>
        </w:rPr>
        <w:t> </w:t>
      </w:r>
      <w:r>
        <w:rPr/>
        <w:t>built</w:t>
      </w:r>
      <w:r>
        <w:rPr>
          <w:spacing w:val="-4"/>
        </w:rPr>
        <w:t> </w:t>
      </w:r>
      <w:r>
        <w:rPr/>
        <w:t>in</w:t>
      </w:r>
      <w:r>
        <w:rPr>
          <w:spacing w:val="-4"/>
        </w:rPr>
        <w:t> </w:t>
      </w:r>
      <w:r>
        <w:rPr/>
        <w:t>2002,</w:t>
      </w:r>
      <w:r>
        <w:rPr>
          <w:spacing w:val="-7"/>
        </w:rPr>
        <w:t> </w:t>
      </w:r>
      <w:r>
        <w:rPr/>
        <w:t>serves</w:t>
      </w:r>
      <w:r>
        <w:rPr>
          <w:spacing w:val="-2"/>
        </w:rPr>
        <w:t> </w:t>
      </w:r>
      <w:r>
        <w:rPr/>
        <w:t>a</w:t>
      </w:r>
      <w:r>
        <w:rPr>
          <w:spacing w:val="-3"/>
        </w:rPr>
        <w:t> </w:t>
      </w:r>
      <w:r>
        <w:rPr/>
        <w:t>dual</w:t>
      </w:r>
      <w:r>
        <w:rPr>
          <w:spacing w:val="-3"/>
        </w:rPr>
        <w:t> </w:t>
      </w:r>
      <w:r>
        <w:rPr/>
        <w:t>role</w:t>
      </w:r>
      <w:r>
        <w:rPr>
          <w:spacing w:val="-3"/>
        </w:rPr>
        <w:t> </w:t>
      </w:r>
      <w:r>
        <w:rPr/>
        <w:t>as</w:t>
      </w:r>
      <w:r>
        <w:rPr>
          <w:spacing w:val="-3"/>
        </w:rPr>
        <w:t> </w:t>
      </w:r>
      <w:r>
        <w:rPr/>
        <w:t>a</w:t>
      </w:r>
      <w:r>
        <w:rPr>
          <w:spacing w:val="-3"/>
        </w:rPr>
        <w:t> </w:t>
      </w:r>
      <w:r>
        <w:rPr/>
        <w:t>new</w:t>
      </w:r>
      <w:r>
        <w:rPr>
          <w:spacing w:val="-4"/>
        </w:rPr>
        <w:t> </w:t>
      </w:r>
      <w:r>
        <w:rPr/>
        <w:t>senior center and a recreation and meeting facility. The facility has a dividable multi-purpose assembly room, game room, commercial kitchen, meeting rooms, and fitness facility. It also houses the administrative offices of the Parks</w:t>
      </w:r>
      <w:r>
        <w:rPr>
          <w:spacing w:val="-4"/>
        </w:rPr>
        <w:t> </w:t>
      </w:r>
      <w:r>
        <w:rPr/>
        <w:t>Department.</w:t>
      </w:r>
    </w:p>
    <w:p>
      <w:pPr>
        <w:pStyle w:val="BodyText"/>
        <w:spacing w:before="121"/>
        <w:ind w:left="119" w:right="233"/>
        <w:jc w:val="both"/>
      </w:pPr>
      <w:r>
        <w:rPr/>
        <w:t>The Development Services Center houses the Building and Permit Services Division, the Housing Resource Division, Electrical Administration and Engineering, and Public Works Administration and Engineering groups. The building was acquired from the Federal government as surplus property and</w:t>
      </w:r>
      <w:r>
        <w:rPr>
          <w:spacing w:val="-12"/>
        </w:rPr>
        <w:t> </w:t>
      </w:r>
      <w:r>
        <w:rPr/>
        <w:t>renovated</w:t>
      </w:r>
      <w:r>
        <w:rPr>
          <w:spacing w:val="-12"/>
        </w:rPr>
        <w:t> </w:t>
      </w:r>
      <w:r>
        <w:rPr/>
        <w:t>to</w:t>
      </w:r>
      <w:r>
        <w:rPr>
          <w:spacing w:val="-11"/>
        </w:rPr>
        <w:t> </w:t>
      </w:r>
      <w:r>
        <w:rPr/>
        <w:t>become</w:t>
      </w:r>
      <w:r>
        <w:rPr>
          <w:spacing w:val="-14"/>
        </w:rPr>
        <w:t> </w:t>
      </w:r>
      <w:r>
        <w:rPr/>
        <w:t>a</w:t>
      </w:r>
      <w:r>
        <w:rPr>
          <w:spacing w:val="-11"/>
        </w:rPr>
        <w:t> </w:t>
      </w:r>
      <w:r>
        <w:rPr/>
        <w:t>one-stop</w:t>
      </w:r>
      <w:r>
        <w:rPr>
          <w:spacing w:val="-12"/>
        </w:rPr>
        <w:t> </w:t>
      </w:r>
      <w:r>
        <w:rPr/>
        <w:t>planning</w:t>
      </w:r>
      <w:r>
        <w:rPr>
          <w:spacing w:val="-10"/>
        </w:rPr>
        <w:t> </w:t>
      </w:r>
      <w:r>
        <w:rPr/>
        <w:t>and</w:t>
      </w:r>
      <w:r>
        <w:rPr>
          <w:spacing w:val="-12"/>
        </w:rPr>
        <w:t> </w:t>
      </w:r>
      <w:r>
        <w:rPr/>
        <w:t>development</w:t>
      </w:r>
      <w:r>
        <w:rPr>
          <w:spacing w:val="-12"/>
        </w:rPr>
        <w:t> </w:t>
      </w:r>
      <w:r>
        <w:rPr/>
        <w:t>facility</w:t>
      </w:r>
      <w:r>
        <w:rPr>
          <w:spacing w:val="-12"/>
        </w:rPr>
        <w:t> </w:t>
      </w:r>
      <w:r>
        <w:rPr/>
        <w:t>during</w:t>
      </w:r>
      <w:r>
        <w:rPr>
          <w:spacing w:val="-13"/>
        </w:rPr>
        <w:t> </w:t>
      </w:r>
      <w:r>
        <w:rPr/>
        <w:t>the</w:t>
      </w:r>
      <w:r>
        <w:rPr>
          <w:spacing w:val="-11"/>
        </w:rPr>
        <w:t> </w:t>
      </w:r>
      <w:r>
        <w:rPr/>
        <w:t>City’s</w:t>
      </w:r>
      <w:r>
        <w:rPr>
          <w:spacing w:val="-13"/>
        </w:rPr>
        <w:t> </w:t>
      </w:r>
      <w:r>
        <w:rPr/>
        <w:t>construction expansion period. The renovated area provides increased space and improved working conditions for existing staff. With these services becoming centralized, productivity and efficiency improvements are being</w:t>
      </w:r>
      <w:r>
        <w:rPr>
          <w:spacing w:val="-2"/>
        </w:rPr>
        <w:t> </w:t>
      </w:r>
      <w:r>
        <w:rPr/>
        <w:t>recognized.</w:t>
      </w:r>
    </w:p>
    <w:p>
      <w:pPr>
        <w:pStyle w:val="BodyText"/>
        <w:spacing w:before="119"/>
        <w:ind w:left="119" w:right="236"/>
        <w:jc w:val="both"/>
      </w:pPr>
      <w:r>
        <w:rPr/>
        <w:t>Staffing for these operations includes 217 employees. The location of major municipal facilities is shown in Figure CF-3, Facilities Map. No municipal facilities are located in the unincorporated areas of the UGA.</w:t>
      </w:r>
    </w:p>
    <w:p>
      <w:pPr>
        <w:pStyle w:val="BodyText"/>
        <w:spacing w:before="122"/>
        <w:ind w:left="119" w:right="235"/>
        <w:jc w:val="both"/>
      </w:pPr>
      <w:r>
        <w:rPr/>
        <w:t>In</w:t>
      </w:r>
      <w:r>
        <w:rPr>
          <w:spacing w:val="-8"/>
        </w:rPr>
        <w:t> </w:t>
      </w:r>
      <w:r>
        <w:rPr/>
        <w:t>1994</w:t>
      </w:r>
      <w:r>
        <w:rPr>
          <w:spacing w:val="-7"/>
        </w:rPr>
        <w:t> </w:t>
      </w:r>
      <w:r>
        <w:rPr/>
        <w:t>the</w:t>
      </w:r>
      <w:r>
        <w:rPr>
          <w:spacing w:val="-6"/>
        </w:rPr>
        <w:t> </w:t>
      </w:r>
      <w:r>
        <w:rPr/>
        <w:t>City</w:t>
      </w:r>
      <w:r>
        <w:rPr>
          <w:spacing w:val="-8"/>
        </w:rPr>
        <w:t> </w:t>
      </w:r>
      <w:r>
        <w:rPr/>
        <w:t>purchased</w:t>
      </w:r>
      <w:r>
        <w:rPr>
          <w:spacing w:val="-7"/>
        </w:rPr>
        <w:t> </w:t>
      </w:r>
      <w:r>
        <w:rPr/>
        <w:t>a</w:t>
      </w:r>
      <w:r>
        <w:rPr>
          <w:spacing w:val="-6"/>
        </w:rPr>
        <w:t> </w:t>
      </w:r>
      <w:r>
        <w:rPr/>
        <w:t>160-acre</w:t>
      </w:r>
      <w:r>
        <w:rPr>
          <w:spacing w:val="-6"/>
        </w:rPr>
        <w:t> </w:t>
      </w:r>
      <w:r>
        <w:rPr/>
        <w:t>parcel</w:t>
      </w:r>
      <w:r>
        <w:rPr>
          <w:spacing w:val="-6"/>
        </w:rPr>
        <w:t> </w:t>
      </w:r>
      <w:r>
        <w:rPr/>
        <w:t>near</w:t>
      </w:r>
      <w:r>
        <w:rPr>
          <w:spacing w:val="-7"/>
        </w:rPr>
        <w:t> </w:t>
      </w:r>
      <w:r>
        <w:rPr/>
        <w:t>the</w:t>
      </w:r>
      <w:r>
        <w:rPr>
          <w:spacing w:val="-6"/>
        </w:rPr>
        <w:t> </w:t>
      </w:r>
      <w:r>
        <w:rPr/>
        <w:t>Kennedy</w:t>
      </w:r>
      <w:r>
        <w:rPr>
          <w:spacing w:val="-8"/>
        </w:rPr>
        <w:t> </w:t>
      </w:r>
      <w:r>
        <w:rPr/>
        <w:t>Road/I-182</w:t>
      </w:r>
      <w:r>
        <w:rPr>
          <w:spacing w:val="-7"/>
        </w:rPr>
        <w:t> </w:t>
      </w:r>
      <w:r>
        <w:rPr/>
        <w:t>interchange,</w:t>
      </w:r>
      <w:r>
        <w:rPr>
          <w:spacing w:val="-5"/>
        </w:rPr>
        <w:t> </w:t>
      </w:r>
      <w:r>
        <w:rPr/>
        <w:t>of</w:t>
      </w:r>
      <w:r>
        <w:rPr>
          <w:spacing w:val="-6"/>
        </w:rPr>
        <w:t> </w:t>
      </w:r>
      <w:r>
        <w:rPr/>
        <w:t>which</w:t>
      </w:r>
      <w:r>
        <w:rPr>
          <w:spacing w:val="-6"/>
        </w:rPr>
        <w:t> </w:t>
      </w:r>
      <w:r>
        <w:rPr/>
        <w:t>33 acres are dedicated to the construction of a new city shops complex. This campus-style complex completed in 1999 houses the Information Technology and Human Resource Divisions and the construction and maintenance divisions of the electric, water, and solid waste utilities, parks </w:t>
      </w:r>
      <w:r>
        <w:rPr>
          <w:spacing w:val="-3"/>
        </w:rPr>
        <w:t>and </w:t>
      </w:r>
      <w:r>
        <w:rPr/>
        <w:t>facilities, fleet services, as well as purchasing and warehousing. In 2010 the City constructed an addition</w:t>
      </w:r>
      <w:r>
        <w:rPr>
          <w:spacing w:val="-13"/>
        </w:rPr>
        <w:t> </w:t>
      </w:r>
      <w:r>
        <w:rPr/>
        <w:t>that</w:t>
      </w:r>
      <w:r>
        <w:rPr>
          <w:spacing w:val="-14"/>
        </w:rPr>
        <w:t> </w:t>
      </w:r>
      <w:r>
        <w:rPr/>
        <w:t>houses</w:t>
      </w:r>
      <w:r>
        <w:rPr>
          <w:spacing w:val="-11"/>
        </w:rPr>
        <w:t> </w:t>
      </w:r>
      <w:r>
        <w:rPr/>
        <w:t>the</w:t>
      </w:r>
      <w:r>
        <w:rPr>
          <w:spacing w:val="-11"/>
        </w:rPr>
        <w:t> </w:t>
      </w:r>
      <w:r>
        <w:rPr/>
        <w:t>Information</w:t>
      </w:r>
      <w:r>
        <w:rPr>
          <w:spacing w:val="-15"/>
        </w:rPr>
        <w:t> </w:t>
      </w:r>
      <w:r>
        <w:rPr/>
        <w:t>Technology</w:t>
      </w:r>
      <w:r>
        <w:rPr>
          <w:spacing w:val="-16"/>
        </w:rPr>
        <w:t> </w:t>
      </w:r>
      <w:r>
        <w:rPr/>
        <w:t>Data</w:t>
      </w:r>
      <w:r>
        <w:rPr>
          <w:spacing w:val="-11"/>
        </w:rPr>
        <w:t> </w:t>
      </w:r>
      <w:r>
        <w:rPr/>
        <w:t>Center.</w:t>
      </w:r>
      <w:r>
        <w:rPr>
          <w:spacing w:val="-12"/>
        </w:rPr>
        <w:t> </w:t>
      </w:r>
      <w:r>
        <w:rPr/>
        <w:t>The</w:t>
      </w:r>
      <w:r>
        <w:rPr>
          <w:spacing w:val="-11"/>
        </w:rPr>
        <w:t> </w:t>
      </w:r>
      <w:r>
        <w:rPr/>
        <w:t>complex</w:t>
      </w:r>
      <w:r>
        <w:rPr>
          <w:spacing w:val="-11"/>
        </w:rPr>
        <w:t> </w:t>
      </w:r>
      <w:r>
        <w:rPr/>
        <w:t>consists</w:t>
      </w:r>
      <w:r>
        <w:rPr>
          <w:spacing w:val="-10"/>
        </w:rPr>
        <w:t> </w:t>
      </w:r>
      <w:r>
        <w:rPr/>
        <w:t>of</w:t>
      </w:r>
      <w:r>
        <w:rPr>
          <w:spacing w:val="-12"/>
        </w:rPr>
        <w:t> </w:t>
      </w:r>
      <w:r>
        <w:rPr/>
        <w:t>three</w:t>
      </w:r>
      <w:r>
        <w:rPr>
          <w:spacing w:val="-14"/>
        </w:rPr>
        <w:t> </w:t>
      </w:r>
      <w:r>
        <w:rPr/>
        <w:t>separate</w:t>
      </w:r>
      <w:bookmarkStart w:name="LEVEL OF SERVICE" w:id="287"/>
      <w:bookmarkEnd w:id="287"/>
      <w:r>
        <w:rPr/>
      </w:r>
      <w:r>
        <w:rPr/>
        <w:t> buildings and outdoor</w:t>
      </w:r>
      <w:r>
        <w:rPr>
          <w:spacing w:val="-6"/>
        </w:rPr>
        <w:t> </w:t>
      </w:r>
      <w:r>
        <w:rPr/>
        <w:t>storage.</w:t>
      </w:r>
    </w:p>
    <w:p>
      <w:pPr>
        <w:spacing w:before="200"/>
        <w:ind w:left="120" w:right="0" w:firstLine="0"/>
        <w:jc w:val="both"/>
        <w:rPr>
          <w:b/>
          <w:sz w:val="24"/>
        </w:rPr>
      </w:pPr>
      <w:r>
        <w:rPr>
          <w:b/>
          <w:sz w:val="24"/>
        </w:rPr>
        <w:t>LEVEL OF SERVICE</w:t>
      </w:r>
    </w:p>
    <w:p>
      <w:pPr>
        <w:pStyle w:val="BodyText"/>
        <w:spacing w:before="120"/>
        <w:ind w:left="119" w:right="234"/>
        <w:jc w:val="both"/>
      </w:pPr>
      <w:r>
        <w:rPr/>
        <w:t>Planning for municipal facilities is based on employment trends, current occupancy, life cycle of the building, efficiency of use, and expansion requirements. Space plans are also determined based on the</w:t>
      </w:r>
      <w:r>
        <w:rPr>
          <w:spacing w:val="-10"/>
        </w:rPr>
        <w:t> </w:t>
      </w:r>
      <w:r>
        <w:rPr/>
        <w:t>program</w:t>
      </w:r>
      <w:r>
        <w:rPr>
          <w:spacing w:val="-10"/>
        </w:rPr>
        <w:t> </w:t>
      </w:r>
      <w:r>
        <w:rPr/>
        <w:t>objectives</w:t>
      </w:r>
      <w:r>
        <w:rPr>
          <w:spacing w:val="-11"/>
        </w:rPr>
        <w:t> </w:t>
      </w:r>
      <w:r>
        <w:rPr/>
        <w:t>of</w:t>
      </w:r>
      <w:r>
        <w:rPr>
          <w:spacing w:val="-11"/>
        </w:rPr>
        <w:t> </w:t>
      </w:r>
      <w:r>
        <w:rPr/>
        <w:t>individual</w:t>
      </w:r>
      <w:r>
        <w:rPr>
          <w:spacing w:val="-12"/>
        </w:rPr>
        <w:t> </w:t>
      </w:r>
      <w:r>
        <w:rPr/>
        <w:t>departments.</w:t>
      </w:r>
      <w:r>
        <w:rPr>
          <w:spacing w:val="-9"/>
        </w:rPr>
        <w:t> </w:t>
      </w:r>
      <w:r>
        <w:rPr/>
        <w:t>Studies</w:t>
      </w:r>
      <w:r>
        <w:rPr>
          <w:spacing w:val="-8"/>
        </w:rPr>
        <w:t> </w:t>
      </w:r>
      <w:r>
        <w:rPr/>
        <w:t>prepared</w:t>
      </w:r>
      <w:r>
        <w:rPr>
          <w:spacing w:val="-10"/>
        </w:rPr>
        <w:t> </w:t>
      </w:r>
      <w:r>
        <w:rPr/>
        <w:t>by</w:t>
      </w:r>
      <w:r>
        <w:rPr>
          <w:spacing w:val="-10"/>
        </w:rPr>
        <w:t> </w:t>
      </w:r>
      <w:r>
        <w:rPr/>
        <w:t>ALSC</w:t>
      </w:r>
      <w:r>
        <w:rPr>
          <w:spacing w:val="-12"/>
        </w:rPr>
        <w:t> </w:t>
      </w:r>
      <w:r>
        <w:rPr/>
        <w:t>Architects</w:t>
      </w:r>
      <w:r>
        <w:rPr>
          <w:spacing w:val="-10"/>
        </w:rPr>
        <w:t> </w:t>
      </w:r>
      <w:r>
        <w:rPr/>
        <w:t>in</w:t>
      </w:r>
      <w:r>
        <w:rPr>
          <w:spacing w:val="-11"/>
        </w:rPr>
        <w:t> </w:t>
      </w:r>
      <w:r>
        <w:rPr/>
        <w:t>April</w:t>
      </w:r>
      <w:r>
        <w:rPr>
          <w:spacing w:val="-11"/>
        </w:rPr>
        <w:t> </w:t>
      </w:r>
      <w:r>
        <w:rPr/>
        <w:t>1992 and 2003, evaluated municipal buildings and recognized that some municipal facilities within the City of Richland were operating at a substandard</w:t>
      </w:r>
      <w:r>
        <w:rPr>
          <w:spacing w:val="-13"/>
        </w:rPr>
        <w:t> </w:t>
      </w:r>
      <w:r>
        <w:rPr/>
        <w:t>level.</w:t>
      </w:r>
    </w:p>
    <w:p>
      <w:pPr>
        <w:spacing w:before="200"/>
        <w:ind w:left="119" w:right="0" w:firstLine="0"/>
        <w:jc w:val="both"/>
        <w:rPr>
          <w:b/>
          <w:sz w:val="22"/>
        </w:rPr>
      </w:pPr>
      <w:bookmarkStart w:name="Assessment of Facilities" w:id="288"/>
      <w:bookmarkEnd w:id="288"/>
      <w:r>
        <w:rPr/>
      </w:r>
      <w:r>
        <w:rPr>
          <w:b/>
          <w:color w:val="C0504D"/>
          <w:sz w:val="22"/>
        </w:rPr>
        <w:t>Assessment of Facilities</w:t>
      </w:r>
    </w:p>
    <w:p>
      <w:pPr>
        <w:pStyle w:val="BodyText"/>
        <w:spacing w:before="119"/>
        <w:ind w:left="119" w:right="235"/>
        <w:jc w:val="both"/>
      </w:pPr>
      <w:r>
        <w:rPr/>
        <w:t>City Hall is a 27,914-square foot two-story building. Apart from a minor cosmetic remodeling of the Council Chambers and addition of technology, minimal improvements have been made since it was</w:t>
      </w:r>
    </w:p>
    <w:p>
      <w:pPr>
        <w:spacing w:after="0"/>
        <w:jc w:val="both"/>
        <w:sectPr>
          <w:pgSz w:w="12240" w:h="15840"/>
          <w:pgMar w:header="0" w:footer="1052" w:top="1420" w:bottom="1320" w:left="1320" w:right="1200"/>
        </w:sectPr>
      </w:pPr>
    </w:p>
    <w:p>
      <w:pPr>
        <w:pStyle w:val="BodyText"/>
        <w:spacing w:before="80"/>
        <w:ind w:left="120" w:right="231"/>
        <w:jc w:val="both"/>
      </w:pPr>
      <w:r>
        <w:rPr/>
        <w:t>constructed in 1959. A facilities analysis, completed by ALSC Architects in April 1992 and again in 2003,</w:t>
      </w:r>
      <w:r>
        <w:rPr>
          <w:spacing w:val="-15"/>
        </w:rPr>
        <w:t> </w:t>
      </w:r>
      <w:r>
        <w:rPr/>
        <w:t>evaluated</w:t>
      </w:r>
      <w:r>
        <w:rPr>
          <w:spacing w:val="-14"/>
        </w:rPr>
        <w:t> </w:t>
      </w:r>
      <w:r>
        <w:rPr/>
        <w:t>each</w:t>
      </w:r>
      <w:r>
        <w:rPr>
          <w:spacing w:val="-13"/>
        </w:rPr>
        <w:t> </w:t>
      </w:r>
      <w:r>
        <w:rPr/>
        <w:t>building</w:t>
      </w:r>
      <w:r>
        <w:rPr>
          <w:spacing w:val="-14"/>
        </w:rPr>
        <w:t> </w:t>
      </w:r>
      <w:r>
        <w:rPr/>
        <w:t>for</w:t>
      </w:r>
      <w:r>
        <w:rPr>
          <w:spacing w:val="-14"/>
        </w:rPr>
        <w:t> </w:t>
      </w:r>
      <w:r>
        <w:rPr/>
        <w:t>the</w:t>
      </w:r>
      <w:r>
        <w:rPr>
          <w:spacing w:val="-14"/>
        </w:rPr>
        <w:t> </w:t>
      </w:r>
      <w:r>
        <w:rPr/>
        <w:t>adequacy</w:t>
      </w:r>
      <w:r>
        <w:rPr>
          <w:spacing w:val="-15"/>
        </w:rPr>
        <w:t> </w:t>
      </w:r>
      <w:r>
        <w:rPr/>
        <w:t>of</w:t>
      </w:r>
      <w:r>
        <w:rPr>
          <w:spacing w:val="-15"/>
        </w:rPr>
        <w:t> </w:t>
      </w:r>
      <w:r>
        <w:rPr/>
        <w:t>architectural,</w:t>
      </w:r>
      <w:r>
        <w:rPr>
          <w:spacing w:val="-16"/>
        </w:rPr>
        <w:t> </w:t>
      </w:r>
      <w:r>
        <w:rPr/>
        <w:t>structural,</w:t>
      </w:r>
      <w:r>
        <w:rPr>
          <w:spacing w:val="-14"/>
        </w:rPr>
        <w:t> </w:t>
      </w:r>
      <w:r>
        <w:rPr/>
        <w:t>mechanical,</w:t>
      </w:r>
      <w:r>
        <w:rPr>
          <w:spacing w:val="-14"/>
        </w:rPr>
        <w:t> </w:t>
      </w:r>
      <w:r>
        <w:rPr/>
        <w:t>electrical,</w:t>
      </w:r>
      <w:r>
        <w:rPr>
          <w:spacing w:val="-14"/>
        </w:rPr>
        <w:t> </w:t>
      </w:r>
      <w:r>
        <w:rPr/>
        <w:t>and safety qualities. The study identified facility needs for City divisions to remain at the site after relocation</w:t>
      </w:r>
      <w:r>
        <w:rPr>
          <w:spacing w:val="-16"/>
        </w:rPr>
        <w:t> </w:t>
      </w:r>
      <w:r>
        <w:rPr/>
        <w:t>of</w:t>
      </w:r>
      <w:r>
        <w:rPr>
          <w:spacing w:val="-11"/>
        </w:rPr>
        <w:t> </w:t>
      </w:r>
      <w:r>
        <w:rPr/>
        <w:t>the</w:t>
      </w:r>
      <w:r>
        <w:rPr>
          <w:spacing w:val="-12"/>
        </w:rPr>
        <w:t> </w:t>
      </w:r>
      <w:r>
        <w:rPr/>
        <w:t>Service</w:t>
      </w:r>
      <w:r>
        <w:rPr>
          <w:spacing w:val="-11"/>
        </w:rPr>
        <w:t> </w:t>
      </w:r>
      <w:r>
        <w:rPr/>
        <w:t>Functions</w:t>
      </w:r>
      <w:r>
        <w:rPr>
          <w:spacing w:val="-10"/>
        </w:rPr>
        <w:t> </w:t>
      </w:r>
      <w:r>
        <w:rPr/>
        <w:t>and</w:t>
      </w:r>
      <w:r>
        <w:rPr>
          <w:spacing w:val="-15"/>
        </w:rPr>
        <w:t> </w:t>
      </w:r>
      <w:r>
        <w:rPr/>
        <w:t>Senior</w:t>
      </w:r>
      <w:r>
        <w:rPr>
          <w:spacing w:val="-12"/>
        </w:rPr>
        <w:t> </w:t>
      </w:r>
      <w:r>
        <w:rPr/>
        <w:t>Center.</w:t>
      </w:r>
      <w:r>
        <w:rPr>
          <w:spacing w:val="-11"/>
        </w:rPr>
        <w:t> </w:t>
      </w:r>
      <w:r>
        <w:rPr/>
        <w:t>The</w:t>
      </w:r>
      <w:r>
        <w:rPr>
          <w:spacing w:val="-12"/>
        </w:rPr>
        <w:t> </w:t>
      </w:r>
      <w:r>
        <w:rPr/>
        <w:t>study</w:t>
      </w:r>
      <w:r>
        <w:rPr>
          <w:spacing w:val="-12"/>
        </w:rPr>
        <w:t> </w:t>
      </w:r>
      <w:r>
        <w:rPr/>
        <w:t>concluded</w:t>
      </w:r>
      <w:r>
        <w:rPr>
          <w:spacing w:val="-12"/>
        </w:rPr>
        <w:t> </w:t>
      </w:r>
      <w:r>
        <w:rPr/>
        <w:t>that</w:t>
      </w:r>
      <w:r>
        <w:rPr>
          <w:spacing w:val="-13"/>
        </w:rPr>
        <w:t> </w:t>
      </w:r>
      <w:r>
        <w:rPr/>
        <w:t>the</w:t>
      </w:r>
      <w:r>
        <w:rPr>
          <w:spacing w:val="-11"/>
        </w:rPr>
        <w:t> </w:t>
      </w:r>
      <w:r>
        <w:rPr/>
        <w:t>City</w:t>
      </w:r>
      <w:r>
        <w:rPr>
          <w:spacing w:val="-13"/>
        </w:rPr>
        <w:t> </w:t>
      </w:r>
      <w:r>
        <w:rPr/>
        <w:t>Hall</w:t>
      </w:r>
      <w:r>
        <w:rPr>
          <w:spacing w:val="-11"/>
        </w:rPr>
        <w:t> </w:t>
      </w:r>
      <w:r>
        <w:rPr/>
        <w:t>Complex is inadequate in size and flexibility and is not in compliance with basic accessibility and energy code requirements.</w:t>
      </w:r>
      <w:r>
        <w:rPr>
          <w:spacing w:val="-14"/>
        </w:rPr>
        <w:t> </w:t>
      </w:r>
      <w:r>
        <w:rPr/>
        <w:t>The</w:t>
      </w:r>
      <w:r>
        <w:rPr>
          <w:spacing w:val="-14"/>
        </w:rPr>
        <w:t> </w:t>
      </w:r>
      <w:r>
        <w:rPr/>
        <w:t>HVAC</w:t>
      </w:r>
      <w:r>
        <w:rPr>
          <w:spacing w:val="-12"/>
        </w:rPr>
        <w:t> </w:t>
      </w:r>
      <w:r>
        <w:rPr/>
        <w:t>system</w:t>
      </w:r>
      <w:r>
        <w:rPr>
          <w:spacing w:val="-15"/>
        </w:rPr>
        <w:t> </w:t>
      </w:r>
      <w:r>
        <w:rPr/>
        <w:t>is</w:t>
      </w:r>
      <w:r>
        <w:rPr>
          <w:spacing w:val="-12"/>
        </w:rPr>
        <w:t> </w:t>
      </w:r>
      <w:r>
        <w:rPr/>
        <w:t>well</w:t>
      </w:r>
      <w:r>
        <w:rPr>
          <w:spacing w:val="-14"/>
        </w:rPr>
        <w:t> </w:t>
      </w:r>
      <w:r>
        <w:rPr/>
        <w:t>beyond</w:t>
      </w:r>
      <w:r>
        <w:rPr>
          <w:spacing w:val="-14"/>
        </w:rPr>
        <w:t> </w:t>
      </w:r>
      <w:r>
        <w:rPr/>
        <w:t>its</w:t>
      </w:r>
      <w:r>
        <w:rPr>
          <w:spacing w:val="-12"/>
        </w:rPr>
        <w:t> </w:t>
      </w:r>
      <w:r>
        <w:rPr/>
        <w:t>intended</w:t>
      </w:r>
      <w:r>
        <w:rPr>
          <w:spacing w:val="-14"/>
        </w:rPr>
        <w:t> </w:t>
      </w:r>
      <w:r>
        <w:rPr/>
        <w:t>life</w:t>
      </w:r>
      <w:r>
        <w:rPr>
          <w:spacing w:val="-15"/>
        </w:rPr>
        <w:t> </w:t>
      </w:r>
      <w:r>
        <w:rPr/>
        <w:t>cycle</w:t>
      </w:r>
      <w:r>
        <w:rPr>
          <w:spacing w:val="-14"/>
        </w:rPr>
        <w:t> </w:t>
      </w:r>
      <w:r>
        <w:rPr/>
        <w:t>and</w:t>
      </w:r>
      <w:r>
        <w:rPr>
          <w:spacing w:val="-14"/>
        </w:rPr>
        <w:t> </w:t>
      </w:r>
      <w:r>
        <w:rPr/>
        <w:t>consists</w:t>
      </w:r>
      <w:r>
        <w:rPr>
          <w:spacing w:val="-12"/>
        </w:rPr>
        <w:t> </w:t>
      </w:r>
      <w:r>
        <w:rPr/>
        <w:t>of</w:t>
      </w:r>
      <w:r>
        <w:rPr>
          <w:spacing w:val="-14"/>
        </w:rPr>
        <w:t> </w:t>
      </w:r>
      <w:r>
        <w:rPr/>
        <w:t>an</w:t>
      </w:r>
      <w:r>
        <w:rPr>
          <w:spacing w:val="-14"/>
        </w:rPr>
        <w:t> </w:t>
      </w:r>
      <w:r>
        <w:rPr/>
        <w:t>electric</w:t>
      </w:r>
      <w:r>
        <w:rPr>
          <w:spacing w:val="-13"/>
        </w:rPr>
        <w:t> </w:t>
      </w:r>
      <w:r>
        <w:rPr/>
        <w:t>steam boiler original to the building and a cooling tower. Currently, the City is undertaking a review of its various administrative</w:t>
      </w:r>
      <w:r>
        <w:rPr>
          <w:spacing w:val="-2"/>
        </w:rPr>
        <w:t> </w:t>
      </w:r>
      <w:r>
        <w:rPr/>
        <w:t>facilities.</w:t>
      </w:r>
    </w:p>
    <w:p>
      <w:pPr>
        <w:pStyle w:val="BodyText"/>
        <w:spacing w:before="120"/>
        <w:ind w:left="120" w:right="231"/>
        <w:jc w:val="both"/>
      </w:pPr>
      <w:r>
        <w:rPr/>
        <w:t>The 5,600-square foot Administrative Building was built in 1977 and has only had minor cosmetic improvements. The ALSC study concluded that the building is basically sound and, is in compliance with building codes. Minor additional aesthetic improvements to the interior finish and carpeting in part of the building were recommended. The HVAC system is running at half of its design capability and cannot be repaired without significant investment.</w:t>
      </w:r>
    </w:p>
    <w:p>
      <w:pPr>
        <w:spacing w:before="201"/>
        <w:ind w:left="120" w:right="0" w:firstLine="0"/>
        <w:jc w:val="left"/>
        <w:rPr>
          <w:b/>
          <w:sz w:val="24"/>
        </w:rPr>
      </w:pPr>
      <w:bookmarkStart w:name="FUTURE DEFICIENCIES" w:id="289"/>
      <w:bookmarkEnd w:id="289"/>
      <w:r>
        <w:rPr/>
      </w:r>
      <w:r>
        <w:rPr>
          <w:b/>
          <w:sz w:val="24"/>
        </w:rPr>
        <w:t>FUTURE DEFICIENCIES</w:t>
      </w:r>
    </w:p>
    <w:p>
      <w:pPr>
        <w:pStyle w:val="BodyText"/>
        <w:spacing w:before="119"/>
        <w:ind w:left="120" w:right="234"/>
        <w:jc w:val="both"/>
      </w:pPr>
      <w:r>
        <w:rPr/>
        <w:t>Municipal facility needs that are affected by growth include equipment and space needs as well as additional staff time to process building permits, conduct development plan reviews, and perform City administrative functions. Future growth and development will place increased demand on the City’s municipal facilities and services. However, many factors that influence the need for municipal facilities space do not correlate directly with population growth. With technological advances that affect space demands and the trend toward the “right-sizing” of government, it cannot be assumed that municipal facility needs will increase proportionally with growth.</w:t>
      </w:r>
    </w:p>
    <w:p>
      <w:pPr>
        <w:spacing w:before="199"/>
        <w:ind w:left="120" w:right="0" w:firstLine="0"/>
        <w:jc w:val="left"/>
        <w:rPr>
          <w:b/>
          <w:sz w:val="24"/>
        </w:rPr>
      </w:pPr>
      <w:bookmarkStart w:name="RECOMMENDATIONS" w:id="290"/>
      <w:bookmarkEnd w:id="290"/>
      <w:r>
        <w:rPr/>
      </w:r>
      <w:r>
        <w:rPr>
          <w:b/>
          <w:sz w:val="24"/>
        </w:rPr>
        <w:t>RECOMMENDATIONS</w:t>
      </w:r>
    </w:p>
    <w:p>
      <w:pPr>
        <w:pStyle w:val="BodyText"/>
        <w:spacing w:before="119"/>
        <w:ind w:left="120" w:right="234"/>
        <w:jc w:val="both"/>
      </w:pPr>
      <w:r>
        <w:rPr/>
        <w:t>Currently a plan is underway for the construction of a new City Hall that will combine the City Hall, the City Hall Annex, and the Development Services Building into one facility, therefore eliminating three</w:t>
      </w:r>
      <w:r>
        <w:rPr>
          <w:spacing w:val="-14"/>
        </w:rPr>
        <w:t> </w:t>
      </w:r>
      <w:r>
        <w:rPr/>
        <w:t>aging</w:t>
      </w:r>
      <w:r>
        <w:rPr>
          <w:spacing w:val="-12"/>
        </w:rPr>
        <w:t> </w:t>
      </w:r>
      <w:r>
        <w:rPr/>
        <w:t>buildings.</w:t>
      </w:r>
      <w:r>
        <w:rPr>
          <w:spacing w:val="-14"/>
        </w:rPr>
        <w:t> </w:t>
      </w:r>
      <w:r>
        <w:rPr/>
        <w:t>Construction</w:t>
      </w:r>
      <w:r>
        <w:rPr>
          <w:spacing w:val="-14"/>
        </w:rPr>
        <w:t> </w:t>
      </w:r>
      <w:r>
        <w:rPr/>
        <w:t>of</w:t>
      </w:r>
      <w:r>
        <w:rPr>
          <w:spacing w:val="-13"/>
        </w:rPr>
        <w:t> </w:t>
      </w:r>
      <w:r>
        <w:rPr/>
        <w:t>a</w:t>
      </w:r>
      <w:r>
        <w:rPr>
          <w:spacing w:val="-14"/>
        </w:rPr>
        <w:t> </w:t>
      </w:r>
      <w:r>
        <w:rPr/>
        <w:t>46,000-square</w:t>
      </w:r>
      <w:r>
        <w:rPr>
          <w:spacing w:val="-13"/>
        </w:rPr>
        <w:t> </w:t>
      </w:r>
      <w:r>
        <w:rPr/>
        <w:t>foot</w:t>
      </w:r>
      <w:r>
        <w:rPr>
          <w:spacing w:val="-13"/>
        </w:rPr>
        <w:t> </w:t>
      </w:r>
      <w:r>
        <w:rPr/>
        <w:t>facility</w:t>
      </w:r>
      <w:r>
        <w:rPr>
          <w:spacing w:val="-15"/>
        </w:rPr>
        <w:t> </w:t>
      </w:r>
      <w:r>
        <w:rPr/>
        <w:t>will</w:t>
      </w:r>
      <w:r>
        <w:rPr>
          <w:spacing w:val="-13"/>
        </w:rPr>
        <w:t> </w:t>
      </w:r>
      <w:r>
        <w:rPr/>
        <w:t>begin</w:t>
      </w:r>
      <w:r>
        <w:rPr>
          <w:spacing w:val="-15"/>
        </w:rPr>
        <w:t> </w:t>
      </w:r>
      <w:r>
        <w:rPr/>
        <w:t>in</w:t>
      </w:r>
      <w:r>
        <w:rPr>
          <w:spacing w:val="-16"/>
        </w:rPr>
        <w:t> </w:t>
      </w:r>
      <w:r>
        <w:rPr/>
        <w:t>2017</w:t>
      </w:r>
      <w:r>
        <w:rPr>
          <w:spacing w:val="-13"/>
        </w:rPr>
        <w:t> </w:t>
      </w:r>
      <w:r>
        <w:rPr/>
        <w:t>and</w:t>
      </w:r>
      <w:r>
        <w:rPr>
          <w:spacing w:val="-14"/>
        </w:rPr>
        <w:t> </w:t>
      </w:r>
      <w:r>
        <w:rPr/>
        <w:t>be</w:t>
      </w:r>
      <w:r>
        <w:rPr>
          <w:spacing w:val="-13"/>
        </w:rPr>
        <w:t> </w:t>
      </w:r>
      <w:r>
        <w:rPr/>
        <w:t>complete in</w:t>
      </w:r>
      <w:r>
        <w:rPr>
          <w:spacing w:val="-2"/>
        </w:rPr>
        <w:t> </w:t>
      </w:r>
      <w:r>
        <w:rPr/>
        <w:t>2018.</w:t>
      </w:r>
    </w:p>
    <w:p>
      <w:pPr>
        <w:pStyle w:val="BodyText"/>
        <w:spacing w:before="121"/>
        <w:ind w:left="120" w:right="233" w:hanging="1"/>
        <w:jc w:val="both"/>
      </w:pPr>
      <w:r>
        <w:rPr/>
        <w:t>The</w:t>
      </w:r>
      <w:r>
        <w:rPr>
          <w:spacing w:val="-12"/>
        </w:rPr>
        <w:t> </w:t>
      </w:r>
      <w:r>
        <w:rPr/>
        <w:t>Facilities</w:t>
      </w:r>
      <w:r>
        <w:rPr>
          <w:spacing w:val="-11"/>
        </w:rPr>
        <w:t> </w:t>
      </w:r>
      <w:r>
        <w:rPr/>
        <w:t>Matrix</w:t>
      </w:r>
      <w:r>
        <w:rPr>
          <w:spacing w:val="-10"/>
        </w:rPr>
        <w:t> </w:t>
      </w:r>
      <w:r>
        <w:rPr/>
        <w:t>below</w:t>
      </w:r>
      <w:r>
        <w:rPr>
          <w:spacing w:val="-13"/>
        </w:rPr>
        <w:t> </w:t>
      </w:r>
      <w:r>
        <w:rPr/>
        <w:t>in</w:t>
      </w:r>
      <w:r>
        <w:rPr>
          <w:spacing w:val="-12"/>
        </w:rPr>
        <w:t> </w:t>
      </w:r>
      <w:r>
        <w:rPr/>
        <w:t>Table</w:t>
      </w:r>
      <w:r>
        <w:rPr>
          <w:spacing w:val="-13"/>
        </w:rPr>
        <w:t> </w:t>
      </w:r>
      <w:r>
        <w:rPr/>
        <w:t>CF-6</w:t>
      </w:r>
      <w:r>
        <w:rPr>
          <w:spacing w:val="-12"/>
        </w:rPr>
        <w:t> </w:t>
      </w:r>
      <w:r>
        <w:rPr/>
        <w:t>evaluates</w:t>
      </w:r>
      <w:r>
        <w:rPr>
          <w:spacing w:val="-13"/>
        </w:rPr>
        <w:t> </w:t>
      </w:r>
      <w:r>
        <w:rPr/>
        <w:t>major</w:t>
      </w:r>
      <w:r>
        <w:rPr>
          <w:spacing w:val="-13"/>
        </w:rPr>
        <w:t> </w:t>
      </w:r>
      <w:r>
        <w:rPr/>
        <w:t>facilities’</w:t>
      </w:r>
      <w:r>
        <w:rPr>
          <w:spacing w:val="-12"/>
        </w:rPr>
        <w:t> </w:t>
      </w:r>
      <w:r>
        <w:rPr/>
        <w:t>lifecycles.</w:t>
      </w:r>
      <w:r>
        <w:rPr>
          <w:spacing w:val="-15"/>
        </w:rPr>
        <w:t> </w:t>
      </w:r>
      <w:r>
        <w:rPr/>
        <w:t>The</w:t>
      </w:r>
      <w:r>
        <w:rPr>
          <w:spacing w:val="-14"/>
        </w:rPr>
        <w:t> </w:t>
      </w:r>
      <w:r>
        <w:rPr/>
        <w:t>lifecycle</w:t>
      </w:r>
      <w:r>
        <w:rPr>
          <w:spacing w:val="-12"/>
        </w:rPr>
        <w:t> </w:t>
      </w:r>
      <w:r>
        <w:rPr/>
        <w:t>of</w:t>
      </w:r>
      <w:r>
        <w:rPr>
          <w:spacing w:val="-11"/>
        </w:rPr>
        <w:t> </w:t>
      </w:r>
      <w:r>
        <w:rPr/>
        <w:t>a</w:t>
      </w:r>
      <w:r>
        <w:rPr>
          <w:spacing w:val="-12"/>
        </w:rPr>
        <w:t> </w:t>
      </w:r>
      <w:r>
        <w:rPr/>
        <w:t>facility can be measured based on the age of a building and cost of operation and maintenance over time. Efficiency in the building design can reduce the maintenance cost. Maintenance and operation cost rises as the building gets older until it reaches a point when maintenance is no longer cost-effective. The average age of an office building can range from 30 to 50 years. However, a building can reach its lifecycle sooner if it does not meet current code and safety requirements, and the cost of retrofitting outweighs the benefit. Future municipal facilities planning should assess the lifecycle of facilities and plan in advance to maintain desired level of</w:t>
      </w:r>
      <w:r>
        <w:rPr>
          <w:spacing w:val="-14"/>
        </w:rPr>
        <w:t> </w:t>
      </w:r>
      <w:r>
        <w:rPr/>
        <w:t>service.</w:t>
      </w:r>
    </w:p>
    <w:p>
      <w:pPr>
        <w:spacing w:after="0"/>
        <w:jc w:val="both"/>
        <w:sectPr>
          <w:pgSz w:w="12240" w:h="15840"/>
          <w:pgMar w:header="0" w:footer="1052" w:top="1360" w:bottom="1320" w:left="1320" w:right="1200"/>
        </w:sectPr>
      </w:pPr>
    </w:p>
    <w:p>
      <w:pPr>
        <w:spacing w:before="79"/>
        <w:ind w:left="120" w:right="0" w:firstLine="0"/>
        <w:jc w:val="left"/>
        <w:rPr>
          <w:rFonts w:ascii="Arial"/>
          <w:b/>
          <w:sz w:val="20"/>
        </w:rPr>
      </w:pPr>
      <w:r>
        <w:rPr>
          <w:rFonts w:ascii="Arial"/>
          <w:b/>
          <w:sz w:val="20"/>
        </w:rPr>
        <w:t>Table CF-6: Municipal Facilities Matrix and Lifecycle Assessment</w:t>
      </w:r>
    </w:p>
    <w:p>
      <w:pPr>
        <w:pStyle w:val="BodyText"/>
        <w:spacing w:before="6"/>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98"/>
        <w:gridCol w:w="1300"/>
        <w:gridCol w:w="2555"/>
        <w:gridCol w:w="2068"/>
        <w:gridCol w:w="1718"/>
      </w:tblGrid>
      <w:tr>
        <w:trPr>
          <w:trHeight w:val="1374" w:hRule="atLeast"/>
        </w:trPr>
        <w:tc>
          <w:tcPr>
            <w:tcW w:w="1598" w:type="dxa"/>
            <w:shd w:val="clear" w:color="auto" w:fill="B8CCE3"/>
          </w:tcPr>
          <w:p>
            <w:pPr>
              <w:pStyle w:val="TableParagraph"/>
              <w:spacing w:before="119"/>
              <w:rPr>
                <w:b/>
                <w:sz w:val="22"/>
              </w:rPr>
            </w:pPr>
            <w:r>
              <w:rPr>
                <w:b/>
                <w:sz w:val="22"/>
              </w:rPr>
              <w:t>Facilities</w:t>
            </w:r>
          </w:p>
        </w:tc>
        <w:tc>
          <w:tcPr>
            <w:tcW w:w="1300" w:type="dxa"/>
            <w:shd w:val="clear" w:color="auto" w:fill="B8CCE3"/>
          </w:tcPr>
          <w:p>
            <w:pPr>
              <w:pStyle w:val="TableParagraph"/>
              <w:spacing w:before="119"/>
              <w:ind w:left="108"/>
              <w:rPr>
                <w:b/>
                <w:sz w:val="22"/>
              </w:rPr>
            </w:pPr>
            <w:r>
              <w:rPr>
                <w:b/>
                <w:sz w:val="22"/>
              </w:rPr>
              <w:t>Year Built</w:t>
            </w:r>
          </w:p>
        </w:tc>
        <w:tc>
          <w:tcPr>
            <w:tcW w:w="2555" w:type="dxa"/>
            <w:shd w:val="clear" w:color="auto" w:fill="B8CCE3"/>
          </w:tcPr>
          <w:p>
            <w:pPr>
              <w:pStyle w:val="TableParagraph"/>
              <w:spacing w:before="119"/>
              <w:ind w:left="108"/>
              <w:rPr>
                <w:b/>
                <w:sz w:val="22"/>
              </w:rPr>
            </w:pPr>
            <w:r>
              <w:rPr>
                <w:b/>
                <w:sz w:val="22"/>
              </w:rPr>
              <w:t>Status of the Facility</w:t>
            </w:r>
          </w:p>
        </w:tc>
        <w:tc>
          <w:tcPr>
            <w:tcW w:w="2068" w:type="dxa"/>
            <w:shd w:val="clear" w:color="auto" w:fill="B8CCE3"/>
          </w:tcPr>
          <w:p>
            <w:pPr>
              <w:pStyle w:val="TableParagraph"/>
              <w:spacing w:line="264" w:lineRule="auto" w:before="119"/>
              <w:ind w:left="110" w:right="156"/>
              <w:rPr>
                <w:b/>
                <w:sz w:val="22"/>
              </w:rPr>
            </w:pPr>
            <w:r>
              <w:rPr>
                <w:b/>
                <w:sz w:val="22"/>
              </w:rPr>
              <w:t>% of the Lifecycle Remaining</w:t>
            </w:r>
          </w:p>
        </w:tc>
        <w:tc>
          <w:tcPr>
            <w:tcW w:w="1718" w:type="dxa"/>
            <w:shd w:val="clear" w:color="auto" w:fill="B8CCE3"/>
          </w:tcPr>
          <w:p>
            <w:pPr>
              <w:pStyle w:val="TableParagraph"/>
              <w:spacing w:line="264" w:lineRule="auto" w:before="119"/>
              <w:ind w:left="110" w:right="76"/>
              <w:rPr>
                <w:b/>
                <w:sz w:val="22"/>
              </w:rPr>
            </w:pPr>
            <w:r>
              <w:rPr>
                <w:b/>
                <w:sz w:val="22"/>
              </w:rPr>
              <w:t>Improvement/ Replacement</w:t>
            </w:r>
          </w:p>
          <w:p>
            <w:pPr>
              <w:pStyle w:val="TableParagraph"/>
              <w:spacing w:line="280" w:lineRule="atLeast" w:before="97"/>
              <w:ind w:left="110" w:right="294"/>
              <w:rPr>
                <w:b/>
                <w:sz w:val="22"/>
              </w:rPr>
            </w:pPr>
            <w:r>
              <w:rPr>
                <w:b/>
                <w:sz w:val="22"/>
              </w:rPr>
              <w:t>Allocation in CIP ($)</w:t>
            </w:r>
          </w:p>
        </w:tc>
      </w:tr>
      <w:tr>
        <w:trPr>
          <w:trHeight w:val="574" w:hRule="atLeast"/>
        </w:trPr>
        <w:tc>
          <w:tcPr>
            <w:tcW w:w="1598" w:type="dxa"/>
            <w:tcBorders>
              <w:bottom w:val="nil"/>
            </w:tcBorders>
          </w:tcPr>
          <w:p>
            <w:pPr>
              <w:pStyle w:val="TableParagraph"/>
              <w:rPr>
                <w:sz w:val="22"/>
              </w:rPr>
            </w:pPr>
            <w:r>
              <w:rPr>
                <w:sz w:val="22"/>
              </w:rPr>
              <w:t>City Hall</w:t>
            </w:r>
          </w:p>
        </w:tc>
        <w:tc>
          <w:tcPr>
            <w:tcW w:w="1300" w:type="dxa"/>
            <w:tcBorders>
              <w:bottom w:val="nil"/>
            </w:tcBorders>
          </w:tcPr>
          <w:p>
            <w:pPr>
              <w:pStyle w:val="TableParagraph"/>
              <w:ind w:left="108"/>
              <w:rPr>
                <w:sz w:val="22"/>
              </w:rPr>
            </w:pPr>
            <w:r>
              <w:rPr>
                <w:sz w:val="22"/>
              </w:rPr>
              <w:t>1959</w:t>
            </w:r>
          </w:p>
        </w:tc>
        <w:tc>
          <w:tcPr>
            <w:tcW w:w="2555" w:type="dxa"/>
            <w:tcBorders>
              <w:bottom w:val="nil"/>
            </w:tcBorders>
          </w:tcPr>
          <w:p>
            <w:pPr>
              <w:pStyle w:val="TableParagraph"/>
              <w:spacing w:line="256" w:lineRule="exact" w:before="63"/>
              <w:ind w:left="108" w:right="310"/>
              <w:rPr>
                <w:sz w:val="22"/>
              </w:rPr>
            </w:pPr>
            <w:r>
              <w:rPr>
                <w:sz w:val="22"/>
              </w:rPr>
              <w:t>Inadequate in size and flexibility; not in</w:t>
            </w:r>
          </w:p>
        </w:tc>
        <w:tc>
          <w:tcPr>
            <w:tcW w:w="2068" w:type="dxa"/>
            <w:tcBorders>
              <w:bottom w:val="nil"/>
            </w:tcBorders>
          </w:tcPr>
          <w:p>
            <w:pPr>
              <w:pStyle w:val="TableParagraph"/>
              <w:spacing w:line="256" w:lineRule="exact" w:before="63"/>
              <w:ind w:left="110" w:right="154"/>
              <w:rPr>
                <w:sz w:val="22"/>
              </w:rPr>
            </w:pPr>
            <w:r>
              <w:rPr>
                <w:sz w:val="22"/>
              </w:rPr>
              <w:t>The facility has passed its effective</w:t>
            </w:r>
          </w:p>
        </w:tc>
        <w:tc>
          <w:tcPr>
            <w:tcW w:w="1718" w:type="dxa"/>
            <w:tcBorders>
              <w:bottom w:val="nil"/>
            </w:tcBorders>
          </w:tcPr>
          <w:p>
            <w:pPr>
              <w:pStyle w:val="TableParagraph"/>
              <w:spacing w:line="257" w:lineRule="exact"/>
              <w:ind w:left="110"/>
              <w:rPr>
                <w:sz w:val="22"/>
              </w:rPr>
            </w:pPr>
            <w:r>
              <w:rPr>
                <w:sz w:val="22"/>
              </w:rPr>
              <w:t>18,500,000 for</w:t>
            </w:r>
          </w:p>
          <w:p>
            <w:pPr>
              <w:pStyle w:val="TableParagraph"/>
              <w:spacing w:line="238" w:lineRule="exact" w:before="0"/>
              <w:ind w:left="110"/>
              <w:rPr>
                <w:sz w:val="22"/>
              </w:rPr>
            </w:pPr>
            <w:r>
              <w:rPr>
                <w:sz w:val="22"/>
              </w:rPr>
              <w:t>new facility to</w:t>
            </w:r>
          </w:p>
        </w:tc>
      </w:tr>
      <w:tr>
        <w:trPr>
          <w:trHeight w:val="25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37" w:lineRule="exact" w:before="0"/>
              <w:ind w:left="108"/>
              <w:rPr>
                <w:sz w:val="22"/>
              </w:rPr>
            </w:pPr>
            <w:r>
              <w:rPr>
                <w:sz w:val="22"/>
              </w:rPr>
              <w:t>compliance with energy</w:t>
            </w:r>
          </w:p>
        </w:tc>
        <w:tc>
          <w:tcPr>
            <w:tcW w:w="2068" w:type="dxa"/>
            <w:tcBorders>
              <w:top w:val="nil"/>
              <w:bottom w:val="nil"/>
            </w:tcBorders>
          </w:tcPr>
          <w:p>
            <w:pPr>
              <w:pStyle w:val="TableParagraph"/>
              <w:spacing w:line="237" w:lineRule="exact" w:before="0"/>
              <w:ind w:left="110"/>
              <w:rPr>
                <w:sz w:val="22"/>
              </w:rPr>
            </w:pPr>
            <w:r>
              <w:rPr>
                <w:sz w:val="22"/>
              </w:rPr>
              <w:t>lifecycle. The</w:t>
            </w:r>
          </w:p>
        </w:tc>
        <w:tc>
          <w:tcPr>
            <w:tcW w:w="1718" w:type="dxa"/>
            <w:tcBorders>
              <w:top w:val="nil"/>
              <w:bottom w:val="nil"/>
            </w:tcBorders>
          </w:tcPr>
          <w:p>
            <w:pPr>
              <w:pStyle w:val="TableParagraph"/>
              <w:spacing w:line="237" w:lineRule="exact" w:before="0"/>
              <w:ind w:left="110"/>
              <w:rPr>
                <w:sz w:val="22"/>
              </w:rPr>
            </w:pPr>
            <w:r>
              <w:rPr>
                <w:sz w:val="22"/>
              </w:rPr>
              <w:t>be completed in</w:t>
            </w:r>
          </w:p>
        </w:tc>
      </w:tr>
      <w:tr>
        <w:trPr>
          <w:trHeight w:val="25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38" w:lineRule="exact" w:before="0"/>
              <w:ind w:left="108"/>
              <w:rPr>
                <w:sz w:val="22"/>
              </w:rPr>
            </w:pPr>
            <w:r>
              <w:rPr>
                <w:sz w:val="22"/>
              </w:rPr>
              <w:t>code or ADA</w:t>
            </w:r>
          </w:p>
        </w:tc>
        <w:tc>
          <w:tcPr>
            <w:tcW w:w="2068" w:type="dxa"/>
            <w:tcBorders>
              <w:top w:val="nil"/>
              <w:bottom w:val="nil"/>
            </w:tcBorders>
          </w:tcPr>
          <w:p>
            <w:pPr>
              <w:pStyle w:val="TableParagraph"/>
              <w:spacing w:line="238" w:lineRule="exact" w:before="0"/>
              <w:ind w:left="110"/>
              <w:rPr>
                <w:sz w:val="22"/>
              </w:rPr>
            </w:pPr>
            <w:r>
              <w:rPr>
                <w:sz w:val="22"/>
              </w:rPr>
              <w:t>building is in year</w:t>
            </w:r>
          </w:p>
        </w:tc>
        <w:tc>
          <w:tcPr>
            <w:tcW w:w="1718" w:type="dxa"/>
            <w:tcBorders>
              <w:top w:val="nil"/>
              <w:bottom w:val="nil"/>
            </w:tcBorders>
          </w:tcPr>
          <w:p>
            <w:pPr>
              <w:pStyle w:val="TableParagraph"/>
              <w:spacing w:line="238" w:lineRule="exact" w:before="0"/>
              <w:ind w:left="110"/>
              <w:rPr>
                <w:sz w:val="22"/>
              </w:rPr>
            </w:pPr>
            <w:r>
              <w:rPr>
                <w:sz w:val="22"/>
              </w:rPr>
              <w:t>2018</w:t>
            </w:r>
          </w:p>
        </w:tc>
      </w:tr>
      <w:tr>
        <w:trPr>
          <w:trHeight w:val="25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37" w:lineRule="exact" w:before="1"/>
              <w:ind w:left="108"/>
              <w:rPr>
                <w:sz w:val="22"/>
              </w:rPr>
            </w:pPr>
            <w:r>
              <w:rPr>
                <w:sz w:val="22"/>
              </w:rPr>
              <w:t>requirements; major</w:t>
            </w:r>
          </w:p>
        </w:tc>
        <w:tc>
          <w:tcPr>
            <w:tcW w:w="2068" w:type="dxa"/>
            <w:tcBorders>
              <w:top w:val="nil"/>
              <w:bottom w:val="nil"/>
            </w:tcBorders>
          </w:tcPr>
          <w:p>
            <w:pPr>
              <w:pStyle w:val="TableParagraph"/>
              <w:spacing w:line="237" w:lineRule="exact" w:before="1"/>
              <w:ind w:left="110"/>
              <w:rPr>
                <w:sz w:val="22"/>
              </w:rPr>
            </w:pPr>
            <w:r>
              <w:rPr>
                <w:sz w:val="22"/>
              </w:rPr>
              <w:t>59 of a 50 year</w:t>
            </w:r>
          </w:p>
        </w:tc>
        <w:tc>
          <w:tcPr>
            <w:tcW w:w="1718" w:type="dxa"/>
            <w:tcBorders>
              <w:top w:val="nil"/>
              <w:bottom w:val="nil"/>
            </w:tcBorders>
          </w:tcPr>
          <w:p>
            <w:pPr>
              <w:pStyle w:val="TableParagraph"/>
              <w:spacing w:before="0"/>
              <w:ind w:left="0"/>
              <w:rPr>
                <w:rFonts w:ascii="Times New Roman"/>
                <w:sz w:val="18"/>
              </w:rPr>
            </w:pPr>
          </w:p>
        </w:tc>
      </w:tr>
      <w:tr>
        <w:trPr>
          <w:trHeight w:val="25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38" w:lineRule="exact" w:before="0"/>
              <w:ind w:left="108"/>
              <w:rPr>
                <w:sz w:val="22"/>
              </w:rPr>
            </w:pPr>
            <w:r>
              <w:rPr>
                <w:sz w:val="22"/>
              </w:rPr>
              <w:t>MEP components are</w:t>
            </w:r>
          </w:p>
        </w:tc>
        <w:tc>
          <w:tcPr>
            <w:tcW w:w="2068" w:type="dxa"/>
            <w:tcBorders>
              <w:top w:val="nil"/>
              <w:bottom w:val="nil"/>
            </w:tcBorders>
          </w:tcPr>
          <w:p>
            <w:pPr>
              <w:pStyle w:val="TableParagraph"/>
              <w:spacing w:line="238" w:lineRule="exact" w:before="0"/>
              <w:ind w:left="110"/>
              <w:rPr>
                <w:sz w:val="22"/>
              </w:rPr>
            </w:pPr>
            <w:r>
              <w:rPr>
                <w:sz w:val="22"/>
              </w:rPr>
              <w:t>lifecycle and will be</w:t>
            </w:r>
          </w:p>
        </w:tc>
        <w:tc>
          <w:tcPr>
            <w:tcW w:w="1718" w:type="dxa"/>
            <w:tcBorders>
              <w:top w:val="nil"/>
              <w:bottom w:val="nil"/>
            </w:tcBorders>
          </w:tcPr>
          <w:p>
            <w:pPr>
              <w:pStyle w:val="TableParagraph"/>
              <w:spacing w:before="0"/>
              <w:ind w:left="0"/>
              <w:rPr>
                <w:rFonts w:ascii="Times New Roman"/>
                <w:sz w:val="18"/>
              </w:rPr>
            </w:pPr>
          </w:p>
        </w:tc>
      </w:tr>
      <w:tr>
        <w:trPr>
          <w:trHeight w:val="25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37" w:lineRule="exact" w:before="1"/>
              <w:ind w:left="108"/>
              <w:rPr>
                <w:sz w:val="22"/>
              </w:rPr>
            </w:pPr>
            <w:r>
              <w:rPr>
                <w:sz w:val="22"/>
              </w:rPr>
              <w:t>failing and the cost of</w:t>
            </w:r>
          </w:p>
        </w:tc>
        <w:tc>
          <w:tcPr>
            <w:tcW w:w="2068" w:type="dxa"/>
            <w:tcBorders>
              <w:top w:val="nil"/>
              <w:bottom w:val="nil"/>
            </w:tcBorders>
          </w:tcPr>
          <w:p>
            <w:pPr>
              <w:pStyle w:val="TableParagraph"/>
              <w:spacing w:line="237" w:lineRule="exact" w:before="1"/>
              <w:ind w:left="109"/>
              <w:rPr>
                <w:sz w:val="22"/>
              </w:rPr>
            </w:pPr>
            <w:r>
              <w:rPr>
                <w:sz w:val="22"/>
              </w:rPr>
              <w:t>replaced within 2</w:t>
            </w:r>
          </w:p>
        </w:tc>
        <w:tc>
          <w:tcPr>
            <w:tcW w:w="1718" w:type="dxa"/>
            <w:tcBorders>
              <w:top w:val="nil"/>
              <w:bottom w:val="nil"/>
            </w:tcBorders>
          </w:tcPr>
          <w:p>
            <w:pPr>
              <w:pStyle w:val="TableParagraph"/>
              <w:spacing w:before="0"/>
              <w:ind w:left="0"/>
              <w:rPr>
                <w:rFonts w:ascii="Times New Roman"/>
                <w:sz w:val="18"/>
              </w:rPr>
            </w:pPr>
          </w:p>
        </w:tc>
      </w:tr>
      <w:tr>
        <w:trPr>
          <w:trHeight w:val="257"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38" w:lineRule="exact" w:before="0"/>
              <w:ind w:left="108"/>
              <w:rPr>
                <w:sz w:val="22"/>
              </w:rPr>
            </w:pPr>
            <w:r>
              <w:rPr>
                <w:sz w:val="22"/>
              </w:rPr>
              <w:t>maintenance is</w:t>
            </w:r>
          </w:p>
        </w:tc>
        <w:tc>
          <w:tcPr>
            <w:tcW w:w="2068" w:type="dxa"/>
            <w:tcBorders>
              <w:top w:val="nil"/>
              <w:bottom w:val="nil"/>
            </w:tcBorders>
          </w:tcPr>
          <w:p>
            <w:pPr>
              <w:pStyle w:val="TableParagraph"/>
              <w:spacing w:line="238" w:lineRule="exact" w:before="0"/>
              <w:ind w:left="109"/>
              <w:rPr>
                <w:sz w:val="22"/>
              </w:rPr>
            </w:pPr>
            <w:r>
              <w:rPr>
                <w:sz w:val="22"/>
              </w:rPr>
              <w:t>years.</w:t>
            </w:r>
          </w:p>
        </w:tc>
        <w:tc>
          <w:tcPr>
            <w:tcW w:w="1718" w:type="dxa"/>
            <w:tcBorders>
              <w:top w:val="nil"/>
              <w:bottom w:val="nil"/>
            </w:tcBorders>
          </w:tcPr>
          <w:p>
            <w:pPr>
              <w:pStyle w:val="TableParagraph"/>
              <w:spacing w:before="0"/>
              <w:ind w:left="0"/>
              <w:rPr>
                <w:rFonts w:ascii="Times New Roman"/>
                <w:sz w:val="18"/>
              </w:rPr>
            </w:pPr>
          </w:p>
        </w:tc>
      </w:tr>
      <w:tr>
        <w:trPr>
          <w:trHeight w:val="257" w:hRule="atLeast"/>
        </w:trPr>
        <w:tc>
          <w:tcPr>
            <w:tcW w:w="1598" w:type="dxa"/>
            <w:tcBorders>
              <w:top w:val="nil"/>
            </w:tcBorders>
          </w:tcPr>
          <w:p>
            <w:pPr>
              <w:pStyle w:val="TableParagraph"/>
              <w:spacing w:before="0"/>
              <w:ind w:left="0"/>
              <w:rPr>
                <w:rFonts w:ascii="Times New Roman"/>
                <w:sz w:val="18"/>
              </w:rPr>
            </w:pPr>
          </w:p>
        </w:tc>
        <w:tc>
          <w:tcPr>
            <w:tcW w:w="1300" w:type="dxa"/>
            <w:tcBorders>
              <w:top w:val="nil"/>
            </w:tcBorders>
          </w:tcPr>
          <w:p>
            <w:pPr>
              <w:pStyle w:val="TableParagraph"/>
              <w:spacing w:before="0"/>
              <w:ind w:left="0"/>
              <w:rPr>
                <w:rFonts w:ascii="Times New Roman"/>
                <w:sz w:val="18"/>
              </w:rPr>
            </w:pPr>
          </w:p>
        </w:tc>
        <w:tc>
          <w:tcPr>
            <w:tcW w:w="2555" w:type="dxa"/>
            <w:tcBorders>
              <w:top w:val="nil"/>
            </w:tcBorders>
          </w:tcPr>
          <w:p>
            <w:pPr>
              <w:pStyle w:val="TableParagraph"/>
              <w:spacing w:line="237" w:lineRule="exact" w:before="1"/>
              <w:ind w:left="108"/>
              <w:rPr>
                <w:sz w:val="22"/>
              </w:rPr>
            </w:pPr>
            <w:r>
              <w:rPr>
                <w:sz w:val="22"/>
              </w:rPr>
              <w:t>increasing every year</w:t>
            </w:r>
          </w:p>
        </w:tc>
        <w:tc>
          <w:tcPr>
            <w:tcW w:w="2068" w:type="dxa"/>
            <w:tcBorders>
              <w:top w:val="nil"/>
            </w:tcBorders>
          </w:tcPr>
          <w:p>
            <w:pPr>
              <w:pStyle w:val="TableParagraph"/>
              <w:spacing w:before="0"/>
              <w:ind w:left="0"/>
              <w:rPr>
                <w:rFonts w:ascii="Times New Roman"/>
                <w:sz w:val="18"/>
              </w:rPr>
            </w:pPr>
          </w:p>
        </w:tc>
        <w:tc>
          <w:tcPr>
            <w:tcW w:w="1718" w:type="dxa"/>
            <w:tcBorders>
              <w:top w:val="nil"/>
            </w:tcBorders>
          </w:tcPr>
          <w:p>
            <w:pPr>
              <w:pStyle w:val="TableParagraph"/>
              <w:spacing w:before="0"/>
              <w:ind w:left="0"/>
              <w:rPr>
                <w:rFonts w:ascii="Times New Roman"/>
                <w:sz w:val="18"/>
              </w:rPr>
            </w:pPr>
          </w:p>
        </w:tc>
      </w:tr>
      <w:tr>
        <w:trPr>
          <w:trHeight w:val="312" w:hRule="atLeast"/>
        </w:trPr>
        <w:tc>
          <w:tcPr>
            <w:tcW w:w="1598" w:type="dxa"/>
            <w:tcBorders>
              <w:bottom w:val="nil"/>
            </w:tcBorders>
          </w:tcPr>
          <w:p>
            <w:pPr>
              <w:pStyle w:val="TableParagraph"/>
              <w:spacing w:line="233" w:lineRule="exact"/>
              <w:rPr>
                <w:sz w:val="22"/>
              </w:rPr>
            </w:pPr>
            <w:r>
              <w:rPr>
                <w:sz w:val="22"/>
              </w:rPr>
              <w:t>City Shops</w:t>
            </w:r>
          </w:p>
        </w:tc>
        <w:tc>
          <w:tcPr>
            <w:tcW w:w="1300" w:type="dxa"/>
            <w:tcBorders>
              <w:bottom w:val="nil"/>
            </w:tcBorders>
          </w:tcPr>
          <w:p>
            <w:pPr>
              <w:pStyle w:val="TableParagraph"/>
              <w:spacing w:line="233" w:lineRule="exact"/>
              <w:ind w:left="108"/>
              <w:rPr>
                <w:sz w:val="22"/>
              </w:rPr>
            </w:pPr>
            <w:r>
              <w:rPr>
                <w:sz w:val="22"/>
              </w:rPr>
              <w:t>1998</w:t>
            </w:r>
          </w:p>
        </w:tc>
        <w:tc>
          <w:tcPr>
            <w:tcW w:w="2555" w:type="dxa"/>
            <w:tcBorders>
              <w:bottom w:val="nil"/>
            </w:tcBorders>
          </w:tcPr>
          <w:p>
            <w:pPr>
              <w:pStyle w:val="TableParagraph"/>
              <w:spacing w:line="233" w:lineRule="exact"/>
              <w:ind w:left="108"/>
              <w:rPr>
                <w:sz w:val="22"/>
              </w:rPr>
            </w:pPr>
            <w:r>
              <w:rPr>
                <w:sz w:val="22"/>
              </w:rPr>
              <w:t>The facility is still</w:t>
            </w:r>
          </w:p>
        </w:tc>
        <w:tc>
          <w:tcPr>
            <w:tcW w:w="2068" w:type="dxa"/>
            <w:tcBorders>
              <w:bottom w:val="nil"/>
            </w:tcBorders>
          </w:tcPr>
          <w:p>
            <w:pPr>
              <w:pStyle w:val="TableParagraph"/>
              <w:spacing w:line="233" w:lineRule="exact"/>
              <w:ind w:left="110"/>
              <w:rPr>
                <w:sz w:val="22"/>
              </w:rPr>
            </w:pPr>
            <w:r>
              <w:rPr>
                <w:sz w:val="22"/>
              </w:rPr>
              <w:t>The facility is on a</w:t>
            </w:r>
          </w:p>
        </w:tc>
        <w:tc>
          <w:tcPr>
            <w:tcW w:w="1718" w:type="dxa"/>
            <w:vMerge w:val="restart"/>
          </w:tcPr>
          <w:p>
            <w:pPr>
              <w:pStyle w:val="TableParagraph"/>
              <w:spacing w:before="0"/>
              <w:ind w:left="0"/>
              <w:rPr>
                <w:rFonts w:ascii="Times New Roman"/>
                <w:sz w:val="20"/>
              </w:rPr>
            </w:pPr>
          </w:p>
        </w:tc>
      </w:tr>
      <w:tr>
        <w:trPr>
          <w:trHeight w:val="506" w:hRule="atLeast"/>
        </w:trPr>
        <w:tc>
          <w:tcPr>
            <w:tcW w:w="1598" w:type="dxa"/>
            <w:tcBorders>
              <w:top w:val="nil"/>
              <w:bottom w:val="nil"/>
            </w:tcBorders>
          </w:tcPr>
          <w:p>
            <w:pPr>
              <w:pStyle w:val="TableParagraph"/>
              <w:spacing w:line="254" w:lineRule="exact" w:before="0"/>
              <w:rPr>
                <w:sz w:val="22"/>
              </w:rPr>
            </w:pPr>
            <w:r>
              <w:rPr>
                <w:sz w:val="22"/>
              </w:rPr>
              <w:t>100, 200, 300</w:t>
            </w:r>
          </w:p>
        </w:tc>
        <w:tc>
          <w:tcPr>
            <w:tcW w:w="1300" w:type="dxa"/>
            <w:tcBorders>
              <w:top w:val="nil"/>
              <w:bottom w:val="nil"/>
            </w:tcBorders>
          </w:tcPr>
          <w:p>
            <w:pPr>
              <w:pStyle w:val="TableParagraph"/>
              <w:spacing w:before="0"/>
              <w:ind w:left="0"/>
              <w:rPr>
                <w:rFonts w:ascii="Times New Roman"/>
                <w:sz w:val="20"/>
              </w:rPr>
            </w:pPr>
          </w:p>
        </w:tc>
        <w:tc>
          <w:tcPr>
            <w:tcW w:w="2555" w:type="dxa"/>
            <w:tcBorders>
              <w:top w:val="nil"/>
              <w:bottom w:val="nil"/>
            </w:tcBorders>
          </w:tcPr>
          <w:p>
            <w:pPr>
              <w:pStyle w:val="TableParagraph"/>
              <w:spacing w:line="253" w:lineRule="exact" w:before="0"/>
              <w:ind w:left="108"/>
              <w:rPr>
                <w:sz w:val="22"/>
              </w:rPr>
            </w:pPr>
            <w:r>
              <w:rPr>
                <w:sz w:val="22"/>
              </w:rPr>
              <w:t>functioning very well for</w:t>
            </w:r>
          </w:p>
          <w:p>
            <w:pPr>
              <w:pStyle w:val="TableParagraph"/>
              <w:spacing w:line="233" w:lineRule="exact" w:before="0"/>
              <w:ind w:left="108"/>
              <w:rPr>
                <w:sz w:val="22"/>
              </w:rPr>
            </w:pPr>
            <w:r>
              <w:rPr>
                <w:sz w:val="22"/>
              </w:rPr>
              <w:t>its intended purpose.</w:t>
            </w:r>
          </w:p>
        </w:tc>
        <w:tc>
          <w:tcPr>
            <w:tcW w:w="2068" w:type="dxa"/>
            <w:tcBorders>
              <w:top w:val="nil"/>
              <w:bottom w:val="nil"/>
            </w:tcBorders>
          </w:tcPr>
          <w:p>
            <w:pPr>
              <w:pStyle w:val="TableParagraph"/>
              <w:spacing w:line="253" w:lineRule="exact" w:before="0"/>
              <w:ind w:left="110"/>
              <w:rPr>
                <w:sz w:val="22"/>
              </w:rPr>
            </w:pPr>
            <w:r>
              <w:rPr>
                <w:sz w:val="22"/>
              </w:rPr>
              <w:t>50-year lifecycle. If</w:t>
            </w:r>
          </w:p>
          <w:p>
            <w:pPr>
              <w:pStyle w:val="TableParagraph"/>
              <w:spacing w:line="233" w:lineRule="exact" w:before="0"/>
              <w:ind w:left="110"/>
              <w:rPr>
                <w:sz w:val="22"/>
              </w:rPr>
            </w:pPr>
            <w:r>
              <w:rPr>
                <w:sz w:val="22"/>
              </w:rPr>
              <w:t>a proactive</w:t>
            </w:r>
          </w:p>
        </w:tc>
        <w:tc>
          <w:tcPr>
            <w:tcW w:w="1718" w:type="dxa"/>
            <w:vMerge/>
            <w:tcBorders>
              <w:top w:val="nil"/>
            </w:tcBorders>
          </w:tcPr>
          <w:p>
            <w:pPr>
              <w:rPr>
                <w:sz w:val="2"/>
                <w:szCs w:val="2"/>
              </w:rPr>
            </w:pPr>
          </w:p>
        </w:tc>
      </w:tr>
      <w:tr>
        <w:trPr>
          <w:trHeight w:val="24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28" w:lineRule="exact" w:before="0"/>
              <w:ind w:left="108"/>
              <w:rPr>
                <w:sz w:val="22"/>
              </w:rPr>
            </w:pPr>
            <w:r>
              <w:rPr>
                <w:sz w:val="22"/>
              </w:rPr>
              <w:t>The MEP systems have</w:t>
            </w:r>
          </w:p>
        </w:tc>
        <w:tc>
          <w:tcPr>
            <w:tcW w:w="2068" w:type="dxa"/>
            <w:tcBorders>
              <w:top w:val="nil"/>
              <w:bottom w:val="nil"/>
            </w:tcBorders>
          </w:tcPr>
          <w:p>
            <w:pPr>
              <w:pStyle w:val="TableParagraph"/>
              <w:spacing w:line="228" w:lineRule="exact" w:before="0"/>
              <w:ind w:left="110"/>
              <w:rPr>
                <w:sz w:val="22"/>
              </w:rPr>
            </w:pPr>
            <w:r>
              <w:rPr>
                <w:sz w:val="22"/>
              </w:rPr>
              <w:t>maintenance</w:t>
            </w:r>
          </w:p>
        </w:tc>
        <w:tc>
          <w:tcPr>
            <w:tcW w:w="1718" w:type="dxa"/>
            <w:vMerge/>
            <w:tcBorders>
              <w:top w:val="nil"/>
            </w:tcBorders>
          </w:tcPr>
          <w:p>
            <w:pPr>
              <w:rPr>
                <w:sz w:val="2"/>
                <w:szCs w:val="2"/>
              </w:rPr>
            </w:pPr>
          </w:p>
        </w:tc>
      </w:tr>
      <w:tr>
        <w:trPr>
          <w:trHeight w:val="24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28" w:lineRule="exact" w:before="0"/>
              <w:ind w:left="108"/>
              <w:rPr>
                <w:sz w:val="22"/>
              </w:rPr>
            </w:pPr>
            <w:r>
              <w:rPr>
                <w:sz w:val="22"/>
              </w:rPr>
              <w:t>been well maintained</w:t>
            </w:r>
          </w:p>
        </w:tc>
        <w:tc>
          <w:tcPr>
            <w:tcW w:w="2068" w:type="dxa"/>
            <w:tcBorders>
              <w:top w:val="nil"/>
              <w:bottom w:val="nil"/>
            </w:tcBorders>
          </w:tcPr>
          <w:p>
            <w:pPr>
              <w:pStyle w:val="TableParagraph"/>
              <w:spacing w:line="228" w:lineRule="exact" w:before="0"/>
              <w:ind w:left="110"/>
              <w:rPr>
                <w:sz w:val="22"/>
              </w:rPr>
            </w:pPr>
            <w:r>
              <w:rPr>
                <w:sz w:val="22"/>
              </w:rPr>
              <w:t>program continues,</w:t>
            </w:r>
          </w:p>
        </w:tc>
        <w:tc>
          <w:tcPr>
            <w:tcW w:w="1718" w:type="dxa"/>
            <w:vMerge/>
            <w:tcBorders>
              <w:top w:val="nil"/>
            </w:tcBorders>
          </w:tcPr>
          <w:p>
            <w:pPr>
              <w:rPr>
                <w:sz w:val="2"/>
                <w:szCs w:val="2"/>
              </w:rPr>
            </w:pPr>
          </w:p>
        </w:tc>
      </w:tr>
      <w:tr>
        <w:trPr>
          <w:trHeight w:val="24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28" w:lineRule="exact" w:before="0"/>
              <w:ind w:left="108"/>
              <w:rPr>
                <w:sz w:val="22"/>
              </w:rPr>
            </w:pPr>
            <w:r>
              <w:rPr>
                <w:sz w:val="22"/>
              </w:rPr>
              <w:t>and are performing as</w:t>
            </w:r>
          </w:p>
        </w:tc>
        <w:tc>
          <w:tcPr>
            <w:tcW w:w="2068" w:type="dxa"/>
            <w:tcBorders>
              <w:top w:val="nil"/>
              <w:bottom w:val="nil"/>
            </w:tcBorders>
          </w:tcPr>
          <w:p>
            <w:pPr>
              <w:pStyle w:val="TableParagraph"/>
              <w:spacing w:line="228" w:lineRule="exact" w:before="0"/>
              <w:ind w:left="110"/>
              <w:rPr>
                <w:sz w:val="22"/>
              </w:rPr>
            </w:pPr>
            <w:r>
              <w:rPr>
                <w:sz w:val="22"/>
              </w:rPr>
              <w:t>the building should</w:t>
            </w:r>
          </w:p>
        </w:tc>
        <w:tc>
          <w:tcPr>
            <w:tcW w:w="1718" w:type="dxa"/>
            <w:vMerge/>
            <w:tcBorders>
              <w:top w:val="nil"/>
            </w:tcBorders>
          </w:tcPr>
          <w:p>
            <w:pPr>
              <w:rPr>
                <w:sz w:val="2"/>
                <w:szCs w:val="2"/>
              </w:rPr>
            </w:pPr>
          </w:p>
        </w:tc>
      </w:tr>
      <w:tr>
        <w:trPr>
          <w:trHeight w:val="24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28" w:lineRule="exact" w:before="0"/>
              <w:ind w:left="108"/>
              <w:rPr>
                <w:sz w:val="22"/>
              </w:rPr>
            </w:pPr>
            <w:r>
              <w:rPr>
                <w:sz w:val="22"/>
              </w:rPr>
              <w:t>expected. The roof</w:t>
            </w:r>
          </w:p>
        </w:tc>
        <w:tc>
          <w:tcPr>
            <w:tcW w:w="2068" w:type="dxa"/>
            <w:tcBorders>
              <w:top w:val="nil"/>
              <w:bottom w:val="nil"/>
            </w:tcBorders>
          </w:tcPr>
          <w:p>
            <w:pPr>
              <w:pStyle w:val="TableParagraph"/>
              <w:spacing w:line="228" w:lineRule="exact" w:before="0"/>
              <w:ind w:left="110"/>
              <w:rPr>
                <w:sz w:val="22"/>
              </w:rPr>
            </w:pPr>
            <w:r>
              <w:rPr>
                <w:sz w:val="22"/>
              </w:rPr>
              <w:t>meet its intended</w:t>
            </w:r>
          </w:p>
        </w:tc>
        <w:tc>
          <w:tcPr>
            <w:tcW w:w="1718" w:type="dxa"/>
            <w:vMerge/>
            <w:tcBorders>
              <w:top w:val="nil"/>
            </w:tcBorders>
          </w:tcPr>
          <w:p>
            <w:pPr>
              <w:rPr>
                <w:sz w:val="2"/>
                <w:szCs w:val="2"/>
              </w:rPr>
            </w:pPr>
          </w:p>
        </w:tc>
      </w:tr>
      <w:tr>
        <w:trPr>
          <w:trHeight w:val="24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28" w:lineRule="exact" w:before="0"/>
              <w:ind w:left="108"/>
              <w:rPr>
                <w:sz w:val="22"/>
              </w:rPr>
            </w:pPr>
            <w:r>
              <w:rPr>
                <w:sz w:val="22"/>
              </w:rPr>
              <w:t>material has failed and</w:t>
            </w:r>
          </w:p>
        </w:tc>
        <w:tc>
          <w:tcPr>
            <w:tcW w:w="2068" w:type="dxa"/>
            <w:tcBorders>
              <w:top w:val="nil"/>
              <w:bottom w:val="nil"/>
            </w:tcBorders>
          </w:tcPr>
          <w:p>
            <w:pPr>
              <w:pStyle w:val="TableParagraph"/>
              <w:spacing w:line="228" w:lineRule="exact" w:before="0"/>
              <w:ind w:left="110"/>
              <w:rPr>
                <w:sz w:val="22"/>
              </w:rPr>
            </w:pPr>
            <w:r>
              <w:rPr>
                <w:sz w:val="22"/>
              </w:rPr>
              <w:t>lifecycle. The</w:t>
            </w:r>
          </w:p>
        </w:tc>
        <w:tc>
          <w:tcPr>
            <w:tcW w:w="1718" w:type="dxa"/>
            <w:vMerge/>
            <w:tcBorders>
              <w:top w:val="nil"/>
            </w:tcBorders>
          </w:tcPr>
          <w:p>
            <w:pPr>
              <w:rPr>
                <w:sz w:val="2"/>
                <w:szCs w:val="2"/>
              </w:rPr>
            </w:pPr>
          </w:p>
        </w:tc>
      </w:tr>
      <w:tr>
        <w:trPr>
          <w:trHeight w:val="247"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28" w:lineRule="exact" w:before="0"/>
              <w:ind w:left="108"/>
              <w:rPr>
                <w:sz w:val="22"/>
              </w:rPr>
            </w:pPr>
            <w:r>
              <w:rPr>
                <w:sz w:val="22"/>
              </w:rPr>
              <w:t>will need to be replaced</w:t>
            </w:r>
          </w:p>
        </w:tc>
        <w:tc>
          <w:tcPr>
            <w:tcW w:w="2068" w:type="dxa"/>
            <w:tcBorders>
              <w:top w:val="nil"/>
              <w:bottom w:val="nil"/>
            </w:tcBorders>
          </w:tcPr>
          <w:p>
            <w:pPr>
              <w:pStyle w:val="TableParagraph"/>
              <w:spacing w:line="228" w:lineRule="exact" w:before="0"/>
              <w:ind w:left="110"/>
              <w:rPr>
                <w:sz w:val="22"/>
              </w:rPr>
            </w:pPr>
            <w:r>
              <w:rPr>
                <w:sz w:val="22"/>
              </w:rPr>
              <w:t>current remaining</w:t>
            </w:r>
          </w:p>
        </w:tc>
        <w:tc>
          <w:tcPr>
            <w:tcW w:w="1718" w:type="dxa"/>
            <w:vMerge/>
            <w:tcBorders>
              <w:top w:val="nil"/>
            </w:tcBorders>
          </w:tcPr>
          <w:p>
            <w:pPr>
              <w:rPr>
                <w:sz w:val="2"/>
                <w:szCs w:val="2"/>
              </w:rPr>
            </w:pPr>
          </w:p>
        </w:tc>
      </w:tr>
      <w:tr>
        <w:trPr>
          <w:trHeight w:val="252" w:hRule="atLeast"/>
        </w:trPr>
        <w:tc>
          <w:tcPr>
            <w:tcW w:w="1598" w:type="dxa"/>
            <w:tcBorders>
              <w:top w:val="nil"/>
            </w:tcBorders>
          </w:tcPr>
          <w:p>
            <w:pPr>
              <w:pStyle w:val="TableParagraph"/>
              <w:spacing w:before="0"/>
              <w:ind w:left="0"/>
              <w:rPr>
                <w:rFonts w:ascii="Times New Roman"/>
                <w:sz w:val="18"/>
              </w:rPr>
            </w:pPr>
          </w:p>
        </w:tc>
        <w:tc>
          <w:tcPr>
            <w:tcW w:w="1300" w:type="dxa"/>
            <w:tcBorders>
              <w:top w:val="nil"/>
            </w:tcBorders>
          </w:tcPr>
          <w:p>
            <w:pPr>
              <w:pStyle w:val="TableParagraph"/>
              <w:spacing w:before="0"/>
              <w:ind w:left="0"/>
              <w:rPr>
                <w:rFonts w:ascii="Times New Roman"/>
                <w:sz w:val="18"/>
              </w:rPr>
            </w:pPr>
          </w:p>
        </w:tc>
        <w:tc>
          <w:tcPr>
            <w:tcW w:w="2555" w:type="dxa"/>
            <w:tcBorders>
              <w:top w:val="nil"/>
            </w:tcBorders>
          </w:tcPr>
          <w:p>
            <w:pPr>
              <w:pStyle w:val="TableParagraph"/>
              <w:spacing w:line="233" w:lineRule="exact" w:before="0"/>
              <w:ind w:left="108"/>
              <w:rPr>
                <w:sz w:val="22"/>
              </w:rPr>
            </w:pPr>
            <w:r>
              <w:rPr>
                <w:sz w:val="22"/>
              </w:rPr>
              <w:t>in 2018</w:t>
            </w:r>
          </w:p>
        </w:tc>
        <w:tc>
          <w:tcPr>
            <w:tcW w:w="2068" w:type="dxa"/>
            <w:tcBorders>
              <w:top w:val="nil"/>
            </w:tcBorders>
          </w:tcPr>
          <w:p>
            <w:pPr>
              <w:pStyle w:val="TableParagraph"/>
              <w:spacing w:line="233" w:lineRule="exact" w:before="0"/>
              <w:ind w:left="110"/>
              <w:rPr>
                <w:sz w:val="22"/>
              </w:rPr>
            </w:pPr>
            <w:r>
              <w:rPr>
                <w:sz w:val="22"/>
              </w:rPr>
              <w:t>lifecycle is 60%</w:t>
            </w:r>
          </w:p>
        </w:tc>
        <w:tc>
          <w:tcPr>
            <w:tcW w:w="1718" w:type="dxa"/>
            <w:vMerge/>
            <w:tcBorders>
              <w:top w:val="nil"/>
            </w:tcBorders>
          </w:tcPr>
          <w:p>
            <w:pPr>
              <w:rPr>
                <w:sz w:val="2"/>
                <w:szCs w:val="2"/>
              </w:rPr>
            </w:pPr>
          </w:p>
        </w:tc>
      </w:tr>
      <w:tr>
        <w:trPr>
          <w:trHeight w:val="317" w:hRule="atLeast"/>
        </w:trPr>
        <w:tc>
          <w:tcPr>
            <w:tcW w:w="1598" w:type="dxa"/>
            <w:tcBorders>
              <w:bottom w:val="nil"/>
            </w:tcBorders>
          </w:tcPr>
          <w:p>
            <w:pPr>
              <w:pStyle w:val="TableParagraph"/>
              <w:spacing w:line="238" w:lineRule="exact"/>
              <w:rPr>
                <w:sz w:val="22"/>
              </w:rPr>
            </w:pPr>
            <w:r>
              <w:rPr>
                <w:sz w:val="22"/>
              </w:rPr>
              <w:t>Development</w:t>
            </w:r>
          </w:p>
        </w:tc>
        <w:tc>
          <w:tcPr>
            <w:tcW w:w="1300" w:type="dxa"/>
            <w:tcBorders>
              <w:bottom w:val="nil"/>
            </w:tcBorders>
          </w:tcPr>
          <w:p>
            <w:pPr>
              <w:pStyle w:val="TableParagraph"/>
              <w:spacing w:line="238" w:lineRule="exact"/>
              <w:ind w:left="108"/>
              <w:rPr>
                <w:sz w:val="22"/>
              </w:rPr>
            </w:pPr>
            <w:r>
              <w:rPr>
                <w:sz w:val="22"/>
              </w:rPr>
              <w:t>1944</w:t>
            </w:r>
          </w:p>
        </w:tc>
        <w:tc>
          <w:tcPr>
            <w:tcW w:w="2555" w:type="dxa"/>
            <w:tcBorders>
              <w:bottom w:val="nil"/>
            </w:tcBorders>
          </w:tcPr>
          <w:p>
            <w:pPr>
              <w:pStyle w:val="TableParagraph"/>
              <w:spacing w:line="238" w:lineRule="exact"/>
              <w:ind w:left="109"/>
              <w:rPr>
                <w:sz w:val="22"/>
              </w:rPr>
            </w:pPr>
            <w:r>
              <w:rPr>
                <w:sz w:val="22"/>
              </w:rPr>
              <w:t>Major MEP failure</w:t>
            </w:r>
          </w:p>
        </w:tc>
        <w:tc>
          <w:tcPr>
            <w:tcW w:w="2068" w:type="dxa"/>
            <w:tcBorders>
              <w:bottom w:val="nil"/>
            </w:tcBorders>
          </w:tcPr>
          <w:p>
            <w:pPr>
              <w:pStyle w:val="TableParagraph"/>
              <w:spacing w:line="238" w:lineRule="exact"/>
              <w:ind w:left="110"/>
              <w:rPr>
                <w:sz w:val="22"/>
              </w:rPr>
            </w:pPr>
            <w:r>
              <w:rPr>
                <w:sz w:val="22"/>
              </w:rPr>
              <w:t>The facility has</w:t>
            </w:r>
          </w:p>
        </w:tc>
        <w:tc>
          <w:tcPr>
            <w:tcW w:w="1718" w:type="dxa"/>
            <w:tcBorders>
              <w:bottom w:val="nil"/>
            </w:tcBorders>
          </w:tcPr>
          <w:p>
            <w:pPr>
              <w:pStyle w:val="TableParagraph"/>
              <w:spacing w:line="238" w:lineRule="exact"/>
              <w:ind w:left="110"/>
              <w:rPr>
                <w:sz w:val="22"/>
              </w:rPr>
            </w:pPr>
            <w:r>
              <w:rPr>
                <w:sz w:val="22"/>
              </w:rPr>
              <w:t>18,500,000 for</w:t>
            </w:r>
          </w:p>
        </w:tc>
      </w:tr>
      <w:tr>
        <w:trPr>
          <w:trHeight w:val="516" w:hRule="atLeast"/>
        </w:trPr>
        <w:tc>
          <w:tcPr>
            <w:tcW w:w="1598" w:type="dxa"/>
            <w:tcBorders>
              <w:top w:val="nil"/>
              <w:bottom w:val="nil"/>
            </w:tcBorders>
          </w:tcPr>
          <w:p>
            <w:pPr>
              <w:pStyle w:val="TableParagraph"/>
              <w:spacing w:line="256" w:lineRule="exact" w:before="5"/>
              <w:ind w:right="669"/>
              <w:rPr>
                <w:sz w:val="22"/>
              </w:rPr>
            </w:pPr>
            <w:r>
              <w:rPr>
                <w:sz w:val="22"/>
              </w:rPr>
              <w:t>Services Building</w:t>
            </w:r>
          </w:p>
        </w:tc>
        <w:tc>
          <w:tcPr>
            <w:tcW w:w="1300" w:type="dxa"/>
            <w:tcBorders>
              <w:top w:val="nil"/>
              <w:bottom w:val="nil"/>
            </w:tcBorders>
          </w:tcPr>
          <w:p>
            <w:pPr>
              <w:pStyle w:val="TableParagraph"/>
              <w:spacing w:before="0"/>
              <w:ind w:left="0"/>
              <w:rPr>
                <w:rFonts w:ascii="Times New Roman"/>
                <w:sz w:val="20"/>
              </w:rPr>
            </w:pPr>
          </w:p>
        </w:tc>
        <w:tc>
          <w:tcPr>
            <w:tcW w:w="2555" w:type="dxa"/>
            <w:tcBorders>
              <w:top w:val="nil"/>
              <w:bottom w:val="nil"/>
            </w:tcBorders>
          </w:tcPr>
          <w:p>
            <w:pPr>
              <w:pStyle w:val="TableParagraph"/>
              <w:spacing w:before="1"/>
              <w:ind w:left="109"/>
              <w:rPr>
                <w:sz w:val="22"/>
              </w:rPr>
            </w:pPr>
            <w:r>
              <w:rPr>
                <w:sz w:val="22"/>
              </w:rPr>
              <w:t>throughout the building</w:t>
            </w:r>
          </w:p>
        </w:tc>
        <w:tc>
          <w:tcPr>
            <w:tcW w:w="2068" w:type="dxa"/>
            <w:tcBorders>
              <w:top w:val="nil"/>
              <w:bottom w:val="nil"/>
            </w:tcBorders>
          </w:tcPr>
          <w:p>
            <w:pPr>
              <w:pStyle w:val="TableParagraph"/>
              <w:spacing w:line="256" w:lineRule="exact" w:before="5"/>
              <w:ind w:left="110" w:right="85"/>
              <w:rPr>
                <w:sz w:val="22"/>
              </w:rPr>
            </w:pPr>
            <w:r>
              <w:rPr>
                <w:sz w:val="22"/>
              </w:rPr>
              <w:t>passed its effective lifecycle and will be</w:t>
            </w:r>
          </w:p>
        </w:tc>
        <w:tc>
          <w:tcPr>
            <w:tcW w:w="1718" w:type="dxa"/>
            <w:tcBorders>
              <w:top w:val="nil"/>
              <w:bottom w:val="nil"/>
            </w:tcBorders>
          </w:tcPr>
          <w:p>
            <w:pPr>
              <w:pStyle w:val="TableParagraph"/>
              <w:spacing w:line="256" w:lineRule="exact" w:before="5"/>
              <w:ind w:left="110" w:right="79"/>
              <w:rPr>
                <w:sz w:val="22"/>
              </w:rPr>
            </w:pPr>
            <w:r>
              <w:rPr>
                <w:sz w:val="22"/>
              </w:rPr>
              <w:t>new facility to be completed in</w:t>
            </w:r>
          </w:p>
        </w:tc>
      </w:tr>
      <w:tr>
        <w:trPr>
          <w:trHeight w:val="514" w:hRule="atLeast"/>
        </w:trPr>
        <w:tc>
          <w:tcPr>
            <w:tcW w:w="1598" w:type="dxa"/>
            <w:tcBorders>
              <w:top w:val="nil"/>
              <w:bottom w:val="nil"/>
            </w:tcBorders>
          </w:tcPr>
          <w:p>
            <w:pPr>
              <w:pStyle w:val="TableParagraph"/>
              <w:spacing w:before="0"/>
              <w:ind w:left="0"/>
              <w:rPr>
                <w:rFonts w:ascii="Times New Roman"/>
                <w:sz w:val="20"/>
              </w:rPr>
            </w:pPr>
          </w:p>
        </w:tc>
        <w:tc>
          <w:tcPr>
            <w:tcW w:w="1300" w:type="dxa"/>
            <w:tcBorders>
              <w:top w:val="nil"/>
              <w:bottom w:val="nil"/>
            </w:tcBorders>
          </w:tcPr>
          <w:p>
            <w:pPr>
              <w:pStyle w:val="TableParagraph"/>
              <w:spacing w:before="0"/>
              <w:ind w:left="0"/>
              <w:rPr>
                <w:rFonts w:ascii="Times New Roman"/>
                <w:sz w:val="20"/>
              </w:rPr>
            </w:pPr>
          </w:p>
        </w:tc>
        <w:tc>
          <w:tcPr>
            <w:tcW w:w="2555" w:type="dxa"/>
            <w:tcBorders>
              <w:top w:val="nil"/>
              <w:bottom w:val="nil"/>
            </w:tcBorders>
          </w:tcPr>
          <w:p>
            <w:pPr>
              <w:pStyle w:val="TableParagraph"/>
              <w:spacing w:before="0"/>
              <w:ind w:left="0"/>
              <w:rPr>
                <w:rFonts w:ascii="Times New Roman"/>
                <w:sz w:val="20"/>
              </w:rPr>
            </w:pPr>
          </w:p>
        </w:tc>
        <w:tc>
          <w:tcPr>
            <w:tcW w:w="2068" w:type="dxa"/>
            <w:tcBorders>
              <w:top w:val="nil"/>
              <w:bottom w:val="nil"/>
            </w:tcBorders>
          </w:tcPr>
          <w:p>
            <w:pPr>
              <w:pStyle w:val="TableParagraph"/>
              <w:spacing w:line="256" w:lineRule="exact" w:before="4"/>
              <w:ind w:left="110" w:right="139"/>
              <w:rPr>
                <w:sz w:val="22"/>
              </w:rPr>
            </w:pPr>
            <w:r>
              <w:rPr>
                <w:sz w:val="22"/>
              </w:rPr>
              <w:t>replaced within 2 years as part of the</w:t>
            </w:r>
          </w:p>
        </w:tc>
        <w:tc>
          <w:tcPr>
            <w:tcW w:w="1718" w:type="dxa"/>
            <w:tcBorders>
              <w:top w:val="nil"/>
              <w:bottom w:val="nil"/>
            </w:tcBorders>
          </w:tcPr>
          <w:p>
            <w:pPr>
              <w:pStyle w:val="TableParagraph"/>
              <w:spacing w:before="0"/>
              <w:ind w:left="110"/>
              <w:rPr>
                <w:sz w:val="22"/>
              </w:rPr>
            </w:pPr>
            <w:r>
              <w:rPr>
                <w:sz w:val="22"/>
              </w:rPr>
              <w:t>2018</w:t>
            </w:r>
          </w:p>
        </w:tc>
      </w:tr>
      <w:tr>
        <w:trPr>
          <w:trHeight w:val="256" w:hRule="atLeast"/>
        </w:trPr>
        <w:tc>
          <w:tcPr>
            <w:tcW w:w="1598" w:type="dxa"/>
            <w:tcBorders>
              <w:top w:val="nil"/>
            </w:tcBorders>
          </w:tcPr>
          <w:p>
            <w:pPr>
              <w:pStyle w:val="TableParagraph"/>
              <w:spacing w:before="0"/>
              <w:ind w:left="0"/>
              <w:rPr>
                <w:rFonts w:ascii="Times New Roman"/>
                <w:sz w:val="18"/>
              </w:rPr>
            </w:pPr>
          </w:p>
        </w:tc>
        <w:tc>
          <w:tcPr>
            <w:tcW w:w="1300" w:type="dxa"/>
            <w:tcBorders>
              <w:top w:val="nil"/>
            </w:tcBorders>
          </w:tcPr>
          <w:p>
            <w:pPr>
              <w:pStyle w:val="TableParagraph"/>
              <w:spacing w:before="0"/>
              <w:ind w:left="0"/>
              <w:rPr>
                <w:rFonts w:ascii="Times New Roman"/>
                <w:sz w:val="18"/>
              </w:rPr>
            </w:pPr>
          </w:p>
        </w:tc>
        <w:tc>
          <w:tcPr>
            <w:tcW w:w="2555" w:type="dxa"/>
            <w:tcBorders>
              <w:top w:val="nil"/>
            </w:tcBorders>
          </w:tcPr>
          <w:p>
            <w:pPr>
              <w:pStyle w:val="TableParagraph"/>
              <w:spacing w:before="0"/>
              <w:ind w:left="0"/>
              <w:rPr>
                <w:rFonts w:ascii="Times New Roman"/>
                <w:sz w:val="18"/>
              </w:rPr>
            </w:pPr>
          </w:p>
        </w:tc>
        <w:tc>
          <w:tcPr>
            <w:tcW w:w="2068" w:type="dxa"/>
            <w:tcBorders>
              <w:top w:val="nil"/>
            </w:tcBorders>
          </w:tcPr>
          <w:p>
            <w:pPr>
              <w:pStyle w:val="TableParagraph"/>
              <w:spacing w:line="237" w:lineRule="exact" w:before="0"/>
              <w:ind w:left="110"/>
              <w:rPr>
                <w:sz w:val="22"/>
              </w:rPr>
            </w:pPr>
            <w:r>
              <w:rPr>
                <w:sz w:val="22"/>
              </w:rPr>
              <w:t>new City Hall</w:t>
            </w:r>
          </w:p>
        </w:tc>
        <w:tc>
          <w:tcPr>
            <w:tcW w:w="1718" w:type="dxa"/>
            <w:tcBorders>
              <w:top w:val="nil"/>
            </w:tcBorders>
          </w:tcPr>
          <w:p>
            <w:pPr>
              <w:pStyle w:val="TableParagraph"/>
              <w:spacing w:before="0"/>
              <w:ind w:left="0"/>
              <w:rPr>
                <w:rFonts w:ascii="Times New Roman"/>
                <w:sz w:val="18"/>
              </w:rPr>
            </w:pPr>
          </w:p>
        </w:tc>
      </w:tr>
      <w:tr>
        <w:trPr>
          <w:trHeight w:val="317" w:hRule="atLeast"/>
        </w:trPr>
        <w:tc>
          <w:tcPr>
            <w:tcW w:w="1598" w:type="dxa"/>
            <w:tcBorders>
              <w:bottom w:val="nil"/>
            </w:tcBorders>
          </w:tcPr>
          <w:p>
            <w:pPr>
              <w:pStyle w:val="TableParagraph"/>
              <w:spacing w:line="238" w:lineRule="exact"/>
              <w:rPr>
                <w:sz w:val="22"/>
              </w:rPr>
            </w:pPr>
            <w:r>
              <w:rPr>
                <w:sz w:val="22"/>
              </w:rPr>
              <w:t>Fire Station</w:t>
            </w:r>
          </w:p>
        </w:tc>
        <w:tc>
          <w:tcPr>
            <w:tcW w:w="1300" w:type="dxa"/>
            <w:tcBorders>
              <w:bottom w:val="nil"/>
            </w:tcBorders>
          </w:tcPr>
          <w:p>
            <w:pPr>
              <w:pStyle w:val="TableParagraph"/>
              <w:spacing w:line="238" w:lineRule="exact"/>
              <w:ind w:left="108"/>
              <w:rPr>
                <w:sz w:val="22"/>
              </w:rPr>
            </w:pPr>
            <w:r>
              <w:rPr>
                <w:sz w:val="22"/>
              </w:rPr>
              <w:t>1953</w:t>
            </w:r>
          </w:p>
        </w:tc>
        <w:tc>
          <w:tcPr>
            <w:tcW w:w="2555" w:type="dxa"/>
            <w:tcBorders>
              <w:bottom w:val="nil"/>
            </w:tcBorders>
          </w:tcPr>
          <w:p>
            <w:pPr>
              <w:pStyle w:val="TableParagraph"/>
              <w:spacing w:line="238" w:lineRule="exact"/>
              <w:ind w:left="109"/>
              <w:rPr>
                <w:sz w:val="22"/>
              </w:rPr>
            </w:pPr>
            <w:r>
              <w:rPr>
                <w:sz w:val="22"/>
              </w:rPr>
              <w:t>Even though the facility</w:t>
            </w:r>
          </w:p>
        </w:tc>
        <w:tc>
          <w:tcPr>
            <w:tcW w:w="2068" w:type="dxa"/>
            <w:tcBorders>
              <w:bottom w:val="nil"/>
            </w:tcBorders>
          </w:tcPr>
          <w:p>
            <w:pPr>
              <w:pStyle w:val="TableParagraph"/>
              <w:spacing w:line="238" w:lineRule="exact"/>
              <w:ind w:left="110"/>
              <w:rPr>
                <w:sz w:val="22"/>
              </w:rPr>
            </w:pPr>
            <w:r>
              <w:rPr>
                <w:sz w:val="22"/>
              </w:rPr>
              <w:t>The facility is</w:t>
            </w:r>
          </w:p>
        </w:tc>
        <w:tc>
          <w:tcPr>
            <w:tcW w:w="1718" w:type="dxa"/>
            <w:tcBorders>
              <w:bottom w:val="nil"/>
            </w:tcBorders>
          </w:tcPr>
          <w:p>
            <w:pPr>
              <w:pStyle w:val="TableParagraph"/>
              <w:spacing w:line="238" w:lineRule="exact"/>
              <w:ind w:left="110"/>
              <w:rPr>
                <w:sz w:val="22"/>
              </w:rPr>
            </w:pPr>
            <w:r>
              <w:rPr>
                <w:sz w:val="22"/>
                <w:u w:val="single"/>
              </w:rPr>
              <w:t>$5, 000,000</w:t>
            </w:r>
          </w:p>
        </w:tc>
      </w:tr>
      <w:tr>
        <w:trPr>
          <w:trHeight w:val="516" w:hRule="atLeast"/>
        </w:trPr>
        <w:tc>
          <w:tcPr>
            <w:tcW w:w="1598" w:type="dxa"/>
            <w:tcBorders>
              <w:top w:val="nil"/>
              <w:bottom w:val="nil"/>
            </w:tcBorders>
          </w:tcPr>
          <w:p>
            <w:pPr>
              <w:pStyle w:val="TableParagraph"/>
              <w:spacing w:before="1"/>
              <w:rPr>
                <w:sz w:val="22"/>
              </w:rPr>
            </w:pPr>
            <w:r>
              <w:rPr>
                <w:sz w:val="22"/>
              </w:rPr>
              <w:t>71</w:t>
            </w:r>
          </w:p>
        </w:tc>
        <w:tc>
          <w:tcPr>
            <w:tcW w:w="1300" w:type="dxa"/>
            <w:tcBorders>
              <w:top w:val="nil"/>
              <w:bottom w:val="nil"/>
            </w:tcBorders>
          </w:tcPr>
          <w:p>
            <w:pPr>
              <w:pStyle w:val="TableParagraph"/>
              <w:spacing w:before="0"/>
              <w:ind w:left="0"/>
              <w:rPr>
                <w:rFonts w:ascii="Times New Roman"/>
                <w:sz w:val="20"/>
              </w:rPr>
            </w:pPr>
          </w:p>
        </w:tc>
        <w:tc>
          <w:tcPr>
            <w:tcW w:w="2555" w:type="dxa"/>
            <w:tcBorders>
              <w:top w:val="nil"/>
              <w:bottom w:val="nil"/>
            </w:tcBorders>
          </w:tcPr>
          <w:p>
            <w:pPr>
              <w:pStyle w:val="TableParagraph"/>
              <w:spacing w:line="256" w:lineRule="exact" w:before="5"/>
              <w:ind w:left="109" w:right="104"/>
              <w:rPr>
                <w:sz w:val="22"/>
              </w:rPr>
            </w:pPr>
            <w:r>
              <w:rPr>
                <w:sz w:val="22"/>
              </w:rPr>
              <w:t>was remodeled in 1992, it is not performing well.</w:t>
            </w:r>
          </w:p>
        </w:tc>
        <w:tc>
          <w:tcPr>
            <w:tcW w:w="2068" w:type="dxa"/>
            <w:tcBorders>
              <w:top w:val="nil"/>
              <w:bottom w:val="nil"/>
            </w:tcBorders>
          </w:tcPr>
          <w:p>
            <w:pPr>
              <w:pStyle w:val="TableParagraph"/>
              <w:spacing w:line="256" w:lineRule="exact" w:before="5"/>
              <w:ind w:left="110" w:right="299"/>
              <w:rPr>
                <w:sz w:val="22"/>
              </w:rPr>
            </w:pPr>
            <w:r>
              <w:rPr>
                <w:sz w:val="22"/>
              </w:rPr>
              <w:t>currently on year 64 of a 50 year</w:t>
            </w:r>
          </w:p>
        </w:tc>
        <w:tc>
          <w:tcPr>
            <w:tcW w:w="1718" w:type="dxa"/>
            <w:tcBorders>
              <w:top w:val="nil"/>
              <w:bottom w:val="nil"/>
            </w:tcBorders>
          </w:tcPr>
          <w:p>
            <w:pPr>
              <w:pStyle w:val="TableParagraph"/>
              <w:spacing w:before="0"/>
              <w:ind w:left="0"/>
              <w:rPr>
                <w:rFonts w:ascii="Times New Roman"/>
                <w:sz w:val="20"/>
              </w:rPr>
            </w:pPr>
          </w:p>
        </w:tc>
      </w:tr>
      <w:tr>
        <w:trPr>
          <w:trHeight w:val="257"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37" w:lineRule="exact" w:before="0"/>
              <w:ind w:left="109"/>
              <w:rPr>
                <w:sz w:val="22"/>
              </w:rPr>
            </w:pPr>
            <w:r>
              <w:rPr>
                <w:sz w:val="22"/>
              </w:rPr>
              <w:t>The MEP systems are</w:t>
            </w:r>
          </w:p>
        </w:tc>
        <w:tc>
          <w:tcPr>
            <w:tcW w:w="2068" w:type="dxa"/>
            <w:tcBorders>
              <w:top w:val="nil"/>
              <w:bottom w:val="nil"/>
            </w:tcBorders>
          </w:tcPr>
          <w:p>
            <w:pPr>
              <w:pStyle w:val="TableParagraph"/>
              <w:spacing w:line="237" w:lineRule="exact" w:before="0"/>
              <w:ind w:left="110"/>
              <w:rPr>
                <w:sz w:val="22"/>
              </w:rPr>
            </w:pPr>
            <w:r>
              <w:rPr>
                <w:sz w:val="22"/>
              </w:rPr>
              <w:t>lifecycle. The</w:t>
            </w:r>
          </w:p>
        </w:tc>
        <w:tc>
          <w:tcPr>
            <w:tcW w:w="1718" w:type="dxa"/>
            <w:tcBorders>
              <w:top w:val="nil"/>
              <w:bottom w:val="nil"/>
            </w:tcBorders>
          </w:tcPr>
          <w:p>
            <w:pPr>
              <w:pStyle w:val="TableParagraph"/>
              <w:spacing w:before="0"/>
              <w:ind w:left="0"/>
              <w:rPr>
                <w:rFonts w:ascii="Times New Roman"/>
                <w:sz w:val="18"/>
              </w:rPr>
            </w:pPr>
          </w:p>
        </w:tc>
      </w:tr>
      <w:tr>
        <w:trPr>
          <w:trHeight w:val="25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38" w:lineRule="exact" w:before="0"/>
              <w:ind w:left="109"/>
              <w:rPr>
                <w:sz w:val="22"/>
              </w:rPr>
            </w:pPr>
            <w:r>
              <w:rPr>
                <w:sz w:val="22"/>
              </w:rPr>
              <w:t>failing</w:t>
            </w:r>
          </w:p>
        </w:tc>
        <w:tc>
          <w:tcPr>
            <w:tcW w:w="2068" w:type="dxa"/>
            <w:tcBorders>
              <w:top w:val="nil"/>
              <w:bottom w:val="nil"/>
            </w:tcBorders>
          </w:tcPr>
          <w:p>
            <w:pPr>
              <w:pStyle w:val="TableParagraph"/>
              <w:spacing w:line="238" w:lineRule="exact" w:before="0"/>
              <w:ind w:left="110"/>
              <w:rPr>
                <w:sz w:val="22"/>
              </w:rPr>
            </w:pPr>
            <w:r>
              <w:rPr>
                <w:sz w:val="22"/>
              </w:rPr>
              <w:t>facility is well past</w:t>
            </w:r>
          </w:p>
        </w:tc>
        <w:tc>
          <w:tcPr>
            <w:tcW w:w="1718" w:type="dxa"/>
            <w:tcBorders>
              <w:top w:val="nil"/>
              <w:bottom w:val="nil"/>
            </w:tcBorders>
          </w:tcPr>
          <w:p>
            <w:pPr>
              <w:pStyle w:val="TableParagraph"/>
              <w:spacing w:before="0"/>
              <w:ind w:left="0"/>
              <w:rPr>
                <w:rFonts w:ascii="Times New Roman"/>
                <w:sz w:val="18"/>
              </w:rPr>
            </w:pPr>
          </w:p>
        </w:tc>
      </w:tr>
      <w:tr>
        <w:trPr>
          <w:trHeight w:val="25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before="0"/>
              <w:ind w:left="0"/>
              <w:rPr>
                <w:rFonts w:ascii="Times New Roman"/>
                <w:sz w:val="18"/>
              </w:rPr>
            </w:pPr>
          </w:p>
        </w:tc>
        <w:tc>
          <w:tcPr>
            <w:tcW w:w="2068" w:type="dxa"/>
            <w:tcBorders>
              <w:top w:val="nil"/>
              <w:bottom w:val="nil"/>
            </w:tcBorders>
          </w:tcPr>
          <w:p>
            <w:pPr>
              <w:pStyle w:val="TableParagraph"/>
              <w:spacing w:line="237" w:lineRule="exact" w:before="1"/>
              <w:ind w:left="110"/>
              <w:rPr>
                <w:sz w:val="22"/>
              </w:rPr>
            </w:pPr>
            <w:r>
              <w:rPr>
                <w:sz w:val="22"/>
              </w:rPr>
              <w:t>its effective</w:t>
            </w:r>
          </w:p>
        </w:tc>
        <w:tc>
          <w:tcPr>
            <w:tcW w:w="1718" w:type="dxa"/>
            <w:tcBorders>
              <w:top w:val="nil"/>
              <w:bottom w:val="nil"/>
            </w:tcBorders>
          </w:tcPr>
          <w:p>
            <w:pPr>
              <w:pStyle w:val="TableParagraph"/>
              <w:spacing w:before="0"/>
              <w:ind w:left="0"/>
              <w:rPr>
                <w:rFonts w:ascii="Times New Roman"/>
                <w:sz w:val="18"/>
              </w:rPr>
            </w:pPr>
          </w:p>
        </w:tc>
      </w:tr>
      <w:tr>
        <w:trPr>
          <w:trHeight w:val="256"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before="0"/>
              <w:ind w:left="0"/>
              <w:rPr>
                <w:rFonts w:ascii="Times New Roman"/>
                <w:sz w:val="18"/>
              </w:rPr>
            </w:pPr>
          </w:p>
        </w:tc>
        <w:tc>
          <w:tcPr>
            <w:tcW w:w="2068" w:type="dxa"/>
            <w:tcBorders>
              <w:top w:val="nil"/>
              <w:bottom w:val="nil"/>
            </w:tcBorders>
          </w:tcPr>
          <w:p>
            <w:pPr>
              <w:pStyle w:val="TableParagraph"/>
              <w:spacing w:line="237" w:lineRule="exact" w:before="0"/>
              <w:ind w:left="110"/>
              <w:rPr>
                <w:sz w:val="22"/>
              </w:rPr>
            </w:pPr>
            <w:r>
              <w:rPr>
                <w:sz w:val="22"/>
              </w:rPr>
              <w:t>lifecycle and is</w:t>
            </w:r>
          </w:p>
        </w:tc>
        <w:tc>
          <w:tcPr>
            <w:tcW w:w="1718" w:type="dxa"/>
            <w:tcBorders>
              <w:top w:val="nil"/>
              <w:bottom w:val="nil"/>
            </w:tcBorders>
          </w:tcPr>
          <w:p>
            <w:pPr>
              <w:pStyle w:val="TableParagraph"/>
              <w:spacing w:before="0"/>
              <w:ind w:left="0"/>
              <w:rPr>
                <w:rFonts w:ascii="Times New Roman"/>
                <w:sz w:val="18"/>
              </w:rPr>
            </w:pPr>
          </w:p>
        </w:tc>
      </w:tr>
      <w:tr>
        <w:trPr>
          <w:trHeight w:val="25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before="0"/>
              <w:ind w:left="0"/>
              <w:rPr>
                <w:rFonts w:ascii="Times New Roman"/>
                <w:sz w:val="18"/>
              </w:rPr>
            </w:pPr>
          </w:p>
        </w:tc>
        <w:tc>
          <w:tcPr>
            <w:tcW w:w="2068" w:type="dxa"/>
            <w:tcBorders>
              <w:top w:val="nil"/>
              <w:bottom w:val="nil"/>
            </w:tcBorders>
          </w:tcPr>
          <w:p>
            <w:pPr>
              <w:pStyle w:val="TableParagraph"/>
              <w:spacing w:line="238" w:lineRule="exact" w:before="0"/>
              <w:ind w:left="110"/>
              <w:rPr>
                <w:sz w:val="22"/>
              </w:rPr>
            </w:pPr>
            <w:r>
              <w:rPr>
                <w:sz w:val="22"/>
              </w:rPr>
              <w:t>requiring</w:t>
            </w:r>
          </w:p>
        </w:tc>
        <w:tc>
          <w:tcPr>
            <w:tcW w:w="1718" w:type="dxa"/>
            <w:tcBorders>
              <w:top w:val="nil"/>
              <w:bottom w:val="nil"/>
            </w:tcBorders>
          </w:tcPr>
          <w:p>
            <w:pPr>
              <w:pStyle w:val="TableParagraph"/>
              <w:spacing w:before="0"/>
              <w:ind w:left="0"/>
              <w:rPr>
                <w:rFonts w:ascii="Times New Roman"/>
                <w:sz w:val="18"/>
              </w:rPr>
            </w:pPr>
          </w:p>
        </w:tc>
      </w:tr>
      <w:tr>
        <w:trPr>
          <w:trHeight w:val="25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before="0"/>
              <w:ind w:left="0"/>
              <w:rPr>
                <w:rFonts w:ascii="Times New Roman"/>
                <w:sz w:val="18"/>
              </w:rPr>
            </w:pPr>
          </w:p>
        </w:tc>
        <w:tc>
          <w:tcPr>
            <w:tcW w:w="2068" w:type="dxa"/>
            <w:tcBorders>
              <w:top w:val="nil"/>
              <w:bottom w:val="nil"/>
            </w:tcBorders>
          </w:tcPr>
          <w:p>
            <w:pPr>
              <w:pStyle w:val="TableParagraph"/>
              <w:spacing w:line="237" w:lineRule="exact" w:before="1"/>
              <w:ind w:left="110"/>
              <w:rPr>
                <w:sz w:val="22"/>
              </w:rPr>
            </w:pPr>
            <w:r>
              <w:rPr>
                <w:sz w:val="22"/>
              </w:rPr>
              <w:t>significant</w:t>
            </w:r>
          </w:p>
        </w:tc>
        <w:tc>
          <w:tcPr>
            <w:tcW w:w="1718" w:type="dxa"/>
            <w:tcBorders>
              <w:top w:val="nil"/>
              <w:bottom w:val="nil"/>
            </w:tcBorders>
          </w:tcPr>
          <w:p>
            <w:pPr>
              <w:pStyle w:val="TableParagraph"/>
              <w:spacing w:before="0"/>
              <w:ind w:left="0"/>
              <w:rPr>
                <w:rFonts w:ascii="Times New Roman"/>
                <w:sz w:val="18"/>
              </w:rPr>
            </w:pPr>
          </w:p>
        </w:tc>
      </w:tr>
      <w:tr>
        <w:trPr>
          <w:trHeight w:val="258"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before="0"/>
              <w:ind w:left="0"/>
              <w:rPr>
                <w:rFonts w:ascii="Times New Roman"/>
                <w:sz w:val="18"/>
              </w:rPr>
            </w:pPr>
          </w:p>
        </w:tc>
        <w:tc>
          <w:tcPr>
            <w:tcW w:w="2068" w:type="dxa"/>
            <w:tcBorders>
              <w:top w:val="nil"/>
              <w:bottom w:val="nil"/>
            </w:tcBorders>
          </w:tcPr>
          <w:p>
            <w:pPr>
              <w:pStyle w:val="TableParagraph"/>
              <w:spacing w:line="238" w:lineRule="exact" w:before="0"/>
              <w:ind w:left="110"/>
              <w:rPr>
                <w:sz w:val="22"/>
              </w:rPr>
            </w:pPr>
            <w:r>
              <w:rPr>
                <w:sz w:val="22"/>
              </w:rPr>
              <w:t>maintenance to</w:t>
            </w:r>
          </w:p>
        </w:tc>
        <w:tc>
          <w:tcPr>
            <w:tcW w:w="1718" w:type="dxa"/>
            <w:tcBorders>
              <w:top w:val="nil"/>
              <w:bottom w:val="nil"/>
            </w:tcBorders>
          </w:tcPr>
          <w:p>
            <w:pPr>
              <w:pStyle w:val="TableParagraph"/>
              <w:spacing w:before="0"/>
              <w:ind w:left="0"/>
              <w:rPr>
                <w:rFonts w:ascii="Times New Roman"/>
                <w:sz w:val="18"/>
              </w:rPr>
            </w:pPr>
          </w:p>
        </w:tc>
      </w:tr>
      <w:tr>
        <w:trPr>
          <w:trHeight w:val="257"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before="0"/>
              <w:ind w:left="0"/>
              <w:rPr>
                <w:rFonts w:ascii="Times New Roman"/>
                <w:sz w:val="18"/>
              </w:rPr>
            </w:pPr>
          </w:p>
        </w:tc>
        <w:tc>
          <w:tcPr>
            <w:tcW w:w="2068" w:type="dxa"/>
            <w:tcBorders>
              <w:top w:val="nil"/>
              <w:bottom w:val="nil"/>
            </w:tcBorders>
          </w:tcPr>
          <w:p>
            <w:pPr>
              <w:pStyle w:val="TableParagraph"/>
              <w:spacing w:line="237" w:lineRule="exact" w:before="1"/>
              <w:ind w:left="110"/>
              <w:rPr>
                <w:sz w:val="22"/>
              </w:rPr>
            </w:pPr>
            <w:r>
              <w:rPr>
                <w:sz w:val="22"/>
              </w:rPr>
              <w:t>keep it functioning</w:t>
            </w:r>
          </w:p>
        </w:tc>
        <w:tc>
          <w:tcPr>
            <w:tcW w:w="1718" w:type="dxa"/>
            <w:tcBorders>
              <w:top w:val="nil"/>
              <w:bottom w:val="nil"/>
            </w:tcBorders>
          </w:tcPr>
          <w:p>
            <w:pPr>
              <w:pStyle w:val="TableParagraph"/>
              <w:spacing w:before="0"/>
              <w:ind w:left="0"/>
              <w:rPr>
                <w:rFonts w:ascii="Times New Roman"/>
                <w:sz w:val="18"/>
              </w:rPr>
            </w:pPr>
          </w:p>
        </w:tc>
      </w:tr>
      <w:tr>
        <w:trPr>
          <w:trHeight w:val="258" w:hRule="atLeast"/>
        </w:trPr>
        <w:tc>
          <w:tcPr>
            <w:tcW w:w="1598" w:type="dxa"/>
            <w:tcBorders>
              <w:top w:val="nil"/>
            </w:tcBorders>
          </w:tcPr>
          <w:p>
            <w:pPr>
              <w:pStyle w:val="TableParagraph"/>
              <w:spacing w:before="0"/>
              <w:ind w:left="0"/>
              <w:rPr>
                <w:rFonts w:ascii="Times New Roman"/>
                <w:sz w:val="18"/>
              </w:rPr>
            </w:pPr>
          </w:p>
        </w:tc>
        <w:tc>
          <w:tcPr>
            <w:tcW w:w="1300" w:type="dxa"/>
            <w:tcBorders>
              <w:top w:val="nil"/>
            </w:tcBorders>
          </w:tcPr>
          <w:p>
            <w:pPr>
              <w:pStyle w:val="TableParagraph"/>
              <w:spacing w:before="0"/>
              <w:ind w:left="0"/>
              <w:rPr>
                <w:rFonts w:ascii="Times New Roman"/>
                <w:sz w:val="18"/>
              </w:rPr>
            </w:pPr>
          </w:p>
        </w:tc>
        <w:tc>
          <w:tcPr>
            <w:tcW w:w="2555" w:type="dxa"/>
            <w:tcBorders>
              <w:top w:val="nil"/>
            </w:tcBorders>
          </w:tcPr>
          <w:p>
            <w:pPr>
              <w:pStyle w:val="TableParagraph"/>
              <w:spacing w:before="0"/>
              <w:ind w:left="0"/>
              <w:rPr>
                <w:rFonts w:ascii="Times New Roman"/>
                <w:sz w:val="18"/>
              </w:rPr>
            </w:pPr>
          </w:p>
        </w:tc>
        <w:tc>
          <w:tcPr>
            <w:tcW w:w="2068" w:type="dxa"/>
            <w:tcBorders>
              <w:top w:val="nil"/>
            </w:tcBorders>
          </w:tcPr>
          <w:p>
            <w:pPr>
              <w:pStyle w:val="TableParagraph"/>
              <w:spacing w:line="239" w:lineRule="exact" w:before="0"/>
              <w:ind w:left="110"/>
              <w:rPr>
                <w:sz w:val="22"/>
              </w:rPr>
            </w:pPr>
            <w:r>
              <w:rPr>
                <w:sz w:val="22"/>
              </w:rPr>
              <w:t>properly</w:t>
            </w:r>
          </w:p>
        </w:tc>
        <w:tc>
          <w:tcPr>
            <w:tcW w:w="1718" w:type="dxa"/>
            <w:tcBorders>
              <w:top w:val="nil"/>
            </w:tcBorders>
          </w:tcPr>
          <w:p>
            <w:pPr>
              <w:pStyle w:val="TableParagraph"/>
              <w:spacing w:before="0"/>
              <w:ind w:left="0"/>
              <w:rPr>
                <w:rFonts w:ascii="Times New Roman"/>
                <w:sz w:val="18"/>
              </w:rPr>
            </w:pPr>
          </w:p>
        </w:tc>
      </w:tr>
      <w:tr>
        <w:trPr>
          <w:trHeight w:val="569" w:hRule="atLeast"/>
        </w:trPr>
        <w:tc>
          <w:tcPr>
            <w:tcW w:w="1598" w:type="dxa"/>
            <w:tcBorders>
              <w:bottom w:val="nil"/>
            </w:tcBorders>
          </w:tcPr>
          <w:p>
            <w:pPr>
              <w:pStyle w:val="TableParagraph"/>
              <w:spacing w:line="256" w:lineRule="exact" w:before="64"/>
              <w:ind w:right="368"/>
              <w:rPr>
                <w:sz w:val="22"/>
              </w:rPr>
            </w:pPr>
            <w:r>
              <w:rPr>
                <w:sz w:val="22"/>
              </w:rPr>
              <w:t>Fire Station 72</w:t>
            </w:r>
          </w:p>
        </w:tc>
        <w:tc>
          <w:tcPr>
            <w:tcW w:w="1300" w:type="dxa"/>
            <w:tcBorders>
              <w:bottom w:val="nil"/>
            </w:tcBorders>
          </w:tcPr>
          <w:p>
            <w:pPr>
              <w:pStyle w:val="TableParagraph"/>
              <w:ind w:left="108"/>
              <w:rPr>
                <w:sz w:val="22"/>
              </w:rPr>
            </w:pPr>
            <w:r>
              <w:rPr>
                <w:sz w:val="22"/>
              </w:rPr>
              <w:t>1991</w:t>
            </w:r>
          </w:p>
        </w:tc>
        <w:tc>
          <w:tcPr>
            <w:tcW w:w="2555" w:type="dxa"/>
            <w:tcBorders>
              <w:bottom w:val="nil"/>
            </w:tcBorders>
          </w:tcPr>
          <w:p>
            <w:pPr>
              <w:pStyle w:val="TableParagraph"/>
              <w:spacing w:line="256" w:lineRule="exact" w:before="64"/>
              <w:ind w:left="108" w:right="127"/>
              <w:rPr>
                <w:sz w:val="22"/>
              </w:rPr>
            </w:pPr>
            <w:r>
              <w:rPr>
                <w:sz w:val="22"/>
              </w:rPr>
              <w:t>The facility has sustained water damage</w:t>
            </w:r>
          </w:p>
        </w:tc>
        <w:tc>
          <w:tcPr>
            <w:tcW w:w="2068" w:type="dxa"/>
            <w:tcBorders>
              <w:bottom w:val="nil"/>
            </w:tcBorders>
          </w:tcPr>
          <w:p>
            <w:pPr>
              <w:pStyle w:val="TableParagraph"/>
              <w:spacing w:line="256" w:lineRule="exact" w:before="64"/>
              <w:ind w:left="110" w:right="317"/>
              <w:rPr>
                <w:sz w:val="22"/>
              </w:rPr>
            </w:pPr>
            <w:r>
              <w:rPr>
                <w:sz w:val="22"/>
              </w:rPr>
              <w:t>The facility was intended for a 50</w:t>
            </w:r>
          </w:p>
        </w:tc>
        <w:tc>
          <w:tcPr>
            <w:tcW w:w="1718" w:type="dxa"/>
            <w:vMerge w:val="restart"/>
          </w:tcPr>
          <w:p>
            <w:pPr>
              <w:pStyle w:val="TableParagraph"/>
              <w:spacing w:before="0"/>
              <w:ind w:left="0"/>
              <w:rPr>
                <w:rFonts w:ascii="Times New Roman"/>
                <w:sz w:val="20"/>
              </w:rPr>
            </w:pPr>
          </w:p>
        </w:tc>
      </w:tr>
      <w:tr>
        <w:trPr>
          <w:trHeight w:val="242" w:hRule="atLeast"/>
        </w:trPr>
        <w:tc>
          <w:tcPr>
            <w:tcW w:w="1598" w:type="dxa"/>
            <w:tcBorders>
              <w:top w:val="nil"/>
              <w:bottom w:val="nil"/>
            </w:tcBorders>
          </w:tcPr>
          <w:p>
            <w:pPr>
              <w:pStyle w:val="TableParagraph"/>
              <w:spacing w:before="0"/>
              <w:ind w:left="0"/>
              <w:rPr>
                <w:rFonts w:ascii="Times New Roman"/>
                <w:sz w:val="16"/>
              </w:rPr>
            </w:pPr>
          </w:p>
        </w:tc>
        <w:tc>
          <w:tcPr>
            <w:tcW w:w="1300" w:type="dxa"/>
            <w:tcBorders>
              <w:top w:val="nil"/>
              <w:bottom w:val="nil"/>
            </w:tcBorders>
          </w:tcPr>
          <w:p>
            <w:pPr>
              <w:pStyle w:val="TableParagraph"/>
              <w:spacing w:before="0"/>
              <w:ind w:left="0"/>
              <w:rPr>
                <w:rFonts w:ascii="Times New Roman"/>
                <w:sz w:val="16"/>
              </w:rPr>
            </w:pPr>
          </w:p>
        </w:tc>
        <w:tc>
          <w:tcPr>
            <w:tcW w:w="2555" w:type="dxa"/>
            <w:tcBorders>
              <w:top w:val="nil"/>
              <w:bottom w:val="nil"/>
            </w:tcBorders>
          </w:tcPr>
          <w:p>
            <w:pPr>
              <w:pStyle w:val="TableParagraph"/>
              <w:spacing w:line="222" w:lineRule="exact" w:before="0"/>
              <w:ind w:left="108"/>
              <w:rPr>
                <w:sz w:val="22"/>
              </w:rPr>
            </w:pPr>
            <w:r>
              <w:rPr>
                <w:sz w:val="22"/>
              </w:rPr>
              <w:t>over the years based on</w:t>
            </w:r>
          </w:p>
        </w:tc>
        <w:tc>
          <w:tcPr>
            <w:tcW w:w="2068" w:type="dxa"/>
            <w:tcBorders>
              <w:top w:val="nil"/>
              <w:bottom w:val="nil"/>
            </w:tcBorders>
          </w:tcPr>
          <w:p>
            <w:pPr>
              <w:pStyle w:val="TableParagraph"/>
              <w:spacing w:line="222" w:lineRule="exact" w:before="0"/>
              <w:ind w:left="110"/>
              <w:rPr>
                <w:sz w:val="22"/>
              </w:rPr>
            </w:pPr>
            <w:r>
              <w:rPr>
                <w:sz w:val="22"/>
              </w:rPr>
              <w:t>year lifecycle.</w:t>
            </w:r>
          </w:p>
        </w:tc>
        <w:tc>
          <w:tcPr>
            <w:tcW w:w="1718" w:type="dxa"/>
            <w:vMerge/>
            <w:tcBorders>
              <w:top w:val="nil"/>
            </w:tcBorders>
          </w:tcPr>
          <w:p>
            <w:pPr>
              <w:rPr>
                <w:sz w:val="2"/>
                <w:szCs w:val="2"/>
              </w:rPr>
            </w:pPr>
          </w:p>
        </w:tc>
      </w:tr>
      <w:tr>
        <w:trPr>
          <w:trHeight w:val="247" w:hRule="atLeast"/>
        </w:trPr>
        <w:tc>
          <w:tcPr>
            <w:tcW w:w="1598" w:type="dxa"/>
            <w:tcBorders>
              <w:top w:val="nil"/>
              <w:bottom w:val="nil"/>
            </w:tcBorders>
          </w:tcPr>
          <w:p>
            <w:pPr>
              <w:pStyle w:val="TableParagraph"/>
              <w:spacing w:before="0"/>
              <w:ind w:left="0"/>
              <w:rPr>
                <w:rFonts w:ascii="Times New Roman"/>
                <w:sz w:val="18"/>
              </w:rPr>
            </w:pPr>
          </w:p>
        </w:tc>
        <w:tc>
          <w:tcPr>
            <w:tcW w:w="1300" w:type="dxa"/>
            <w:tcBorders>
              <w:top w:val="nil"/>
              <w:bottom w:val="nil"/>
            </w:tcBorders>
          </w:tcPr>
          <w:p>
            <w:pPr>
              <w:pStyle w:val="TableParagraph"/>
              <w:spacing w:before="0"/>
              <w:ind w:left="0"/>
              <w:rPr>
                <w:rFonts w:ascii="Times New Roman"/>
                <w:sz w:val="18"/>
              </w:rPr>
            </w:pPr>
          </w:p>
        </w:tc>
        <w:tc>
          <w:tcPr>
            <w:tcW w:w="2555" w:type="dxa"/>
            <w:tcBorders>
              <w:top w:val="nil"/>
              <w:bottom w:val="nil"/>
            </w:tcBorders>
          </w:tcPr>
          <w:p>
            <w:pPr>
              <w:pStyle w:val="TableParagraph"/>
              <w:spacing w:line="228" w:lineRule="exact" w:before="0"/>
              <w:ind w:left="108"/>
              <w:rPr>
                <w:sz w:val="22"/>
              </w:rPr>
            </w:pPr>
            <w:r>
              <w:rPr>
                <w:sz w:val="22"/>
              </w:rPr>
              <w:t>a poor roof and parapet</w:t>
            </w:r>
          </w:p>
        </w:tc>
        <w:tc>
          <w:tcPr>
            <w:tcW w:w="2068" w:type="dxa"/>
            <w:tcBorders>
              <w:top w:val="nil"/>
              <w:bottom w:val="nil"/>
            </w:tcBorders>
          </w:tcPr>
          <w:p>
            <w:pPr>
              <w:pStyle w:val="TableParagraph"/>
              <w:spacing w:line="228" w:lineRule="exact" w:before="0"/>
              <w:ind w:left="110"/>
              <w:rPr>
                <w:sz w:val="22"/>
              </w:rPr>
            </w:pPr>
            <w:r>
              <w:rPr>
                <w:sz w:val="22"/>
              </w:rPr>
              <w:t>Based on the</w:t>
            </w:r>
          </w:p>
        </w:tc>
        <w:tc>
          <w:tcPr>
            <w:tcW w:w="1718" w:type="dxa"/>
            <w:vMerge/>
            <w:tcBorders>
              <w:top w:val="nil"/>
            </w:tcBorders>
          </w:tcPr>
          <w:p>
            <w:pPr>
              <w:rPr>
                <w:sz w:val="2"/>
                <w:szCs w:val="2"/>
              </w:rPr>
            </w:pPr>
          </w:p>
        </w:tc>
      </w:tr>
      <w:tr>
        <w:trPr>
          <w:trHeight w:val="252" w:hRule="atLeast"/>
        </w:trPr>
        <w:tc>
          <w:tcPr>
            <w:tcW w:w="1598" w:type="dxa"/>
            <w:tcBorders>
              <w:top w:val="nil"/>
            </w:tcBorders>
          </w:tcPr>
          <w:p>
            <w:pPr>
              <w:pStyle w:val="TableParagraph"/>
              <w:spacing w:before="0"/>
              <w:ind w:left="0"/>
              <w:rPr>
                <w:rFonts w:ascii="Times New Roman"/>
                <w:sz w:val="18"/>
              </w:rPr>
            </w:pPr>
          </w:p>
        </w:tc>
        <w:tc>
          <w:tcPr>
            <w:tcW w:w="1300" w:type="dxa"/>
            <w:tcBorders>
              <w:top w:val="nil"/>
            </w:tcBorders>
          </w:tcPr>
          <w:p>
            <w:pPr>
              <w:pStyle w:val="TableParagraph"/>
              <w:spacing w:before="0"/>
              <w:ind w:left="0"/>
              <w:rPr>
                <w:rFonts w:ascii="Times New Roman"/>
                <w:sz w:val="18"/>
              </w:rPr>
            </w:pPr>
          </w:p>
        </w:tc>
        <w:tc>
          <w:tcPr>
            <w:tcW w:w="2555" w:type="dxa"/>
            <w:tcBorders>
              <w:top w:val="nil"/>
            </w:tcBorders>
          </w:tcPr>
          <w:p>
            <w:pPr>
              <w:pStyle w:val="TableParagraph"/>
              <w:spacing w:line="233" w:lineRule="exact" w:before="0"/>
              <w:ind w:left="108"/>
              <w:rPr>
                <w:sz w:val="22"/>
              </w:rPr>
            </w:pPr>
            <w:r>
              <w:rPr>
                <w:sz w:val="22"/>
              </w:rPr>
              <w:t>design. The facility will</w:t>
            </w:r>
          </w:p>
        </w:tc>
        <w:tc>
          <w:tcPr>
            <w:tcW w:w="2068" w:type="dxa"/>
            <w:tcBorders>
              <w:top w:val="nil"/>
            </w:tcBorders>
          </w:tcPr>
          <w:p>
            <w:pPr>
              <w:pStyle w:val="TableParagraph"/>
              <w:spacing w:line="233" w:lineRule="exact" w:before="0"/>
              <w:ind w:left="110"/>
              <w:rPr>
                <w:sz w:val="22"/>
              </w:rPr>
            </w:pPr>
            <w:r>
              <w:rPr>
                <w:sz w:val="22"/>
              </w:rPr>
              <w:t>current status, its</w:t>
            </w:r>
          </w:p>
        </w:tc>
        <w:tc>
          <w:tcPr>
            <w:tcW w:w="1718" w:type="dxa"/>
            <w:vMerge/>
            <w:tcBorders>
              <w:top w:val="nil"/>
            </w:tcBorders>
          </w:tcPr>
          <w:p>
            <w:pPr>
              <w:rPr>
                <w:sz w:val="2"/>
                <w:szCs w:val="2"/>
              </w:rPr>
            </w:pPr>
          </w:p>
        </w:tc>
      </w:tr>
    </w:tbl>
    <w:p>
      <w:pPr>
        <w:spacing w:after="0"/>
        <w:rPr>
          <w:sz w:val="2"/>
          <w:szCs w:val="2"/>
        </w:rPr>
        <w:sectPr>
          <w:pgSz w:w="12240" w:h="15840"/>
          <w:pgMar w:header="0" w:footer="1052" w:top="1360" w:bottom="1320" w:left="1320" w:right="1200"/>
        </w:sect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98"/>
        <w:gridCol w:w="1300"/>
        <w:gridCol w:w="2555"/>
        <w:gridCol w:w="2068"/>
        <w:gridCol w:w="1718"/>
      </w:tblGrid>
      <w:tr>
        <w:trPr>
          <w:trHeight w:val="1374" w:hRule="atLeast"/>
        </w:trPr>
        <w:tc>
          <w:tcPr>
            <w:tcW w:w="1598" w:type="dxa"/>
            <w:shd w:val="clear" w:color="auto" w:fill="B8CCE3"/>
          </w:tcPr>
          <w:p>
            <w:pPr>
              <w:pStyle w:val="TableParagraph"/>
              <w:spacing w:before="119"/>
              <w:rPr>
                <w:b/>
                <w:sz w:val="22"/>
              </w:rPr>
            </w:pPr>
            <w:r>
              <w:rPr>
                <w:b/>
                <w:sz w:val="22"/>
              </w:rPr>
              <w:t>Facilities</w:t>
            </w:r>
          </w:p>
        </w:tc>
        <w:tc>
          <w:tcPr>
            <w:tcW w:w="1300" w:type="dxa"/>
            <w:shd w:val="clear" w:color="auto" w:fill="B8CCE3"/>
          </w:tcPr>
          <w:p>
            <w:pPr>
              <w:pStyle w:val="TableParagraph"/>
              <w:spacing w:before="119"/>
              <w:ind w:left="108"/>
              <w:rPr>
                <w:b/>
                <w:sz w:val="22"/>
              </w:rPr>
            </w:pPr>
            <w:r>
              <w:rPr>
                <w:b/>
                <w:sz w:val="22"/>
              </w:rPr>
              <w:t>Year Built</w:t>
            </w:r>
          </w:p>
        </w:tc>
        <w:tc>
          <w:tcPr>
            <w:tcW w:w="2555" w:type="dxa"/>
            <w:shd w:val="clear" w:color="auto" w:fill="B8CCE3"/>
          </w:tcPr>
          <w:p>
            <w:pPr>
              <w:pStyle w:val="TableParagraph"/>
              <w:spacing w:before="119"/>
              <w:ind w:left="108"/>
              <w:rPr>
                <w:b/>
                <w:sz w:val="22"/>
              </w:rPr>
            </w:pPr>
            <w:r>
              <w:rPr>
                <w:b/>
                <w:sz w:val="22"/>
              </w:rPr>
              <w:t>Status of the Facility</w:t>
            </w:r>
          </w:p>
        </w:tc>
        <w:tc>
          <w:tcPr>
            <w:tcW w:w="2068" w:type="dxa"/>
            <w:shd w:val="clear" w:color="auto" w:fill="B8CCE3"/>
          </w:tcPr>
          <w:p>
            <w:pPr>
              <w:pStyle w:val="TableParagraph"/>
              <w:spacing w:line="264" w:lineRule="auto" w:before="119"/>
              <w:ind w:left="110" w:right="156"/>
              <w:rPr>
                <w:b/>
                <w:sz w:val="22"/>
              </w:rPr>
            </w:pPr>
            <w:r>
              <w:rPr>
                <w:b/>
                <w:sz w:val="22"/>
              </w:rPr>
              <w:t>% of the Lifecycle Remaining</w:t>
            </w:r>
          </w:p>
        </w:tc>
        <w:tc>
          <w:tcPr>
            <w:tcW w:w="1718" w:type="dxa"/>
            <w:shd w:val="clear" w:color="auto" w:fill="B8CCE3"/>
          </w:tcPr>
          <w:p>
            <w:pPr>
              <w:pStyle w:val="TableParagraph"/>
              <w:spacing w:line="264" w:lineRule="auto" w:before="119"/>
              <w:ind w:left="110" w:right="76"/>
              <w:rPr>
                <w:b/>
                <w:sz w:val="22"/>
              </w:rPr>
            </w:pPr>
            <w:r>
              <w:rPr>
                <w:b/>
                <w:sz w:val="22"/>
              </w:rPr>
              <w:t>Improvement/ Replacement</w:t>
            </w:r>
          </w:p>
          <w:p>
            <w:pPr>
              <w:pStyle w:val="TableParagraph"/>
              <w:spacing w:line="280" w:lineRule="atLeast" w:before="100"/>
              <w:ind w:left="110" w:right="294"/>
              <w:rPr>
                <w:b/>
                <w:sz w:val="22"/>
              </w:rPr>
            </w:pPr>
            <w:r>
              <w:rPr>
                <w:b/>
                <w:sz w:val="22"/>
              </w:rPr>
              <w:t>Allocation in CIP ($)</w:t>
            </w:r>
          </w:p>
        </w:tc>
      </w:tr>
      <w:tr>
        <w:trPr>
          <w:trHeight w:val="1804" w:hRule="atLeast"/>
        </w:trPr>
        <w:tc>
          <w:tcPr>
            <w:tcW w:w="1598" w:type="dxa"/>
          </w:tcPr>
          <w:p>
            <w:pPr>
              <w:pStyle w:val="TableParagraph"/>
              <w:spacing w:before="0"/>
              <w:ind w:left="0"/>
              <w:rPr>
                <w:rFonts w:ascii="Times New Roman"/>
                <w:sz w:val="20"/>
              </w:rPr>
            </w:pPr>
          </w:p>
        </w:tc>
        <w:tc>
          <w:tcPr>
            <w:tcW w:w="1300" w:type="dxa"/>
          </w:tcPr>
          <w:p>
            <w:pPr>
              <w:pStyle w:val="TableParagraph"/>
              <w:spacing w:before="0"/>
              <w:ind w:left="0"/>
              <w:rPr>
                <w:rFonts w:ascii="Times New Roman"/>
                <w:sz w:val="20"/>
              </w:rPr>
            </w:pPr>
          </w:p>
        </w:tc>
        <w:tc>
          <w:tcPr>
            <w:tcW w:w="2555" w:type="dxa"/>
          </w:tcPr>
          <w:p>
            <w:pPr>
              <w:pStyle w:val="TableParagraph"/>
              <w:spacing w:before="0"/>
              <w:ind w:left="108" w:right="117"/>
              <w:rPr>
                <w:sz w:val="22"/>
              </w:rPr>
            </w:pPr>
            <w:r>
              <w:rPr>
                <w:sz w:val="22"/>
              </w:rPr>
              <w:t>require a significant remodel in 2017 to address the water damage. Overall, the major MEP components are functioning properly</w:t>
            </w:r>
          </w:p>
        </w:tc>
        <w:tc>
          <w:tcPr>
            <w:tcW w:w="2068" w:type="dxa"/>
          </w:tcPr>
          <w:p>
            <w:pPr>
              <w:pStyle w:val="TableParagraph"/>
              <w:spacing w:before="0"/>
              <w:ind w:left="110" w:right="147"/>
              <w:rPr>
                <w:sz w:val="22"/>
              </w:rPr>
            </w:pPr>
            <w:r>
              <w:rPr>
                <w:sz w:val="22"/>
              </w:rPr>
              <w:t>actual lifecycle has been reduced based on water damage. The remaining lifecycle</w:t>
            </w:r>
          </w:p>
          <w:p>
            <w:pPr>
              <w:pStyle w:val="TableParagraph"/>
              <w:spacing w:line="256" w:lineRule="exact" w:before="5"/>
              <w:ind w:left="110" w:right="353"/>
              <w:rPr>
                <w:sz w:val="22"/>
              </w:rPr>
            </w:pPr>
            <w:r>
              <w:rPr>
                <w:sz w:val="22"/>
              </w:rPr>
              <w:t>is approximately 40%</w:t>
            </w:r>
          </w:p>
        </w:tc>
        <w:tc>
          <w:tcPr>
            <w:tcW w:w="1718" w:type="dxa"/>
          </w:tcPr>
          <w:p>
            <w:pPr>
              <w:pStyle w:val="TableParagraph"/>
              <w:spacing w:before="0"/>
              <w:ind w:left="0"/>
              <w:rPr>
                <w:rFonts w:ascii="Times New Roman"/>
                <w:sz w:val="20"/>
              </w:rPr>
            </w:pPr>
          </w:p>
        </w:tc>
      </w:tr>
      <w:tr>
        <w:trPr>
          <w:trHeight w:val="1864" w:hRule="atLeast"/>
        </w:trPr>
        <w:tc>
          <w:tcPr>
            <w:tcW w:w="1598" w:type="dxa"/>
          </w:tcPr>
          <w:p>
            <w:pPr>
              <w:pStyle w:val="TableParagraph"/>
              <w:ind w:right="368"/>
              <w:rPr>
                <w:sz w:val="22"/>
              </w:rPr>
            </w:pPr>
            <w:r>
              <w:rPr>
                <w:sz w:val="22"/>
              </w:rPr>
              <w:t>Fire Station 73</w:t>
            </w:r>
          </w:p>
        </w:tc>
        <w:tc>
          <w:tcPr>
            <w:tcW w:w="1300" w:type="dxa"/>
          </w:tcPr>
          <w:p>
            <w:pPr>
              <w:pStyle w:val="TableParagraph"/>
              <w:ind w:left="108"/>
              <w:rPr>
                <w:sz w:val="22"/>
              </w:rPr>
            </w:pPr>
            <w:r>
              <w:rPr>
                <w:sz w:val="22"/>
              </w:rPr>
              <w:t>1958</w:t>
            </w:r>
          </w:p>
        </w:tc>
        <w:tc>
          <w:tcPr>
            <w:tcW w:w="2555" w:type="dxa"/>
          </w:tcPr>
          <w:p>
            <w:pPr>
              <w:pStyle w:val="TableParagraph"/>
              <w:ind w:left="108"/>
              <w:rPr>
                <w:sz w:val="22"/>
              </w:rPr>
            </w:pPr>
            <w:r>
              <w:rPr>
                <w:sz w:val="22"/>
              </w:rPr>
              <w:t>The facility is not performing well and requires significant maintenance to sustain operations. The MEP</w:t>
            </w:r>
          </w:p>
          <w:p>
            <w:pPr>
              <w:pStyle w:val="TableParagraph"/>
              <w:spacing w:line="256" w:lineRule="exact" w:before="4"/>
              <w:ind w:left="108" w:right="89"/>
              <w:rPr>
                <w:sz w:val="22"/>
              </w:rPr>
            </w:pPr>
            <w:r>
              <w:rPr>
                <w:sz w:val="22"/>
              </w:rPr>
              <w:t>systems are at the end of their life</w:t>
            </w:r>
          </w:p>
        </w:tc>
        <w:tc>
          <w:tcPr>
            <w:tcW w:w="2068" w:type="dxa"/>
          </w:tcPr>
          <w:p>
            <w:pPr>
              <w:pStyle w:val="TableParagraph"/>
              <w:ind w:left="110" w:right="272"/>
              <w:rPr>
                <w:sz w:val="22"/>
              </w:rPr>
            </w:pPr>
            <w:r>
              <w:rPr>
                <w:sz w:val="22"/>
              </w:rPr>
              <w:t>The facility is currently on year 59 of a 50-year lifecycle. It is well past its effective lifecycle</w:t>
            </w:r>
          </w:p>
        </w:tc>
        <w:tc>
          <w:tcPr>
            <w:tcW w:w="1718" w:type="dxa"/>
          </w:tcPr>
          <w:p>
            <w:pPr>
              <w:pStyle w:val="TableParagraph"/>
              <w:ind w:left="110"/>
              <w:rPr>
                <w:sz w:val="22"/>
              </w:rPr>
            </w:pPr>
            <w:r>
              <w:rPr>
                <w:sz w:val="22"/>
              </w:rPr>
              <w:t>$4,100,000</w:t>
            </w:r>
          </w:p>
        </w:tc>
      </w:tr>
      <w:tr>
        <w:trPr>
          <w:trHeight w:val="832" w:hRule="atLeast"/>
        </w:trPr>
        <w:tc>
          <w:tcPr>
            <w:tcW w:w="1598" w:type="dxa"/>
          </w:tcPr>
          <w:p>
            <w:pPr>
              <w:pStyle w:val="TableParagraph"/>
              <w:ind w:right="368"/>
              <w:rPr>
                <w:sz w:val="22"/>
              </w:rPr>
            </w:pPr>
            <w:r>
              <w:rPr>
                <w:sz w:val="22"/>
              </w:rPr>
              <w:t>Fire Station 74</w:t>
            </w:r>
          </w:p>
        </w:tc>
        <w:tc>
          <w:tcPr>
            <w:tcW w:w="1300" w:type="dxa"/>
          </w:tcPr>
          <w:p>
            <w:pPr>
              <w:pStyle w:val="TableParagraph"/>
              <w:ind w:left="108"/>
              <w:rPr>
                <w:sz w:val="22"/>
              </w:rPr>
            </w:pPr>
            <w:r>
              <w:rPr>
                <w:sz w:val="22"/>
              </w:rPr>
              <w:t>2015</w:t>
            </w:r>
          </w:p>
        </w:tc>
        <w:tc>
          <w:tcPr>
            <w:tcW w:w="2555" w:type="dxa"/>
          </w:tcPr>
          <w:p>
            <w:pPr>
              <w:pStyle w:val="TableParagraph"/>
              <w:ind w:left="108"/>
              <w:rPr>
                <w:sz w:val="22"/>
              </w:rPr>
            </w:pPr>
            <w:r>
              <w:rPr>
                <w:sz w:val="22"/>
              </w:rPr>
              <w:t>The facility is</w:t>
            </w:r>
          </w:p>
          <w:p>
            <w:pPr>
              <w:pStyle w:val="TableParagraph"/>
              <w:spacing w:line="256" w:lineRule="exact" w:before="6"/>
              <w:ind w:left="108" w:right="350"/>
              <w:rPr>
                <w:sz w:val="22"/>
              </w:rPr>
            </w:pPr>
            <w:r>
              <w:rPr>
                <w:sz w:val="22"/>
              </w:rPr>
              <w:t>performing extremely well</w:t>
            </w:r>
          </w:p>
        </w:tc>
        <w:tc>
          <w:tcPr>
            <w:tcW w:w="2068" w:type="dxa"/>
          </w:tcPr>
          <w:p>
            <w:pPr>
              <w:pStyle w:val="TableParagraph"/>
              <w:ind w:left="110" w:right="673"/>
              <w:rPr>
                <w:sz w:val="22"/>
              </w:rPr>
            </w:pPr>
            <w:r>
              <w:rPr>
                <w:sz w:val="22"/>
              </w:rPr>
              <w:t>98% lifecycle remaining</w:t>
            </w:r>
          </w:p>
        </w:tc>
        <w:tc>
          <w:tcPr>
            <w:tcW w:w="1718" w:type="dxa"/>
          </w:tcPr>
          <w:p>
            <w:pPr>
              <w:pStyle w:val="TableParagraph"/>
              <w:spacing w:before="0"/>
              <w:ind w:left="0"/>
              <w:rPr>
                <w:rFonts w:ascii="Times New Roman"/>
                <w:sz w:val="20"/>
              </w:rPr>
            </w:pPr>
          </w:p>
        </w:tc>
      </w:tr>
      <w:tr>
        <w:trPr>
          <w:trHeight w:val="1863" w:hRule="atLeast"/>
        </w:trPr>
        <w:tc>
          <w:tcPr>
            <w:tcW w:w="1598" w:type="dxa"/>
          </w:tcPr>
          <w:p>
            <w:pPr>
              <w:pStyle w:val="TableParagraph"/>
              <w:rPr>
                <w:sz w:val="22"/>
              </w:rPr>
            </w:pPr>
            <w:r>
              <w:rPr>
                <w:sz w:val="22"/>
              </w:rPr>
              <w:t>Landfill</w:t>
            </w:r>
          </w:p>
        </w:tc>
        <w:tc>
          <w:tcPr>
            <w:tcW w:w="1300" w:type="dxa"/>
          </w:tcPr>
          <w:p>
            <w:pPr>
              <w:pStyle w:val="TableParagraph"/>
              <w:spacing w:line="257" w:lineRule="exact"/>
              <w:ind w:left="108"/>
              <w:rPr>
                <w:sz w:val="22"/>
              </w:rPr>
            </w:pPr>
            <w:r>
              <w:rPr>
                <w:sz w:val="22"/>
              </w:rPr>
              <w:t>1977,</w:t>
            </w:r>
          </w:p>
          <w:p>
            <w:pPr>
              <w:pStyle w:val="TableParagraph"/>
              <w:spacing w:before="0"/>
              <w:ind w:left="108" w:right="288"/>
              <w:rPr>
                <w:sz w:val="22"/>
              </w:rPr>
            </w:pPr>
            <w:r>
              <w:rPr>
                <w:spacing w:val="-1"/>
                <w:sz w:val="22"/>
              </w:rPr>
              <w:t>additions </w:t>
            </w:r>
            <w:r>
              <w:rPr>
                <w:sz w:val="22"/>
              </w:rPr>
              <w:t>and updates 2001,</w:t>
            </w:r>
          </w:p>
          <w:p>
            <w:pPr>
              <w:pStyle w:val="TableParagraph"/>
              <w:spacing w:before="0"/>
              <w:ind w:left="108"/>
              <w:rPr>
                <w:sz w:val="22"/>
              </w:rPr>
            </w:pPr>
            <w:r>
              <w:rPr>
                <w:sz w:val="22"/>
              </w:rPr>
              <w:t>2003, 2008</w:t>
            </w:r>
          </w:p>
        </w:tc>
        <w:tc>
          <w:tcPr>
            <w:tcW w:w="2555" w:type="dxa"/>
          </w:tcPr>
          <w:p>
            <w:pPr>
              <w:pStyle w:val="TableParagraph"/>
              <w:ind w:left="108" w:right="181"/>
              <w:rPr>
                <w:sz w:val="22"/>
              </w:rPr>
            </w:pPr>
            <w:r>
              <w:rPr>
                <w:sz w:val="22"/>
              </w:rPr>
              <w:t>Customer areas such as transfer station and administrative offices scheduled for update or relocation as part of</w:t>
            </w:r>
          </w:p>
          <w:p>
            <w:pPr>
              <w:pStyle w:val="TableParagraph"/>
              <w:spacing w:line="256" w:lineRule="exact" w:before="4"/>
              <w:ind w:left="108" w:right="231"/>
              <w:rPr>
                <w:sz w:val="22"/>
              </w:rPr>
            </w:pPr>
            <w:r>
              <w:rPr>
                <w:sz w:val="22"/>
              </w:rPr>
              <w:t>capacity improvements 2018-2019</w:t>
            </w:r>
          </w:p>
        </w:tc>
        <w:tc>
          <w:tcPr>
            <w:tcW w:w="2068" w:type="dxa"/>
          </w:tcPr>
          <w:p>
            <w:pPr>
              <w:pStyle w:val="TableParagraph"/>
              <w:ind w:left="110"/>
              <w:rPr>
                <w:sz w:val="22"/>
              </w:rPr>
            </w:pPr>
            <w:r>
              <w:rPr>
                <w:sz w:val="22"/>
              </w:rPr>
              <w:t>5% - 10%</w:t>
            </w:r>
          </w:p>
        </w:tc>
        <w:tc>
          <w:tcPr>
            <w:tcW w:w="1718" w:type="dxa"/>
          </w:tcPr>
          <w:p>
            <w:pPr>
              <w:pStyle w:val="TableParagraph"/>
              <w:ind w:left="110"/>
              <w:rPr>
                <w:sz w:val="22"/>
              </w:rPr>
            </w:pPr>
            <w:r>
              <w:rPr>
                <w:sz w:val="22"/>
              </w:rPr>
              <w:t>$8,003,512</w:t>
            </w:r>
          </w:p>
        </w:tc>
      </w:tr>
      <w:tr>
        <w:trPr>
          <w:trHeight w:val="1091" w:hRule="atLeast"/>
        </w:trPr>
        <w:tc>
          <w:tcPr>
            <w:tcW w:w="1598" w:type="dxa"/>
          </w:tcPr>
          <w:p>
            <w:pPr>
              <w:pStyle w:val="TableParagraph"/>
              <w:rPr>
                <w:sz w:val="22"/>
              </w:rPr>
            </w:pPr>
            <w:r>
              <w:rPr>
                <w:sz w:val="22"/>
              </w:rPr>
              <w:t>Police Station</w:t>
            </w:r>
          </w:p>
        </w:tc>
        <w:tc>
          <w:tcPr>
            <w:tcW w:w="1300" w:type="dxa"/>
          </w:tcPr>
          <w:p>
            <w:pPr>
              <w:pStyle w:val="TableParagraph"/>
              <w:ind w:left="108"/>
              <w:rPr>
                <w:sz w:val="22"/>
              </w:rPr>
            </w:pPr>
            <w:r>
              <w:rPr>
                <w:sz w:val="22"/>
              </w:rPr>
              <w:t>2001</w:t>
            </w:r>
          </w:p>
        </w:tc>
        <w:tc>
          <w:tcPr>
            <w:tcW w:w="2555" w:type="dxa"/>
          </w:tcPr>
          <w:p>
            <w:pPr>
              <w:pStyle w:val="TableParagraph"/>
              <w:ind w:left="108" w:right="310"/>
              <w:rPr>
                <w:sz w:val="22"/>
              </w:rPr>
            </w:pPr>
            <w:r>
              <w:rPr>
                <w:sz w:val="22"/>
              </w:rPr>
              <w:t>The facility has performed well</w:t>
            </w:r>
            <w:r>
              <w:rPr>
                <w:spacing w:val="-5"/>
                <w:sz w:val="22"/>
              </w:rPr>
              <w:t> </w:t>
            </w:r>
            <w:r>
              <w:rPr>
                <w:sz w:val="22"/>
              </w:rPr>
              <w:t>other</w:t>
            </w:r>
          </w:p>
          <w:p>
            <w:pPr>
              <w:pStyle w:val="TableParagraph"/>
              <w:spacing w:line="256" w:lineRule="exact" w:before="4"/>
              <w:ind w:left="108" w:right="381"/>
              <w:rPr>
                <w:sz w:val="22"/>
              </w:rPr>
            </w:pPr>
            <w:r>
              <w:rPr>
                <w:sz w:val="22"/>
              </w:rPr>
              <w:t>than normal MEP and building</w:t>
            </w:r>
            <w:r>
              <w:rPr>
                <w:spacing w:val="20"/>
                <w:sz w:val="22"/>
              </w:rPr>
              <w:t> </w:t>
            </w:r>
            <w:r>
              <w:rPr>
                <w:spacing w:val="-3"/>
                <w:sz w:val="22"/>
              </w:rPr>
              <w:t>maintenance</w:t>
            </w:r>
          </w:p>
        </w:tc>
        <w:tc>
          <w:tcPr>
            <w:tcW w:w="2068" w:type="dxa"/>
          </w:tcPr>
          <w:p>
            <w:pPr>
              <w:pStyle w:val="TableParagraph"/>
              <w:ind w:left="110" w:right="673"/>
              <w:rPr>
                <w:sz w:val="22"/>
              </w:rPr>
            </w:pPr>
            <w:r>
              <w:rPr>
                <w:sz w:val="22"/>
              </w:rPr>
              <w:t>70% lifecycle remaining</w:t>
            </w:r>
          </w:p>
        </w:tc>
        <w:tc>
          <w:tcPr>
            <w:tcW w:w="1718" w:type="dxa"/>
          </w:tcPr>
          <w:p>
            <w:pPr>
              <w:pStyle w:val="TableParagraph"/>
              <w:spacing w:before="0"/>
              <w:ind w:left="0"/>
              <w:rPr>
                <w:rFonts w:ascii="Times New Roman"/>
                <w:sz w:val="20"/>
              </w:rPr>
            </w:pPr>
          </w:p>
        </w:tc>
      </w:tr>
      <w:tr>
        <w:trPr>
          <w:trHeight w:val="1864" w:hRule="atLeast"/>
        </w:trPr>
        <w:tc>
          <w:tcPr>
            <w:tcW w:w="1598" w:type="dxa"/>
          </w:tcPr>
          <w:p>
            <w:pPr>
              <w:pStyle w:val="TableParagraph"/>
              <w:ind w:right="363"/>
              <w:rPr>
                <w:sz w:val="22"/>
              </w:rPr>
            </w:pPr>
            <w:r>
              <w:rPr>
                <w:sz w:val="22"/>
              </w:rPr>
              <w:t>Richland Community Center</w:t>
            </w:r>
          </w:p>
        </w:tc>
        <w:tc>
          <w:tcPr>
            <w:tcW w:w="1300" w:type="dxa"/>
          </w:tcPr>
          <w:p>
            <w:pPr>
              <w:pStyle w:val="TableParagraph"/>
              <w:ind w:left="108"/>
              <w:rPr>
                <w:sz w:val="22"/>
              </w:rPr>
            </w:pPr>
            <w:r>
              <w:rPr>
                <w:sz w:val="22"/>
              </w:rPr>
              <w:t>2001</w:t>
            </w:r>
          </w:p>
        </w:tc>
        <w:tc>
          <w:tcPr>
            <w:tcW w:w="2555" w:type="dxa"/>
          </w:tcPr>
          <w:p>
            <w:pPr>
              <w:pStyle w:val="TableParagraph"/>
              <w:ind w:left="108" w:right="310"/>
              <w:rPr>
                <w:sz w:val="22"/>
              </w:rPr>
            </w:pPr>
            <w:r>
              <w:rPr>
                <w:sz w:val="22"/>
              </w:rPr>
              <w:t>The facility has performed well other than normal MEP and building maintenance. The roof is an area of</w:t>
            </w:r>
          </w:p>
          <w:p>
            <w:pPr>
              <w:pStyle w:val="TableParagraph"/>
              <w:spacing w:line="260" w:lineRule="exact" w:before="1"/>
              <w:ind w:left="108" w:right="114"/>
              <w:rPr>
                <w:sz w:val="22"/>
              </w:rPr>
            </w:pPr>
            <w:r>
              <w:rPr>
                <w:sz w:val="22"/>
              </w:rPr>
              <w:t>concern and will require significant maintenance</w:t>
            </w:r>
          </w:p>
        </w:tc>
        <w:tc>
          <w:tcPr>
            <w:tcW w:w="2068" w:type="dxa"/>
          </w:tcPr>
          <w:p>
            <w:pPr>
              <w:pStyle w:val="TableParagraph"/>
              <w:ind w:left="110" w:right="673"/>
              <w:rPr>
                <w:sz w:val="22"/>
              </w:rPr>
            </w:pPr>
            <w:r>
              <w:rPr>
                <w:sz w:val="22"/>
              </w:rPr>
              <w:t>70% lifecycle remaining</w:t>
            </w:r>
          </w:p>
        </w:tc>
        <w:tc>
          <w:tcPr>
            <w:tcW w:w="1718" w:type="dxa"/>
          </w:tcPr>
          <w:p>
            <w:pPr>
              <w:pStyle w:val="TableParagraph"/>
              <w:spacing w:before="0"/>
              <w:ind w:left="0"/>
              <w:rPr>
                <w:rFonts w:ascii="Times New Roman"/>
                <w:sz w:val="20"/>
              </w:rPr>
            </w:pPr>
          </w:p>
        </w:tc>
      </w:tr>
      <w:tr>
        <w:trPr>
          <w:trHeight w:val="2118" w:hRule="atLeast"/>
        </w:trPr>
        <w:tc>
          <w:tcPr>
            <w:tcW w:w="1598" w:type="dxa"/>
          </w:tcPr>
          <w:p>
            <w:pPr>
              <w:pStyle w:val="TableParagraph"/>
              <w:spacing w:before="56"/>
              <w:ind w:right="632"/>
              <w:rPr>
                <w:sz w:val="22"/>
              </w:rPr>
            </w:pPr>
            <w:r>
              <w:rPr>
                <w:sz w:val="22"/>
              </w:rPr>
              <w:t>Richland Library</w:t>
            </w:r>
          </w:p>
        </w:tc>
        <w:tc>
          <w:tcPr>
            <w:tcW w:w="1300" w:type="dxa"/>
          </w:tcPr>
          <w:p>
            <w:pPr>
              <w:pStyle w:val="TableParagraph"/>
              <w:spacing w:before="56"/>
              <w:ind w:left="108"/>
              <w:rPr>
                <w:sz w:val="22"/>
              </w:rPr>
            </w:pPr>
            <w:r>
              <w:rPr>
                <w:sz w:val="22"/>
              </w:rPr>
              <w:t>2009</w:t>
            </w:r>
          </w:p>
        </w:tc>
        <w:tc>
          <w:tcPr>
            <w:tcW w:w="2555" w:type="dxa"/>
          </w:tcPr>
          <w:p>
            <w:pPr>
              <w:pStyle w:val="TableParagraph"/>
              <w:spacing w:before="56"/>
              <w:ind w:left="108" w:right="114"/>
              <w:rPr>
                <w:sz w:val="22"/>
              </w:rPr>
            </w:pPr>
            <w:r>
              <w:rPr>
                <w:sz w:val="22"/>
              </w:rPr>
              <w:t>The facility has performed well other than normal MEP and building maintenance. The roof has been a concern and will require replacement well before</w:t>
            </w:r>
          </w:p>
          <w:p>
            <w:pPr>
              <w:pStyle w:val="TableParagraph"/>
              <w:spacing w:line="236" w:lineRule="exact" w:before="0"/>
              <w:ind w:left="108"/>
              <w:rPr>
                <w:sz w:val="22"/>
              </w:rPr>
            </w:pPr>
            <w:r>
              <w:rPr>
                <w:sz w:val="22"/>
              </w:rPr>
              <w:t>its intended lifecycle</w:t>
            </w:r>
          </w:p>
        </w:tc>
        <w:tc>
          <w:tcPr>
            <w:tcW w:w="2068" w:type="dxa"/>
          </w:tcPr>
          <w:p>
            <w:pPr>
              <w:pStyle w:val="TableParagraph"/>
              <w:spacing w:before="56"/>
              <w:ind w:left="110" w:right="673"/>
              <w:rPr>
                <w:sz w:val="22"/>
              </w:rPr>
            </w:pPr>
            <w:r>
              <w:rPr>
                <w:sz w:val="22"/>
              </w:rPr>
              <w:t>80% lifecycle remaining</w:t>
            </w:r>
          </w:p>
        </w:tc>
        <w:tc>
          <w:tcPr>
            <w:tcW w:w="1718" w:type="dxa"/>
          </w:tcPr>
          <w:p>
            <w:pPr>
              <w:pStyle w:val="TableParagraph"/>
              <w:spacing w:before="56"/>
              <w:ind w:left="110" w:right="164"/>
              <w:rPr>
                <w:sz w:val="22"/>
              </w:rPr>
            </w:pPr>
            <w:r>
              <w:rPr>
                <w:sz w:val="22"/>
              </w:rPr>
              <w:t>Money is being held in the library reserve fund to replace the roof</w:t>
            </w:r>
          </w:p>
        </w:tc>
      </w:tr>
    </w:tbl>
    <w:p>
      <w:pPr>
        <w:spacing w:after="0"/>
        <w:rPr>
          <w:sz w:val="22"/>
        </w:rPr>
        <w:sectPr>
          <w:pgSz w:w="12240" w:h="15840"/>
          <w:pgMar w:header="0" w:footer="1052" w:top="1440" w:bottom="1240" w:left="1320" w:right="1200"/>
        </w:sect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98"/>
        <w:gridCol w:w="1300"/>
        <w:gridCol w:w="2555"/>
        <w:gridCol w:w="2068"/>
        <w:gridCol w:w="1718"/>
      </w:tblGrid>
      <w:tr>
        <w:trPr>
          <w:trHeight w:val="1374" w:hRule="atLeast"/>
        </w:trPr>
        <w:tc>
          <w:tcPr>
            <w:tcW w:w="1598" w:type="dxa"/>
            <w:shd w:val="clear" w:color="auto" w:fill="B8CCE3"/>
          </w:tcPr>
          <w:p>
            <w:pPr>
              <w:pStyle w:val="TableParagraph"/>
              <w:spacing w:before="119"/>
              <w:rPr>
                <w:b/>
                <w:sz w:val="22"/>
              </w:rPr>
            </w:pPr>
            <w:r>
              <w:rPr>
                <w:b/>
                <w:sz w:val="22"/>
              </w:rPr>
              <w:t>Facilities</w:t>
            </w:r>
          </w:p>
        </w:tc>
        <w:tc>
          <w:tcPr>
            <w:tcW w:w="1300" w:type="dxa"/>
            <w:shd w:val="clear" w:color="auto" w:fill="B8CCE3"/>
          </w:tcPr>
          <w:p>
            <w:pPr>
              <w:pStyle w:val="TableParagraph"/>
              <w:spacing w:before="119"/>
              <w:ind w:left="108"/>
              <w:rPr>
                <w:b/>
                <w:sz w:val="22"/>
              </w:rPr>
            </w:pPr>
            <w:r>
              <w:rPr>
                <w:b/>
                <w:sz w:val="22"/>
              </w:rPr>
              <w:t>Year Built</w:t>
            </w:r>
          </w:p>
        </w:tc>
        <w:tc>
          <w:tcPr>
            <w:tcW w:w="2555" w:type="dxa"/>
            <w:shd w:val="clear" w:color="auto" w:fill="B8CCE3"/>
          </w:tcPr>
          <w:p>
            <w:pPr>
              <w:pStyle w:val="TableParagraph"/>
              <w:spacing w:before="119"/>
              <w:ind w:left="108"/>
              <w:rPr>
                <w:b/>
                <w:sz w:val="22"/>
              </w:rPr>
            </w:pPr>
            <w:r>
              <w:rPr>
                <w:b/>
                <w:sz w:val="22"/>
              </w:rPr>
              <w:t>Status of the Facility</w:t>
            </w:r>
          </w:p>
        </w:tc>
        <w:tc>
          <w:tcPr>
            <w:tcW w:w="2068" w:type="dxa"/>
            <w:shd w:val="clear" w:color="auto" w:fill="B8CCE3"/>
          </w:tcPr>
          <w:p>
            <w:pPr>
              <w:pStyle w:val="TableParagraph"/>
              <w:spacing w:line="264" w:lineRule="auto" w:before="119"/>
              <w:ind w:left="110" w:right="156"/>
              <w:rPr>
                <w:b/>
                <w:sz w:val="22"/>
              </w:rPr>
            </w:pPr>
            <w:r>
              <w:rPr>
                <w:b/>
                <w:sz w:val="22"/>
              </w:rPr>
              <w:t>% of the Lifecycle Remaining</w:t>
            </w:r>
          </w:p>
        </w:tc>
        <w:tc>
          <w:tcPr>
            <w:tcW w:w="1718" w:type="dxa"/>
            <w:shd w:val="clear" w:color="auto" w:fill="B8CCE3"/>
          </w:tcPr>
          <w:p>
            <w:pPr>
              <w:pStyle w:val="TableParagraph"/>
              <w:spacing w:line="264" w:lineRule="auto" w:before="119"/>
              <w:ind w:left="110" w:right="76"/>
              <w:rPr>
                <w:b/>
                <w:sz w:val="22"/>
              </w:rPr>
            </w:pPr>
            <w:r>
              <w:rPr>
                <w:b/>
                <w:sz w:val="22"/>
              </w:rPr>
              <w:t>Improvement/ Replacement</w:t>
            </w:r>
          </w:p>
          <w:p>
            <w:pPr>
              <w:pStyle w:val="TableParagraph"/>
              <w:spacing w:line="280" w:lineRule="atLeast" w:before="100"/>
              <w:ind w:left="110" w:right="294"/>
              <w:rPr>
                <w:b/>
                <w:sz w:val="22"/>
              </w:rPr>
            </w:pPr>
            <w:r>
              <w:rPr>
                <w:b/>
                <w:sz w:val="22"/>
              </w:rPr>
              <w:t>Allocation in CIP ($)</w:t>
            </w:r>
          </w:p>
        </w:tc>
      </w:tr>
      <w:tr>
        <w:trPr>
          <w:trHeight w:val="834" w:hRule="atLeast"/>
        </w:trPr>
        <w:tc>
          <w:tcPr>
            <w:tcW w:w="1598" w:type="dxa"/>
          </w:tcPr>
          <w:p>
            <w:pPr>
              <w:pStyle w:val="TableParagraph"/>
              <w:rPr>
                <w:sz w:val="22"/>
              </w:rPr>
            </w:pPr>
            <w:r>
              <w:rPr>
                <w:sz w:val="22"/>
              </w:rPr>
              <w:t>Water</w:t>
            </w:r>
          </w:p>
          <w:p>
            <w:pPr>
              <w:pStyle w:val="TableParagraph"/>
              <w:spacing w:line="256" w:lineRule="exact" w:before="6"/>
              <w:ind w:right="462"/>
              <w:rPr>
                <w:sz w:val="22"/>
              </w:rPr>
            </w:pPr>
            <w:r>
              <w:rPr>
                <w:sz w:val="22"/>
              </w:rPr>
              <w:t>Treatment Plant</w:t>
            </w:r>
          </w:p>
        </w:tc>
        <w:tc>
          <w:tcPr>
            <w:tcW w:w="1300" w:type="dxa"/>
          </w:tcPr>
          <w:p>
            <w:pPr>
              <w:pStyle w:val="TableParagraph"/>
              <w:ind w:left="108"/>
              <w:rPr>
                <w:sz w:val="22"/>
              </w:rPr>
            </w:pPr>
            <w:r>
              <w:rPr>
                <w:sz w:val="22"/>
              </w:rPr>
              <w:t>2005</w:t>
            </w:r>
          </w:p>
        </w:tc>
        <w:tc>
          <w:tcPr>
            <w:tcW w:w="2555" w:type="dxa"/>
          </w:tcPr>
          <w:p>
            <w:pPr>
              <w:pStyle w:val="TableParagraph"/>
              <w:ind w:left="108"/>
              <w:rPr>
                <w:sz w:val="22"/>
              </w:rPr>
            </w:pPr>
            <w:r>
              <w:rPr>
                <w:sz w:val="22"/>
              </w:rPr>
              <w:t>Renewal/Replacement</w:t>
            </w:r>
          </w:p>
          <w:p>
            <w:pPr>
              <w:pStyle w:val="TableParagraph"/>
              <w:spacing w:line="256" w:lineRule="exact" w:before="6"/>
              <w:ind w:left="108" w:right="345"/>
              <w:rPr>
                <w:sz w:val="22"/>
              </w:rPr>
            </w:pPr>
            <w:r>
              <w:rPr>
                <w:sz w:val="22"/>
              </w:rPr>
              <w:t>projects scheduled for 2017-2021</w:t>
            </w:r>
          </w:p>
        </w:tc>
        <w:tc>
          <w:tcPr>
            <w:tcW w:w="2068" w:type="dxa"/>
          </w:tcPr>
          <w:p>
            <w:pPr>
              <w:pStyle w:val="TableParagraph"/>
              <w:spacing w:before="0"/>
              <w:ind w:left="0"/>
              <w:rPr>
                <w:rFonts w:ascii="Times New Roman"/>
                <w:sz w:val="20"/>
              </w:rPr>
            </w:pPr>
          </w:p>
        </w:tc>
        <w:tc>
          <w:tcPr>
            <w:tcW w:w="1718" w:type="dxa"/>
          </w:tcPr>
          <w:p>
            <w:pPr>
              <w:pStyle w:val="TableParagraph"/>
              <w:ind w:left="110"/>
              <w:rPr>
                <w:sz w:val="22"/>
              </w:rPr>
            </w:pPr>
            <w:r>
              <w:rPr>
                <w:sz w:val="22"/>
              </w:rPr>
              <w:t>$4,382,770</w:t>
            </w:r>
          </w:p>
        </w:tc>
      </w:tr>
      <w:tr>
        <w:trPr>
          <w:trHeight w:val="1984" w:hRule="atLeast"/>
        </w:trPr>
        <w:tc>
          <w:tcPr>
            <w:tcW w:w="1598" w:type="dxa"/>
          </w:tcPr>
          <w:p>
            <w:pPr>
              <w:pStyle w:val="TableParagraph"/>
              <w:ind w:right="243"/>
              <w:rPr>
                <w:sz w:val="22"/>
              </w:rPr>
            </w:pPr>
            <w:r>
              <w:rPr>
                <w:sz w:val="22"/>
              </w:rPr>
              <w:t>Waste Water Treatment Plant</w:t>
            </w:r>
          </w:p>
        </w:tc>
        <w:tc>
          <w:tcPr>
            <w:tcW w:w="1300" w:type="dxa"/>
          </w:tcPr>
          <w:p>
            <w:pPr>
              <w:pStyle w:val="TableParagraph"/>
              <w:ind w:left="108"/>
              <w:rPr>
                <w:sz w:val="22"/>
              </w:rPr>
            </w:pPr>
            <w:r>
              <w:rPr>
                <w:sz w:val="22"/>
              </w:rPr>
              <w:t>1985/1986</w:t>
            </w:r>
          </w:p>
        </w:tc>
        <w:tc>
          <w:tcPr>
            <w:tcW w:w="2555" w:type="dxa"/>
          </w:tcPr>
          <w:p>
            <w:pPr>
              <w:pStyle w:val="TableParagraph"/>
              <w:ind w:left="108" w:right="220"/>
              <w:rPr>
                <w:sz w:val="22"/>
              </w:rPr>
            </w:pPr>
            <w:r>
              <w:rPr>
                <w:sz w:val="22"/>
              </w:rPr>
              <w:t>Repair/Replacement of influent building and treatment facility are scheduled for update in 2017-2018</w:t>
            </w:r>
          </w:p>
        </w:tc>
        <w:tc>
          <w:tcPr>
            <w:tcW w:w="2068" w:type="dxa"/>
          </w:tcPr>
          <w:p>
            <w:pPr>
              <w:pStyle w:val="TableParagraph"/>
              <w:spacing w:before="0"/>
              <w:ind w:left="0"/>
              <w:rPr>
                <w:rFonts w:ascii="Times New Roman"/>
                <w:sz w:val="20"/>
              </w:rPr>
            </w:pPr>
          </w:p>
        </w:tc>
        <w:tc>
          <w:tcPr>
            <w:tcW w:w="1718" w:type="dxa"/>
          </w:tcPr>
          <w:p>
            <w:pPr>
              <w:pStyle w:val="TableParagraph"/>
              <w:spacing w:line="257" w:lineRule="exact"/>
              <w:ind w:left="111"/>
              <w:rPr>
                <w:sz w:val="22"/>
              </w:rPr>
            </w:pPr>
            <w:r>
              <w:rPr>
                <w:sz w:val="22"/>
              </w:rPr>
              <w:t>$2,283,000 –</w:t>
            </w:r>
          </w:p>
          <w:p>
            <w:pPr>
              <w:pStyle w:val="TableParagraph"/>
              <w:spacing w:before="0"/>
              <w:ind w:left="111" w:right="681"/>
              <w:rPr>
                <w:sz w:val="22"/>
              </w:rPr>
            </w:pPr>
            <w:r>
              <w:rPr>
                <w:sz w:val="22"/>
              </w:rPr>
              <w:t>Influent Upgrades</w:t>
            </w:r>
          </w:p>
          <w:p>
            <w:pPr>
              <w:pStyle w:val="TableParagraph"/>
              <w:spacing w:before="11"/>
              <w:ind w:left="0"/>
              <w:rPr>
                <w:rFonts w:ascii="Arial"/>
                <w:b/>
                <w:sz w:val="32"/>
              </w:rPr>
            </w:pPr>
          </w:p>
          <w:p>
            <w:pPr>
              <w:pStyle w:val="TableParagraph"/>
              <w:spacing w:line="257" w:lineRule="exact" w:before="0"/>
              <w:ind w:left="110"/>
              <w:rPr>
                <w:sz w:val="22"/>
              </w:rPr>
            </w:pPr>
            <w:r>
              <w:rPr>
                <w:sz w:val="22"/>
              </w:rPr>
              <w:t>$6,611,369 –</w:t>
            </w:r>
          </w:p>
          <w:p>
            <w:pPr>
              <w:pStyle w:val="TableParagraph"/>
              <w:spacing w:line="260" w:lineRule="exact" w:before="0"/>
              <w:ind w:left="110" w:right="579"/>
              <w:rPr>
                <w:sz w:val="22"/>
              </w:rPr>
            </w:pPr>
            <w:r>
              <w:rPr>
                <w:sz w:val="22"/>
              </w:rPr>
              <w:t>Treatment Facility</w:t>
            </w:r>
          </w:p>
        </w:tc>
      </w:tr>
    </w:tbl>
    <w:p>
      <w:pPr>
        <w:spacing w:after="0" w:line="260" w:lineRule="exact"/>
        <w:rPr>
          <w:sz w:val="22"/>
        </w:rPr>
        <w:sectPr>
          <w:pgSz w:w="12240" w:h="15840"/>
          <w:pgMar w:header="0" w:footer="1052" w:top="1440" w:bottom="1240" w:left="1320" w:right="1200"/>
        </w:sectPr>
      </w:pPr>
    </w:p>
    <w:p>
      <w:pPr>
        <w:spacing w:before="79"/>
        <w:ind w:left="120" w:right="0" w:firstLine="0"/>
        <w:jc w:val="left"/>
        <w:rPr>
          <w:rFonts w:ascii="Arial"/>
          <w:b/>
          <w:sz w:val="20"/>
        </w:rPr>
      </w:pPr>
      <w:bookmarkStart w:name="_bookmark95" w:id="291"/>
      <w:bookmarkEnd w:id="291"/>
      <w:r>
        <w:rPr/>
      </w:r>
      <w:r>
        <w:rPr>
          <w:rFonts w:ascii="Arial"/>
          <w:b/>
          <w:sz w:val="20"/>
        </w:rPr>
        <w:t>Figure CF-2: Municipal Facilities</w:t>
      </w:r>
    </w:p>
    <w:p>
      <w:pPr>
        <w:spacing w:after="0"/>
        <w:jc w:val="left"/>
        <w:rPr>
          <w:rFonts w:ascii="Arial"/>
          <w:sz w:val="20"/>
        </w:rPr>
        <w:sectPr>
          <w:pgSz w:w="12240" w:h="15840"/>
          <w:pgMar w:header="0" w:footer="1052" w:top="1360" w:bottom="1240" w:left="1320" w:right="1200"/>
        </w:sectPr>
      </w:pPr>
    </w:p>
    <w:p>
      <w:pPr>
        <w:pStyle w:val="Heading7"/>
      </w:pPr>
      <w:bookmarkStart w:name="Section Four" w:id="292"/>
      <w:bookmarkEnd w:id="292"/>
      <w:r>
        <w:rPr/>
      </w:r>
      <w:bookmarkStart w:name="_bookmark96" w:id="293"/>
      <w:bookmarkEnd w:id="293"/>
      <w:r>
        <w:rPr/>
      </w:r>
      <w:r>
        <w:rPr>
          <w:color w:val="4F81BC"/>
        </w:rPr>
        <w:t>SECTION FOUR</w:t>
      </w:r>
    </w:p>
    <w:p>
      <w:pPr>
        <w:pStyle w:val="Heading6"/>
        <w:ind w:left="119"/>
      </w:pPr>
      <w:bookmarkStart w:name="Fire and Emergency Services and Faciliti" w:id="294"/>
      <w:bookmarkEnd w:id="294"/>
      <w:r>
        <w:rPr>
          <w:b w:val="0"/>
        </w:rPr>
      </w:r>
      <w:bookmarkStart w:name="EXISTING CONDITIONS" w:id="295"/>
      <w:bookmarkEnd w:id="295"/>
      <w:r>
        <w:rPr>
          <w:b w:val="0"/>
        </w:rPr>
      </w:r>
      <w:bookmarkStart w:name="_bookmark97" w:id="296"/>
      <w:bookmarkEnd w:id="296"/>
      <w:r>
        <w:rPr>
          <w:b w:val="0"/>
        </w:rPr>
      </w:r>
      <w:r>
        <w:rPr/>
        <w:t>FIRE AND EMERGENCY SERVICES AND FACILITIES</w:t>
      </w:r>
    </w:p>
    <w:p>
      <w:pPr>
        <w:spacing w:before="202"/>
        <w:ind w:left="120" w:right="0" w:firstLine="0"/>
        <w:jc w:val="left"/>
        <w:rPr>
          <w:b/>
          <w:sz w:val="24"/>
        </w:rPr>
      </w:pPr>
      <w:r>
        <w:rPr>
          <w:b/>
          <w:sz w:val="24"/>
        </w:rPr>
        <w:t>EXISTING CONDITIONS</w:t>
      </w:r>
    </w:p>
    <w:p>
      <w:pPr>
        <w:pStyle w:val="BodyText"/>
        <w:spacing w:before="120"/>
        <w:ind w:left="120" w:right="234"/>
        <w:jc w:val="both"/>
      </w:pPr>
      <w:r>
        <w:rPr/>
        <w:t>Fire and emergency medical services are a key part of public safety services for the citizens of Richland and the thousands of visitors and workers who pass through the City. The City of Richland has</w:t>
      </w:r>
      <w:r>
        <w:rPr>
          <w:spacing w:val="-8"/>
        </w:rPr>
        <w:t> </w:t>
      </w:r>
      <w:r>
        <w:rPr/>
        <w:t>a</w:t>
      </w:r>
      <w:r>
        <w:rPr>
          <w:spacing w:val="-9"/>
        </w:rPr>
        <w:t> </w:t>
      </w:r>
      <w:r>
        <w:rPr/>
        <w:t>professional</w:t>
      </w:r>
      <w:r>
        <w:rPr>
          <w:spacing w:val="-9"/>
        </w:rPr>
        <w:t> </w:t>
      </w:r>
      <w:r>
        <w:rPr/>
        <w:t>fire</w:t>
      </w:r>
      <w:r>
        <w:rPr>
          <w:spacing w:val="-9"/>
        </w:rPr>
        <w:t> </w:t>
      </w:r>
      <w:r>
        <w:rPr/>
        <w:t>department,</w:t>
      </w:r>
      <w:r>
        <w:rPr>
          <w:spacing w:val="-8"/>
        </w:rPr>
        <w:t> </w:t>
      </w:r>
      <w:r>
        <w:rPr/>
        <w:t>which</w:t>
      </w:r>
      <w:r>
        <w:rPr>
          <w:spacing w:val="-9"/>
        </w:rPr>
        <w:t> </w:t>
      </w:r>
      <w:r>
        <w:rPr/>
        <w:t>provides</w:t>
      </w:r>
      <w:r>
        <w:rPr>
          <w:spacing w:val="-8"/>
        </w:rPr>
        <w:t> </w:t>
      </w:r>
      <w:r>
        <w:rPr/>
        <w:t>fire</w:t>
      </w:r>
      <w:r>
        <w:rPr>
          <w:spacing w:val="-9"/>
        </w:rPr>
        <w:t> </w:t>
      </w:r>
      <w:r>
        <w:rPr/>
        <w:t>and</w:t>
      </w:r>
      <w:r>
        <w:rPr>
          <w:spacing w:val="-9"/>
        </w:rPr>
        <w:t> </w:t>
      </w:r>
      <w:r>
        <w:rPr/>
        <w:t>life</w:t>
      </w:r>
      <w:r>
        <w:rPr>
          <w:spacing w:val="-8"/>
        </w:rPr>
        <w:t> </w:t>
      </w:r>
      <w:r>
        <w:rPr/>
        <w:t>safety</w:t>
      </w:r>
      <w:r>
        <w:rPr>
          <w:spacing w:val="-10"/>
        </w:rPr>
        <w:t> </w:t>
      </w:r>
      <w:r>
        <w:rPr/>
        <w:t>protection,</w:t>
      </w:r>
      <w:r>
        <w:rPr>
          <w:spacing w:val="-9"/>
        </w:rPr>
        <w:t> </w:t>
      </w:r>
      <w:r>
        <w:rPr/>
        <w:t>emergency</w:t>
      </w:r>
      <w:r>
        <w:rPr>
          <w:spacing w:val="-10"/>
        </w:rPr>
        <w:t> </w:t>
      </w:r>
      <w:r>
        <w:rPr/>
        <w:t>medical services (EMS), technical rescue, and hazardous materials response to citizens, visitors and the business</w:t>
      </w:r>
      <w:r>
        <w:rPr>
          <w:spacing w:val="-1"/>
        </w:rPr>
        <w:t> </w:t>
      </w:r>
      <w:r>
        <w:rPr/>
        <w:t>community.</w:t>
      </w:r>
    </w:p>
    <w:p>
      <w:pPr>
        <w:pStyle w:val="BodyText"/>
        <w:spacing w:before="119"/>
        <w:ind w:left="120" w:right="236"/>
        <w:jc w:val="both"/>
      </w:pPr>
      <w:r>
        <w:rPr/>
        <w:t>The Richland Fire &amp; Emergency Services Department also provides Advanced Life Support EMS through Interlocal Agreements to segments of unincorporated areas of Benton County.</w:t>
      </w:r>
    </w:p>
    <w:p>
      <w:pPr>
        <w:pStyle w:val="BodyText"/>
        <w:spacing w:before="120"/>
        <w:ind w:left="120"/>
        <w:jc w:val="both"/>
      </w:pPr>
      <w:r>
        <w:rPr/>
        <w:t>Existing Fire Stations are located as follows:</w:t>
      </w:r>
    </w:p>
    <w:p>
      <w:pPr>
        <w:pStyle w:val="ListParagraph"/>
        <w:numPr>
          <w:ilvl w:val="1"/>
          <w:numId w:val="10"/>
        </w:numPr>
        <w:tabs>
          <w:tab w:pos="839" w:val="left" w:leader="none"/>
          <w:tab w:pos="841" w:val="left" w:leader="none"/>
        </w:tabs>
        <w:spacing w:line="240" w:lineRule="auto" w:before="61" w:after="0"/>
        <w:ind w:left="840" w:right="0" w:hanging="362"/>
        <w:jc w:val="left"/>
        <w:rPr>
          <w:sz w:val="22"/>
        </w:rPr>
      </w:pPr>
      <w:r>
        <w:rPr>
          <w:sz w:val="22"/>
        </w:rPr>
        <w:t>Fire Station 71 at 1000 George Washington</w:t>
      </w:r>
      <w:r>
        <w:rPr>
          <w:spacing w:val="-14"/>
          <w:sz w:val="22"/>
        </w:rPr>
        <w:t> </w:t>
      </w:r>
      <w:r>
        <w:rPr>
          <w:sz w:val="22"/>
        </w:rPr>
        <w:t>Way.</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Fire Station 72 at 710 Gage</w:t>
      </w:r>
      <w:r>
        <w:rPr>
          <w:spacing w:val="-8"/>
          <w:sz w:val="22"/>
        </w:rPr>
        <w:t> </w:t>
      </w:r>
      <w:r>
        <w:rPr>
          <w:sz w:val="22"/>
        </w:rPr>
        <w:t>Blvd.</w:t>
      </w:r>
    </w:p>
    <w:p>
      <w:pPr>
        <w:pStyle w:val="ListParagraph"/>
        <w:numPr>
          <w:ilvl w:val="1"/>
          <w:numId w:val="10"/>
        </w:numPr>
        <w:tabs>
          <w:tab w:pos="840" w:val="left" w:leader="none"/>
          <w:tab w:pos="841" w:val="left" w:leader="none"/>
        </w:tabs>
        <w:spacing w:line="240" w:lineRule="auto" w:before="62" w:after="0"/>
        <w:ind w:left="840" w:right="0" w:hanging="361"/>
        <w:jc w:val="left"/>
        <w:rPr>
          <w:sz w:val="22"/>
        </w:rPr>
      </w:pPr>
      <w:r>
        <w:rPr>
          <w:sz w:val="22"/>
        </w:rPr>
        <w:t>Fire Station 73 at 1900 Jadwin</w:t>
      </w:r>
      <w:r>
        <w:rPr>
          <w:spacing w:val="-9"/>
          <w:sz w:val="22"/>
        </w:rPr>
        <w:t> </w:t>
      </w:r>
      <w:r>
        <w:rPr>
          <w:sz w:val="22"/>
        </w:rPr>
        <w:t>Avenue.</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r>
        <w:rPr>
          <w:sz w:val="22"/>
        </w:rPr>
        <w:t>Fire Station 74 at 2710 Duportail</w:t>
      </w:r>
      <w:r>
        <w:rPr>
          <w:spacing w:val="-8"/>
          <w:sz w:val="22"/>
        </w:rPr>
        <w:t> </w:t>
      </w:r>
      <w:r>
        <w:rPr>
          <w:sz w:val="22"/>
        </w:rPr>
        <w:t>Street.</w:t>
      </w:r>
    </w:p>
    <w:p>
      <w:pPr>
        <w:pStyle w:val="BodyText"/>
        <w:spacing w:before="121"/>
        <w:ind w:left="120"/>
      </w:pPr>
      <w:bookmarkStart w:name="LEVEL OF SERVICE" w:id="297"/>
      <w:bookmarkEnd w:id="297"/>
      <w:r>
        <w:rPr/>
      </w:r>
      <w:r>
        <w:rPr/>
        <w:t>The map indicates existing and future Fire Stations serving the City.</w:t>
      </w:r>
    </w:p>
    <w:p>
      <w:pPr>
        <w:spacing w:before="200"/>
        <w:ind w:left="120" w:right="0" w:firstLine="0"/>
        <w:jc w:val="left"/>
        <w:rPr>
          <w:b/>
          <w:sz w:val="24"/>
        </w:rPr>
      </w:pPr>
      <w:bookmarkStart w:name="Emergency Response Standard" w:id="298"/>
      <w:bookmarkEnd w:id="298"/>
      <w:r>
        <w:rPr/>
      </w:r>
      <w:r>
        <w:rPr>
          <w:b/>
          <w:sz w:val="24"/>
        </w:rPr>
        <w:t>LEVEL OF SERVICE</w:t>
      </w:r>
    </w:p>
    <w:p>
      <w:pPr>
        <w:spacing w:before="199"/>
        <w:ind w:left="120" w:right="0" w:firstLine="0"/>
        <w:jc w:val="both"/>
        <w:rPr>
          <w:b/>
          <w:sz w:val="22"/>
        </w:rPr>
      </w:pPr>
      <w:r>
        <w:rPr>
          <w:b/>
          <w:color w:val="C0504D"/>
          <w:sz w:val="22"/>
        </w:rPr>
        <w:t>Emergency Response Standard</w:t>
      </w:r>
    </w:p>
    <w:p>
      <w:pPr>
        <w:pStyle w:val="BodyText"/>
        <w:spacing w:before="119"/>
        <w:ind w:left="120" w:right="236"/>
        <w:jc w:val="both"/>
      </w:pPr>
      <w:r>
        <w:rPr/>
        <w:t>Richland Fire &amp; Emergency Service historic LOS dates back prior to 2000. Minimum level of service goal</w:t>
      </w:r>
      <w:r>
        <w:rPr>
          <w:spacing w:val="-4"/>
        </w:rPr>
        <w:t> </w:t>
      </w:r>
      <w:r>
        <w:rPr/>
        <w:t>is</w:t>
      </w:r>
      <w:r>
        <w:rPr>
          <w:spacing w:val="-2"/>
        </w:rPr>
        <w:t> </w:t>
      </w:r>
      <w:r>
        <w:rPr/>
        <w:t>a</w:t>
      </w:r>
      <w:r>
        <w:rPr>
          <w:spacing w:val="-2"/>
        </w:rPr>
        <w:t> </w:t>
      </w:r>
      <w:r>
        <w:rPr/>
        <w:t>response</w:t>
      </w:r>
      <w:r>
        <w:rPr>
          <w:spacing w:val="-1"/>
        </w:rPr>
        <w:t> </w:t>
      </w:r>
      <w:r>
        <w:rPr/>
        <w:t>time</w:t>
      </w:r>
      <w:r>
        <w:rPr>
          <w:spacing w:val="-2"/>
        </w:rPr>
        <w:t> </w:t>
      </w:r>
      <w:r>
        <w:rPr/>
        <w:t>of</w:t>
      </w:r>
      <w:r>
        <w:rPr>
          <w:spacing w:val="-3"/>
        </w:rPr>
        <w:t> </w:t>
      </w:r>
      <w:r>
        <w:rPr/>
        <w:t>5</w:t>
      </w:r>
      <w:r>
        <w:rPr>
          <w:spacing w:val="-2"/>
        </w:rPr>
        <w:t> </w:t>
      </w:r>
      <w:r>
        <w:rPr/>
        <w:t>minutes</w:t>
      </w:r>
      <w:r>
        <w:rPr>
          <w:spacing w:val="-1"/>
        </w:rPr>
        <w:t> </w:t>
      </w:r>
      <w:r>
        <w:rPr/>
        <w:t>to</w:t>
      </w:r>
      <w:r>
        <w:rPr>
          <w:spacing w:val="-1"/>
        </w:rPr>
        <w:t> </w:t>
      </w:r>
      <w:r>
        <w:rPr/>
        <w:t>90%</w:t>
      </w:r>
      <w:r>
        <w:rPr>
          <w:spacing w:val="-2"/>
        </w:rPr>
        <w:t> </w:t>
      </w:r>
      <w:r>
        <w:rPr/>
        <w:t>of</w:t>
      </w:r>
      <w:r>
        <w:rPr>
          <w:spacing w:val="-1"/>
        </w:rPr>
        <w:t> </w:t>
      </w:r>
      <w:r>
        <w:rPr/>
        <w:t>all</w:t>
      </w:r>
      <w:r>
        <w:rPr>
          <w:spacing w:val="-2"/>
        </w:rPr>
        <w:t> </w:t>
      </w:r>
      <w:r>
        <w:rPr/>
        <w:t>emergency</w:t>
      </w:r>
      <w:r>
        <w:rPr>
          <w:spacing w:val="-4"/>
        </w:rPr>
        <w:t> </w:t>
      </w:r>
      <w:r>
        <w:rPr/>
        <w:t>calls</w:t>
      </w:r>
      <w:r>
        <w:rPr>
          <w:spacing w:val="-1"/>
        </w:rPr>
        <w:t> </w:t>
      </w:r>
      <w:r>
        <w:rPr/>
        <w:t>within</w:t>
      </w:r>
      <w:r>
        <w:rPr>
          <w:spacing w:val="-2"/>
        </w:rPr>
        <w:t> </w:t>
      </w:r>
      <w:r>
        <w:rPr/>
        <w:t>the</w:t>
      </w:r>
      <w:r>
        <w:rPr>
          <w:spacing w:val="-4"/>
        </w:rPr>
        <w:t> </w:t>
      </w:r>
      <w:r>
        <w:rPr/>
        <w:t>City</w:t>
      </w:r>
      <w:r>
        <w:rPr>
          <w:spacing w:val="-2"/>
        </w:rPr>
        <w:t> </w:t>
      </w:r>
      <w:r>
        <w:rPr/>
        <w:t>of</w:t>
      </w:r>
      <w:r>
        <w:rPr>
          <w:spacing w:val="-2"/>
        </w:rPr>
        <w:t> </w:t>
      </w:r>
      <w:r>
        <w:rPr/>
        <w:t>Richland.</w:t>
      </w:r>
      <w:r>
        <w:rPr>
          <w:spacing w:val="-3"/>
        </w:rPr>
        <w:t> </w:t>
      </w:r>
      <w:r>
        <w:rPr/>
        <w:t>The</w:t>
      </w:r>
      <w:r>
        <w:rPr>
          <w:spacing w:val="-1"/>
        </w:rPr>
        <w:t> </w:t>
      </w:r>
      <w:r>
        <w:rPr/>
        <w:t>5- minute response time is defined from time of dispatch to arrival on</w:t>
      </w:r>
      <w:r>
        <w:rPr>
          <w:spacing w:val="-13"/>
        </w:rPr>
        <w:t> </w:t>
      </w:r>
      <w:r>
        <w:rPr/>
        <w:t>scene.</w:t>
      </w:r>
    </w:p>
    <w:p>
      <w:pPr>
        <w:spacing w:before="203"/>
        <w:ind w:left="120" w:right="0" w:firstLine="0"/>
        <w:jc w:val="both"/>
        <w:rPr>
          <w:b/>
          <w:sz w:val="22"/>
        </w:rPr>
      </w:pPr>
      <w:bookmarkStart w:name="Professional Industry Standard" w:id="299"/>
      <w:bookmarkEnd w:id="299"/>
      <w:r>
        <w:rPr/>
      </w:r>
      <w:r>
        <w:rPr>
          <w:b/>
          <w:color w:val="C0504D"/>
          <w:sz w:val="22"/>
        </w:rPr>
        <w:t>Professional Industry Standard</w:t>
      </w:r>
    </w:p>
    <w:p>
      <w:pPr>
        <w:pStyle w:val="BodyText"/>
        <w:spacing w:before="119"/>
        <w:ind w:left="120" w:right="235"/>
        <w:jc w:val="both"/>
      </w:pPr>
      <w:r>
        <w:rPr/>
        <w:t>Richland</w:t>
      </w:r>
      <w:r>
        <w:rPr>
          <w:spacing w:val="-8"/>
        </w:rPr>
        <w:t> </w:t>
      </w:r>
      <w:r>
        <w:rPr/>
        <w:t>Fire</w:t>
      </w:r>
      <w:r>
        <w:rPr>
          <w:spacing w:val="-6"/>
        </w:rPr>
        <w:t> </w:t>
      </w:r>
      <w:r>
        <w:rPr/>
        <w:t>&amp;</w:t>
      </w:r>
      <w:r>
        <w:rPr>
          <w:spacing w:val="-7"/>
        </w:rPr>
        <w:t> </w:t>
      </w:r>
      <w:r>
        <w:rPr/>
        <w:t>Emergency</w:t>
      </w:r>
      <w:r>
        <w:rPr>
          <w:spacing w:val="-9"/>
        </w:rPr>
        <w:t> </w:t>
      </w:r>
      <w:r>
        <w:rPr/>
        <w:t>Services</w:t>
      </w:r>
      <w:r>
        <w:rPr>
          <w:spacing w:val="-6"/>
        </w:rPr>
        <w:t> </w:t>
      </w:r>
      <w:r>
        <w:rPr/>
        <w:t>was</w:t>
      </w:r>
      <w:r>
        <w:rPr>
          <w:spacing w:val="-8"/>
        </w:rPr>
        <w:t> </w:t>
      </w:r>
      <w:r>
        <w:rPr/>
        <w:t>given</w:t>
      </w:r>
      <w:r>
        <w:rPr>
          <w:spacing w:val="-7"/>
        </w:rPr>
        <w:t> </w:t>
      </w:r>
      <w:r>
        <w:rPr/>
        <w:t>an</w:t>
      </w:r>
      <w:r>
        <w:rPr>
          <w:spacing w:val="-9"/>
        </w:rPr>
        <w:t> </w:t>
      </w:r>
      <w:r>
        <w:rPr/>
        <w:t>Insurance</w:t>
      </w:r>
      <w:r>
        <w:rPr>
          <w:spacing w:val="-6"/>
        </w:rPr>
        <w:t> </w:t>
      </w:r>
      <w:r>
        <w:rPr/>
        <w:t>Service</w:t>
      </w:r>
      <w:r>
        <w:rPr>
          <w:spacing w:val="-6"/>
        </w:rPr>
        <w:t> </w:t>
      </w:r>
      <w:r>
        <w:rPr/>
        <w:t>Office</w:t>
      </w:r>
      <w:r>
        <w:rPr>
          <w:spacing w:val="-7"/>
        </w:rPr>
        <w:t> </w:t>
      </w:r>
      <w:r>
        <w:rPr/>
        <w:t>(ISO)</w:t>
      </w:r>
      <w:r>
        <w:rPr>
          <w:spacing w:val="-7"/>
        </w:rPr>
        <w:t> </w:t>
      </w:r>
      <w:r>
        <w:rPr/>
        <w:t>rating</w:t>
      </w:r>
      <w:r>
        <w:rPr>
          <w:spacing w:val="-8"/>
        </w:rPr>
        <w:t> </w:t>
      </w:r>
      <w:r>
        <w:rPr/>
        <w:t>of</w:t>
      </w:r>
      <w:r>
        <w:rPr>
          <w:spacing w:val="-6"/>
        </w:rPr>
        <w:t> </w:t>
      </w:r>
      <w:r>
        <w:rPr/>
        <w:t>3</w:t>
      </w:r>
      <w:r>
        <w:rPr>
          <w:spacing w:val="-8"/>
        </w:rPr>
        <w:t> </w:t>
      </w:r>
      <w:r>
        <w:rPr/>
        <w:t>following an evaluation conducted in 1994 and again in 2016. ISO ratings range from 1 to 10, with lower</w:t>
      </w:r>
      <w:bookmarkStart w:name="FUTURE DEFICIENCIES" w:id="300"/>
      <w:bookmarkEnd w:id="300"/>
      <w:r>
        <w:rPr/>
      </w:r>
      <w:r>
        <w:rPr/>
        <w:t> numbers being</w:t>
      </w:r>
      <w:r>
        <w:rPr>
          <w:spacing w:val="-1"/>
        </w:rPr>
        <w:t> </w:t>
      </w:r>
      <w:r>
        <w:rPr/>
        <w:t>better.</w:t>
      </w:r>
    </w:p>
    <w:p>
      <w:pPr>
        <w:spacing w:before="200"/>
        <w:ind w:left="120" w:right="0" w:firstLine="0"/>
        <w:jc w:val="left"/>
        <w:rPr>
          <w:b/>
          <w:sz w:val="24"/>
        </w:rPr>
      </w:pPr>
      <w:r>
        <w:rPr>
          <w:b/>
          <w:sz w:val="24"/>
        </w:rPr>
        <w:t>FUTURE DEFICIENCIES</w:t>
      </w:r>
    </w:p>
    <w:p>
      <w:pPr>
        <w:pStyle w:val="ListParagraph"/>
        <w:numPr>
          <w:ilvl w:val="1"/>
          <w:numId w:val="10"/>
        </w:numPr>
        <w:tabs>
          <w:tab w:pos="841" w:val="left" w:leader="none"/>
        </w:tabs>
        <w:spacing w:line="240" w:lineRule="auto" w:before="59" w:after="0"/>
        <w:ind w:left="840" w:right="234" w:hanging="361"/>
        <w:jc w:val="both"/>
        <w:rPr>
          <w:sz w:val="22"/>
        </w:rPr>
      </w:pPr>
      <w:r>
        <w:rPr>
          <w:sz w:val="22"/>
        </w:rPr>
        <w:t>Inability to meet the City’s historic minimum level of service in the northern and southern perimeters of the City as outlined in CFPS Goal 1 policies 1, 2 &amp;</w:t>
      </w:r>
      <w:r>
        <w:rPr>
          <w:spacing w:val="-17"/>
          <w:sz w:val="22"/>
        </w:rPr>
        <w:t> </w:t>
      </w:r>
      <w:r>
        <w:rPr>
          <w:sz w:val="22"/>
        </w:rPr>
        <w:t>3.</w:t>
      </w:r>
    </w:p>
    <w:p>
      <w:pPr>
        <w:pStyle w:val="ListParagraph"/>
        <w:numPr>
          <w:ilvl w:val="1"/>
          <w:numId w:val="10"/>
        </w:numPr>
        <w:tabs>
          <w:tab w:pos="841" w:val="left" w:leader="none"/>
        </w:tabs>
        <w:spacing w:line="240" w:lineRule="auto" w:before="61" w:after="0"/>
        <w:ind w:left="840" w:right="235" w:hanging="361"/>
        <w:jc w:val="both"/>
        <w:rPr>
          <w:sz w:val="22"/>
        </w:rPr>
      </w:pPr>
      <w:r>
        <w:rPr>
          <w:sz w:val="22"/>
        </w:rPr>
        <w:t>Enhanced difficulties maintaining WAC training compliance without having access to a training</w:t>
      </w:r>
      <w:r>
        <w:rPr>
          <w:spacing w:val="-1"/>
          <w:sz w:val="22"/>
        </w:rPr>
        <w:t> </w:t>
      </w:r>
      <w:r>
        <w:rPr>
          <w:sz w:val="22"/>
        </w:rPr>
        <w:t>complex.</w:t>
      </w:r>
    </w:p>
    <w:p>
      <w:pPr>
        <w:spacing w:before="199"/>
        <w:ind w:left="120" w:right="0" w:firstLine="0"/>
        <w:jc w:val="left"/>
        <w:rPr>
          <w:b/>
          <w:sz w:val="24"/>
        </w:rPr>
      </w:pPr>
      <w:bookmarkStart w:name="RECOMMENDATIONS" w:id="301"/>
      <w:bookmarkEnd w:id="301"/>
      <w:r>
        <w:rPr/>
      </w:r>
      <w:r>
        <w:rPr>
          <w:b/>
          <w:sz w:val="24"/>
        </w:rPr>
        <w:t>RECOMMENDATIONS</w:t>
      </w:r>
    </w:p>
    <w:p>
      <w:pPr>
        <w:pStyle w:val="BodyText"/>
        <w:spacing w:before="119"/>
        <w:ind w:left="119"/>
      </w:pPr>
      <w:r>
        <w:rPr/>
        <w:t>The following facility recommendations are based on the Comprehensive Plan goals and desire </w:t>
      </w:r>
      <w:r>
        <w:rPr>
          <w:spacing w:val="-3"/>
        </w:rPr>
        <w:t>to </w:t>
      </w:r>
      <w:r>
        <w:rPr/>
        <w:t>maintain a level of service standard for the time period of 2017 to</w:t>
      </w:r>
      <w:r>
        <w:rPr>
          <w:spacing w:val="-19"/>
        </w:rPr>
        <w:t> </w:t>
      </w:r>
      <w:r>
        <w:rPr/>
        <w:t>2037.</w:t>
      </w:r>
    </w:p>
    <w:p>
      <w:pPr>
        <w:spacing w:before="202"/>
        <w:ind w:left="119" w:right="0" w:firstLine="0"/>
        <w:jc w:val="both"/>
        <w:rPr>
          <w:b/>
          <w:sz w:val="22"/>
        </w:rPr>
      </w:pPr>
      <w:bookmarkStart w:name="Short Term 2017-2021 Capital Cost Estima" w:id="302"/>
      <w:bookmarkEnd w:id="302"/>
      <w:r>
        <w:rPr/>
      </w:r>
      <w:r>
        <w:rPr>
          <w:b/>
          <w:color w:val="C0504D"/>
          <w:sz w:val="22"/>
        </w:rPr>
        <w:t>Short Term 2017-2021 Capital Cost Estimate $12.9 to $14.1</w:t>
      </w:r>
      <w:r>
        <w:rPr>
          <w:b/>
          <w:color w:val="C0504D"/>
          <w:spacing w:val="-27"/>
          <w:sz w:val="22"/>
        </w:rPr>
        <w:t> </w:t>
      </w:r>
      <w:r>
        <w:rPr>
          <w:b/>
          <w:color w:val="C0504D"/>
          <w:sz w:val="22"/>
        </w:rPr>
        <w:t>million</w:t>
      </w:r>
    </w:p>
    <w:p>
      <w:pPr>
        <w:pStyle w:val="ListParagraph"/>
        <w:numPr>
          <w:ilvl w:val="0"/>
          <w:numId w:val="13"/>
        </w:numPr>
        <w:tabs>
          <w:tab w:pos="841" w:val="left" w:leader="none"/>
        </w:tabs>
        <w:spacing w:line="240" w:lineRule="auto" w:before="119" w:after="0"/>
        <w:ind w:left="840" w:right="234" w:hanging="360"/>
        <w:jc w:val="both"/>
        <w:rPr>
          <w:sz w:val="22"/>
        </w:rPr>
      </w:pPr>
      <w:r>
        <w:rPr>
          <w:sz w:val="22"/>
        </w:rPr>
        <w:t>Relocation of the north station (Jadwin &amp; McMurray) further north near the intersection of SR 240 and Stevens Drive </w:t>
      </w:r>
      <w:r>
        <w:rPr>
          <w:sz w:val="22"/>
          <w:u w:val="single"/>
        </w:rPr>
        <w:t>(</w:t>
      </w:r>
      <w:r>
        <w:rPr>
          <w:sz w:val="22"/>
        </w:rPr>
        <w:t>Capital cost estimate: $4.1 million). Optimal timing for relocation of</w:t>
      </w:r>
      <w:r>
        <w:rPr>
          <w:spacing w:val="9"/>
          <w:sz w:val="22"/>
        </w:rPr>
        <w:t> </w:t>
      </w:r>
      <w:r>
        <w:rPr>
          <w:sz w:val="22"/>
        </w:rPr>
        <w:t>north</w:t>
      </w:r>
      <w:r>
        <w:rPr>
          <w:spacing w:val="7"/>
          <w:sz w:val="22"/>
        </w:rPr>
        <w:t> </w:t>
      </w:r>
      <w:r>
        <w:rPr>
          <w:sz w:val="22"/>
        </w:rPr>
        <w:t>station</w:t>
      </w:r>
      <w:r>
        <w:rPr>
          <w:spacing w:val="8"/>
          <w:sz w:val="22"/>
        </w:rPr>
        <w:t> </w:t>
      </w:r>
      <w:r>
        <w:rPr>
          <w:sz w:val="22"/>
        </w:rPr>
        <w:t>is</w:t>
      </w:r>
      <w:r>
        <w:rPr>
          <w:spacing w:val="10"/>
          <w:sz w:val="22"/>
        </w:rPr>
        <w:t> </w:t>
      </w:r>
      <w:r>
        <w:rPr>
          <w:sz w:val="22"/>
        </w:rPr>
        <w:t>simultaneous</w:t>
      </w:r>
      <w:r>
        <w:rPr>
          <w:spacing w:val="10"/>
          <w:sz w:val="22"/>
        </w:rPr>
        <w:t> </w:t>
      </w:r>
      <w:r>
        <w:rPr>
          <w:sz w:val="22"/>
        </w:rPr>
        <w:t>with</w:t>
      </w:r>
      <w:r>
        <w:rPr>
          <w:spacing w:val="10"/>
          <w:sz w:val="22"/>
        </w:rPr>
        <w:t> </w:t>
      </w:r>
      <w:r>
        <w:rPr>
          <w:sz w:val="22"/>
        </w:rPr>
        <w:t>the</w:t>
      </w:r>
      <w:r>
        <w:rPr>
          <w:spacing w:val="9"/>
          <w:sz w:val="22"/>
        </w:rPr>
        <w:t> </w:t>
      </w:r>
      <w:r>
        <w:rPr>
          <w:sz w:val="22"/>
        </w:rPr>
        <w:t>completion</w:t>
      </w:r>
      <w:r>
        <w:rPr>
          <w:spacing w:val="8"/>
          <w:sz w:val="22"/>
        </w:rPr>
        <w:t> </w:t>
      </w:r>
      <w:r>
        <w:rPr>
          <w:sz w:val="22"/>
        </w:rPr>
        <w:t>of</w:t>
      </w:r>
      <w:r>
        <w:rPr>
          <w:spacing w:val="9"/>
          <w:sz w:val="22"/>
        </w:rPr>
        <w:t> </w:t>
      </w:r>
      <w:r>
        <w:rPr>
          <w:sz w:val="22"/>
        </w:rPr>
        <w:t>the</w:t>
      </w:r>
      <w:r>
        <w:rPr>
          <w:spacing w:val="9"/>
          <w:sz w:val="22"/>
        </w:rPr>
        <w:t> </w:t>
      </w:r>
      <w:r>
        <w:rPr>
          <w:sz w:val="22"/>
        </w:rPr>
        <w:t>Duportail</w:t>
      </w:r>
      <w:r>
        <w:rPr>
          <w:spacing w:val="9"/>
          <w:sz w:val="22"/>
        </w:rPr>
        <w:t> </w:t>
      </w:r>
      <w:r>
        <w:rPr>
          <w:sz w:val="22"/>
        </w:rPr>
        <w:t>Bridge.</w:t>
      </w:r>
      <w:r>
        <w:rPr>
          <w:spacing w:val="9"/>
          <w:sz w:val="22"/>
        </w:rPr>
        <w:t> </w:t>
      </w:r>
      <w:r>
        <w:rPr>
          <w:sz w:val="22"/>
        </w:rPr>
        <w:t>Historic</w:t>
      </w:r>
      <w:r>
        <w:rPr>
          <w:spacing w:val="11"/>
          <w:sz w:val="22"/>
        </w:rPr>
        <w:t> </w:t>
      </w:r>
      <w:r>
        <w:rPr>
          <w:sz w:val="22"/>
        </w:rPr>
        <w:t>note:</w:t>
      </w:r>
    </w:p>
    <w:p>
      <w:pPr>
        <w:spacing w:after="0" w:line="240" w:lineRule="auto"/>
        <w:jc w:val="both"/>
        <w:rPr>
          <w:sz w:val="22"/>
        </w:rPr>
        <w:sectPr>
          <w:pgSz w:w="12240" w:h="15840"/>
          <w:pgMar w:header="0" w:footer="1052" w:top="1420" w:bottom="1320" w:left="1320" w:right="1200"/>
        </w:sectPr>
      </w:pPr>
    </w:p>
    <w:p>
      <w:pPr>
        <w:pStyle w:val="BodyText"/>
        <w:spacing w:before="80"/>
        <w:ind w:left="840" w:right="237"/>
        <w:jc w:val="both"/>
      </w:pPr>
      <w:r>
        <w:rPr/>
        <w:t>earlier</w:t>
      </w:r>
      <w:r>
        <w:rPr>
          <w:spacing w:val="-8"/>
        </w:rPr>
        <w:t> </w:t>
      </w:r>
      <w:r>
        <w:rPr/>
        <w:t>comprehensive</w:t>
      </w:r>
      <w:r>
        <w:rPr>
          <w:spacing w:val="-7"/>
        </w:rPr>
        <w:t> </w:t>
      </w:r>
      <w:r>
        <w:rPr/>
        <w:t>plans</w:t>
      </w:r>
      <w:r>
        <w:rPr>
          <w:spacing w:val="-7"/>
        </w:rPr>
        <w:t> </w:t>
      </w:r>
      <w:r>
        <w:rPr/>
        <w:t>from</w:t>
      </w:r>
      <w:r>
        <w:rPr>
          <w:spacing w:val="-7"/>
        </w:rPr>
        <w:t> </w:t>
      </w:r>
      <w:r>
        <w:rPr/>
        <w:t>the</w:t>
      </w:r>
      <w:r>
        <w:rPr>
          <w:spacing w:val="-10"/>
        </w:rPr>
        <w:t> </w:t>
      </w:r>
      <w:r>
        <w:rPr/>
        <w:t>1990s</w:t>
      </w:r>
      <w:r>
        <w:rPr>
          <w:spacing w:val="-6"/>
        </w:rPr>
        <w:t> </w:t>
      </w:r>
      <w:r>
        <w:rPr/>
        <w:t>identified</w:t>
      </w:r>
      <w:r>
        <w:rPr>
          <w:spacing w:val="-8"/>
        </w:rPr>
        <w:t> </w:t>
      </w:r>
      <w:r>
        <w:rPr/>
        <w:t>the</w:t>
      </w:r>
      <w:r>
        <w:rPr>
          <w:spacing w:val="-7"/>
        </w:rPr>
        <w:t> </w:t>
      </w:r>
      <w:r>
        <w:rPr/>
        <w:t>replacement</w:t>
      </w:r>
      <w:r>
        <w:rPr>
          <w:spacing w:val="-8"/>
        </w:rPr>
        <w:t> </w:t>
      </w:r>
      <w:r>
        <w:rPr/>
        <w:t>of</w:t>
      </w:r>
      <w:r>
        <w:rPr>
          <w:spacing w:val="-7"/>
        </w:rPr>
        <w:t> </w:t>
      </w:r>
      <w:r>
        <w:rPr/>
        <w:t>station</w:t>
      </w:r>
      <w:r>
        <w:rPr>
          <w:spacing w:val="-9"/>
        </w:rPr>
        <w:t> </w:t>
      </w:r>
      <w:r>
        <w:rPr/>
        <w:t>73</w:t>
      </w:r>
      <w:r>
        <w:rPr>
          <w:spacing w:val="-7"/>
        </w:rPr>
        <w:t> </w:t>
      </w:r>
      <w:r>
        <w:rPr/>
        <w:t>(Jadwin &amp; McMurray) in</w:t>
      </w:r>
      <w:r>
        <w:rPr>
          <w:spacing w:val="-6"/>
        </w:rPr>
        <w:t> </w:t>
      </w:r>
      <w:r>
        <w:rPr/>
        <w:t>2004.</w:t>
      </w:r>
    </w:p>
    <w:p>
      <w:pPr>
        <w:pStyle w:val="ListParagraph"/>
        <w:numPr>
          <w:ilvl w:val="1"/>
          <w:numId w:val="13"/>
        </w:numPr>
        <w:tabs>
          <w:tab w:pos="1560" w:val="left" w:leader="none"/>
        </w:tabs>
        <w:spacing w:line="240" w:lineRule="auto" w:before="60" w:after="0"/>
        <w:ind w:left="1559" w:right="0" w:hanging="360"/>
        <w:jc w:val="both"/>
        <w:rPr>
          <w:sz w:val="22"/>
        </w:rPr>
      </w:pPr>
      <w:r>
        <w:rPr>
          <w:sz w:val="22"/>
        </w:rPr>
        <w:t>Secure property and change zone and land use</w:t>
      </w:r>
      <w:r>
        <w:rPr>
          <w:spacing w:val="-11"/>
          <w:sz w:val="22"/>
        </w:rPr>
        <w:t> </w:t>
      </w:r>
      <w:r>
        <w:rPr>
          <w:sz w:val="22"/>
        </w:rPr>
        <w:t>designation.</w:t>
      </w:r>
    </w:p>
    <w:p>
      <w:pPr>
        <w:pStyle w:val="ListParagraph"/>
        <w:numPr>
          <w:ilvl w:val="1"/>
          <w:numId w:val="13"/>
        </w:numPr>
        <w:tabs>
          <w:tab w:pos="1560" w:val="left" w:leader="none"/>
        </w:tabs>
        <w:spacing w:line="240" w:lineRule="auto" w:before="59" w:after="0"/>
        <w:ind w:left="1559" w:right="0" w:hanging="361"/>
        <w:jc w:val="both"/>
        <w:rPr>
          <w:sz w:val="22"/>
        </w:rPr>
      </w:pPr>
      <w:r>
        <w:rPr>
          <w:sz w:val="22"/>
        </w:rPr>
        <w:t>Construct emergency response</w:t>
      </w:r>
      <w:r>
        <w:rPr>
          <w:spacing w:val="-5"/>
          <w:sz w:val="22"/>
        </w:rPr>
        <w:t> </w:t>
      </w:r>
      <w:r>
        <w:rPr>
          <w:sz w:val="22"/>
        </w:rPr>
        <w:t>facility</w:t>
      </w:r>
    </w:p>
    <w:p>
      <w:pPr>
        <w:pStyle w:val="ListParagraph"/>
        <w:numPr>
          <w:ilvl w:val="0"/>
          <w:numId w:val="13"/>
        </w:numPr>
        <w:tabs>
          <w:tab w:pos="840" w:val="left" w:leader="none"/>
        </w:tabs>
        <w:spacing w:line="240" w:lineRule="auto" w:before="121" w:after="0"/>
        <w:ind w:left="840" w:right="236" w:hanging="361"/>
        <w:jc w:val="both"/>
        <w:rPr>
          <w:sz w:val="22"/>
        </w:rPr>
      </w:pPr>
      <w:r>
        <w:rPr>
          <w:sz w:val="22"/>
        </w:rPr>
        <w:t>Construct a satellite/decentralized fire and emergency services facility in north Richland (Capital cost estimate: for facility $1.8 to $3 million based on existing or new construction plus $1 million for</w:t>
      </w:r>
      <w:r>
        <w:rPr>
          <w:spacing w:val="-7"/>
          <w:sz w:val="22"/>
        </w:rPr>
        <w:t> </w:t>
      </w:r>
      <w:r>
        <w:rPr>
          <w:sz w:val="22"/>
        </w:rPr>
        <w:t>apparatus).</w:t>
      </w:r>
    </w:p>
    <w:p>
      <w:pPr>
        <w:pStyle w:val="ListParagraph"/>
        <w:numPr>
          <w:ilvl w:val="1"/>
          <w:numId w:val="13"/>
        </w:numPr>
        <w:tabs>
          <w:tab w:pos="1560" w:val="left" w:leader="none"/>
          <w:tab w:pos="1561" w:val="left" w:leader="none"/>
        </w:tabs>
        <w:spacing w:line="240" w:lineRule="auto" w:before="59" w:after="0"/>
        <w:ind w:left="1560" w:right="234" w:hanging="360"/>
        <w:jc w:val="left"/>
        <w:rPr>
          <w:sz w:val="22"/>
        </w:rPr>
      </w:pPr>
      <w:r>
        <w:rPr>
          <w:sz w:val="22"/>
        </w:rPr>
        <w:t>Secure property in appropriate geographic area in North Richland for future facility (Science/tech</w:t>
      </w:r>
      <w:r>
        <w:rPr>
          <w:spacing w:val="-1"/>
          <w:sz w:val="22"/>
        </w:rPr>
        <w:t> </w:t>
      </w:r>
      <w:r>
        <w:rPr>
          <w:sz w:val="22"/>
        </w:rPr>
        <w:t>Park)</w:t>
      </w:r>
    </w:p>
    <w:p>
      <w:pPr>
        <w:pStyle w:val="ListParagraph"/>
        <w:numPr>
          <w:ilvl w:val="1"/>
          <w:numId w:val="13"/>
        </w:numPr>
        <w:tabs>
          <w:tab w:pos="1561" w:val="left" w:leader="none"/>
        </w:tabs>
        <w:spacing w:line="240" w:lineRule="auto" w:before="60" w:after="0"/>
        <w:ind w:left="1560" w:right="0" w:hanging="361"/>
        <w:jc w:val="left"/>
        <w:rPr>
          <w:sz w:val="22"/>
        </w:rPr>
      </w:pPr>
      <w:r>
        <w:rPr>
          <w:sz w:val="22"/>
        </w:rPr>
        <w:t>Construct emergency response</w:t>
      </w:r>
      <w:r>
        <w:rPr>
          <w:spacing w:val="-5"/>
          <w:sz w:val="22"/>
        </w:rPr>
        <w:t> </w:t>
      </w:r>
      <w:r>
        <w:rPr>
          <w:sz w:val="22"/>
        </w:rPr>
        <w:t>facility</w:t>
      </w:r>
    </w:p>
    <w:p>
      <w:pPr>
        <w:pStyle w:val="ListParagraph"/>
        <w:numPr>
          <w:ilvl w:val="1"/>
          <w:numId w:val="13"/>
        </w:numPr>
        <w:tabs>
          <w:tab w:pos="1560" w:val="left" w:leader="none"/>
          <w:tab w:pos="1561" w:val="left" w:leader="none"/>
        </w:tabs>
        <w:spacing w:line="240" w:lineRule="auto" w:before="62" w:after="0"/>
        <w:ind w:left="1560" w:right="0" w:hanging="361"/>
        <w:jc w:val="left"/>
        <w:rPr>
          <w:sz w:val="22"/>
        </w:rPr>
      </w:pPr>
      <w:r>
        <w:rPr>
          <w:sz w:val="22"/>
        </w:rPr>
        <w:t>Include cost of apparatus: Fire Engine and</w:t>
      </w:r>
      <w:r>
        <w:rPr>
          <w:spacing w:val="-11"/>
          <w:sz w:val="22"/>
        </w:rPr>
        <w:t> </w:t>
      </w:r>
      <w:r>
        <w:rPr>
          <w:sz w:val="22"/>
        </w:rPr>
        <w:t>Ambulance</w:t>
      </w:r>
    </w:p>
    <w:p>
      <w:pPr>
        <w:pStyle w:val="ListParagraph"/>
        <w:numPr>
          <w:ilvl w:val="0"/>
          <w:numId w:val="13"/>
        </w:numPr>
        <w:tabs>
          <w:tab w:pos="841" w:val="left" w:leader="none"/>
        </w:tabs>
        <w:spacing w:line="240" w:lineRule="auto" w:before="119" w:after="0"/>
        <w:ind w:left="840" w:right="234" w:hanging="361"/>
        <w:jc w:val="both"/>
        <w:rPr>
          <w:sz w:val="22"/>
        </w:rPr>
      </w:pPr>
      <w:r>
        <w:rPr>
          <w:sz w:val="22"/>
        </w:rPr>
        <w:t>Secure property in appropriate geographic area in northwest Richland for future facility (Horn Rapids Golf Community). City currently owns land in targeted area. Need to confirm zoning and land use change (Capital cost estimate: $5.7</w:t>
      </w:r>
      <w:r>
        <w:rPr>
          <w:spacing w:val="-16"/>
          <w:sz w:val="22"/>
        </w:rPr>
        <w:t> </w:t>
      </w:r>
      <w:r>
        <w:rPr>
          <w:sz w:val="22"/>
        </w:rPr>
        <w:t>million).</w:t>
      </w:r>
    </w:p>
    <w:p>
      <w:pPr>
        <w:pStyle w:val="ListParagraph"/>
        <w:numPr>
          <w:ilvl w:val="0"/>
          <w:numId w:val="13"/>
        </w:numPr>
        <w:tabs>
          <w:tab w:pos="841" w:val="left" w:leader="none"/>
        </w:tabs>
        <w:spacing w:line="240" w:lineRule="auto" w:before="121" w:after="0"/>
        <w:ind w:left="840" w:right="234" w:hanging="360"/>
        <w:jc w:val="both"/>
        <w:rPr>
          <w:sz w:val="22"/>
        </w:rPr>
      </w:pPr>
      <w:r>
        <w:rPr>
          <w:sz w:val="22"/>
        </w:rPr>
        <w:t>Relocation of Central Fire Station #71 located at George Washington Way &amp; Swift Boulevard to an area near the Richland Police Station (Capital cost estimate: $5</w:t>
      </w:r>
      <w:r>
        <w:rPr>
          <w:spacing w:val="-21"/>
          <w:sz w:val="22"/>
        </w:rPr>
        <w:t> </w:t>
      </w:r>
      <w:r>
        <w:rPr>
          <w:sz w:val="22"/>
        </w:rPr>
        <w:t>million).</w:t>
      </w:r>
    </w:p>
    <w:p>
      <w:pPr>
        <w:pStyle w:val="ListParagraph"/>
        <w:numPr>
          <w:ilvl w:val="0"/>
          <w:numId w:val="13"/>
        </w:numPr>
        <w:tabs>
          <w:tab w:pos="841" w:val="left" w:leader="none"/>
        </w:tabs>
        <w:spacing w:line="240" w:lineRule="auto" w:before="118" w:after="0"/>
        <w:ind w:left="840" w:right="0" w:hanging="361"/>
        <w:jc w:val="both"/>
        <w:rPr>
          <w:sz w:val="22"/>
        </w:rPr>
      </w:pPr>
      <w:r>
        <w:rPr>
          <w:sz w:val="22"/>
        </w:rPr>
        <w:t>Construct a decentralized fire and emergency services facility in southeast</w:t>
      </w:r>
      <w:r>
        <w:rPr>
          <w:spacing w:val="-20"/>
          <w:sz w:val="22"/>
        </w:rPr>
        <w:t> </w:t>
      </w:r>
      <w:r>
        <w:rPr>
          <w:sz w:val="22"/>
        </w:rPr>
        <w:t>Richland.</w:t>
      </w:r>
    </w:p>
    <w:p>
      <w:pPr>
        <w:pStyle w:val="ListParagraph"/>
        <w:numPr>
          <w:ilvl w:val="1"/>
          <w:numId w:val="13"/>
        </w:numPr>
        <w:tabs>
          <w:tab w:pos="1561" w:val="left" w:leader="none"/>
        </w:tabs>
        <w:spacing w:line="240" w:lineRule="auto" w:before="61" w:after="0"/>
        <w:ind w:left="1561" w:right="234" w:hanging="360"/>
        <w:jc w:val="both"/>
        <w:rPr>
          <w:sz w:val="22"/>
        </w:rPr>
      </w:pPr>
      <w:r>
        <w:rPr>
          <w:sz w:val="22"/>
        </w:rPr>
        <w:t>Secure property in appropriate geographic area in southeast Richland for future facility (Capital/property cost estimate:</w:t>
      </w:r>
      <w:r>
        <w:rPr>
          <w:spacing w:val="-10"/>
          <w:sz w:val="22"/>
        </w:rPr>
        <w:t> </w:t>
      </w:r>
      <w:r>
        <w:rPr>
          <w:sz w:val="22"/>
        </w:rPr>
        <w:t>$500,000).</w:t>
      </w:r>
    </w:p>
    <w:p>
      <w:pPr>
        <w:pStyle w:val="ListParagraph"/>
        <w:numPr>
          <w:ilvl w:val="0"/>
          <w:numId w:val="13"/>
        </w:numPr>
        <w:tabs>
          <w:tab w:pos="842" w:val="left" w:leader="none"/>
        </w:tabs>
        <w:spacing w:line="240" w:lineRule="auto" w:before="120" w:after="0"/>
        <w:ind w:left="840" w:right="234" w:hanging="360"/>
        <w:jc w:val="both"/>
        <w:rPr>
          <w:sz w:val="22"/>
        </w:rPr>
      </w:pPr>
      <w:r>
        <w:rPr>
          <w:sz w:val="22"/>
        </w:rPr>
        <w:t>Construct a satellite/decentralized fire and emergency services facility in Badger South area of</w:t>
      </w:r>
      <w:r>
        <w:rPr>
          <w:spacing w:val="-2"/>
          <w:sz w:val="22"/>
        </w:rPr>
        <w:t> </w:t>
      </w:r>
      <w:r>
        <w:rPr>
          <w:sz w:val="22"/>
        </w:rPr>
        <w:t>Richland.</w:t>
      </w:r>
    </w:p>
    <w:p>
      <w:pPr>
        <w:pStyle w:val="ListParagraph"/>
        <w:numPr>
          <w:ilvl w:val="1"/>
          <w:numId w:val="13"/>
        </w:numPr>
        <w:tabs>
          <w:tab w:pos="1201" w:val="left" w:leader="none"/>
        </w:tabs>
        <w:spacing w:line="240" w:lineRule="auto" w:before="61" w:after="0"/>
        <w:ind w:left="1200" w:right="236" w:hanging="360"/>
        <w:jc w:val="both"/>
        <w:rPr>
          <w:sz w:val="22"/>
        </w:rPr>
      </w:pPr>
      <w:r>
        <w:rPr>
          <w:sz w:val="22"/>
        </w:rPr>
        <w:t>Secure properties in appropriate geographic areas in South Badger for future facilities (Capital/property cost estimate: $500,000; total cost: 4.5</w:t>
      </w:r>
      <w:r>
        <w:rPr>
          <w:spacing w:val="-15"/>
          <w:sz w:val="22"/>
        </w:rPr>
        <w:t> </w:t>
      </w:r>
      <w:r>
        <w:rPr>
          <w:sz w:val="22"/>
        </w:rPr>
        <w:t>million).</w:t>
      </w:r>
    </w:p>
    <w:p>
      <w:pPr>
        <w:spacing w:after="0" w:line="240" w:lineRule="auto"/>
        <w:jc w:val="both"/>
        <w:rPr>
          <w:sz w:val="22"/>
        </w:rPr>
        <w:sectPr>
          <w:pgSz w:w="12240" w:h="15840"/>
          <w:pgMar w:header="0" w:footer="1052" w:top="1360" w:bottom="1320" w:left="1320" w:right="1200"/>
        </w:sectPr>
      </w:pPr>
    </w:p>
    <w:p>
      <w:pPr>
        <w:spacing w:before="79"/>
        <w:ind w:left="120" w:right="0" w:firstLine="0"/>
        <w:jc w:val="left"/>
        <w:rPr>
          <w:rFonts w:ascii="Arial"/>
          <w:b/>
          <w:sz w:val="20"/>
        </w:rPr>
      </w:pPr>
      <w:bookmarkStart w:name="_bookmark98" w:id="303"/>
      <w:bookmarkEnd w:id="303"/>
      <w:r>
        <w:rPr/>
      </w:r>
      <w:r>
        <w:rPr>
          <w:rFonts w:ascii="Arial"/>
          <w:b/>
          <w:sz w:val="20"/>
        </w:rPr>
        <w:t>Figure CF-3: Emergency Service Zone</w:t>
      </w:r>
    </w:p>
    <w:p>
      <w:pPr>
        <w:spacing w:after="0"/>
        <w:jc w:val="left"/>
        <w:rPr>
          <w:rFonts w:ascii="Arial"/>
          <w:sz w:val="20"/>
        </w:rPr>
        <w:sectPr>
          <w:pgSz w:w="12240" w:h="15840"/>
          <w:pgMar w:header="0" w:footer="1052" w:top="1360" w:bottom="1320" w:left="1320" w:right="1200"/>
        </w:sectPr>
      </w:pPr>
    </w:p>
    <w:p>
      <w:pPr>
        <w:pStyle w:val="Heading7"/>
        <w:jc w:val="both"/>
      </w:pPr>
      <w:bookmarkStart w:name="Section Five" w:id="304"/>
      <w:bookmarkEnd w:id="304"/>
      <w:r>
        <w:rPr/>
      </w:r>
      <w:bookmarkStart w:name="_bookmark99" w:id="305"/>
      <w:bookmarkEnd w:id="305"/>
      <w:r>
        <w:rPr/>
      </w:r>
      <w:r>
        <w:rPr>
          <w:color w:val="4F81BC"/>
        </w:rPr>
        <w:t>SECTION FIVE</w:t>
      </w:r>
    </w:p>
    <w:p>
      <w:pPr>
        <w:pStyle w:val="Heading6"/>
        <w:ind w:left="120"/>
        <w:jc w:val="both"/>
      </w:pPr>
      <w:bookmarkStart w:name="Police Service Facilities" w:id="306"/>
      <w:bookmarkEnd w:id="306"/>
      <w:r>
        <w:rPr>
          <w:b w:val="0"/>
        </w:rPr>
      </w:r>
      <w:bookmarkStart w:name="EXISTING CONDITIONS" w:id="307"/>
      <w:bookmarkEnd w:id="307"/>
      <w:r>
        <w:rPr>
          <w:b w:val="0"/>
        </w:rPr>
      </w:r>
      <w:bookmarkStart w:name="_bookmark100" w:id="308"/>
      <w:bookmarkEnd w:id="308"/>
      <w:r>
        <w:rPr>
          <w:b w:val="0"/>
        </w:rPr>
      </w:r>
      <w:r>
        <w:rPr/>
        <w:t>POLICE SERVICE FACILITIES</w:t>
      </w:r>
    </w:p>
    <w:p>
      <w:pPr>
        <w:spacing w:before="202"/>
        <w:ind w:left="120" w:right="0" w:firstLine="0"/>
        <w:jc w:val="both"/>
        <w:rPr>
          <w:b/>
          <w:sz w:val="24"/>
        </w:rPr>
      </w:pPr>
      <w:r>
        <w:rPr>
          <w:b/>
          <w:sz w:val="24"/>
        </w:rPr>
        <w:t>EXISTING CONDITIONS</w:t>
      </w:r>
    </w:p>
    <w:p>
      <w:pPr>
        <w:pStyle w:val="BodyText"/>
        <w:spacing w:before="120"/>
        <w:ind w:left="119" w:right="235"/>
        <w:jc w:val="both"/>
      </w:pPr>
      <w:r>
        <w:rPr/>
        <w:t>The City of Richland has its own Police Department to provide law enforcement services within the City limits. Law enforcement within the unincorporated UGA is currently provided by the Benton County Sheriff’s office. The Police Department is located at 871 George Washington Way. The Department employed commissioned officers and civilian employees.</w:t>
      </w:r>
    </w:p>
    <w:p>
      <w:pPr>
        <w:pStyle w:val="BodyText"/>
        <w:spacing w:before="120"/>
        <w:ind w:left="120" w:right="234"/>
        <w:jc w:val="both"/>
      </w:pPr>
      <w:r>
        <w:rPr/>
        <w:t>The</w:t>
      </w:r>
      <w:r>
        <w:rPr>
          <w:spacing w:val="-7"/>
        </w:rPr>
        <w:t> </w:t>
      </w:r>
      <w:r>
        <w:rPr/>
        <w:t>Richland</w:t>
      </w:r>
      <w:r>
        <w:rPr>
          <w:spacing w:val="-8"/>
        </w:rPr>
        <w:t> </w:t>
      </w:r>
      <w:r>
        <w:rPr/>
        <w:t>Police</w:t>
      </w:r>
      <w:r>
        <w:rPr>
          <w:spacing w:val="-6"/>
        </w:rPr>
        <w:t> </w:t>
      </w:r>
      <w:r>
        <w:rPr/>
        <w:t>Department</w:t>
      </w:r>
      <w:r>
        <w:rPr>
          <w:spacing w:val="-8"/>
        </w:rPr>
        <w:t> </w:t>
      </w:r>
      <w:r>
        <w:rPr/>
        <w:t>established</w:t>
      </w:r>
      <w:r>
        <w:rPr>
          <w:spacing w:val="-8"/>
        </w:rPr>
        <w:t> </w:t>
      </w:r>
      <w:r>
        <w:rPr/>
        <w:t>a</w:t>
      </w:r>
      <w:r>
        <w:rPr>
          <w:spacing w:val="-7"/>
        </w:rPr>
        <w:t> </w:t>
      </w:r>
      <w:r>
        <w:rPr/>
        <w:t>partnership</w:t>
      </w:r>
      <w:r>
        <w:rPr>
          <w:spacing w:val="-8"/>
        </w:rPr>
        <w:t> </w:t>
      </w:r>
      <w:r>
        <w:rPr/>
        <w:t>with</w:t>
      </w:r>
      <w:r>
        <w:rPr>
          <w:spacing w:val="-6"/>
        </w:rPr>
        <w:t> </w:t>
      </w:r>
      <w:r>
        <w:rPr/>
        <w:t>the</w:t>
      </w:r>
      <w:r>
        <w:rPr>
          <w:spacing w:val="-10"/>
        </w:rPr>
        <w:t> </w:t>
      </w:r>
      <w:r>
        <w:rPr/>
        <w:t>Washington</w:t>
      </w:r>
      <w:r>
        <w:rPr>
          <w:spacing w:val="-9"/>
        </w:rPr>
        <w:t> </w:t>
      </w:r>
      <w:r>
        <w:rPr/>
        <w:t>State</w:t>
      </w:r>
      <w:r>
        <w:rPr>
          <w:spacing w:val="-6"/>
        </w:rPr>
        <w:t> </w:t>
      </w:r>
      <w:r>
        <w:rPr/>
        <w:t>Department</w:t>
      </w:r>
      <w:r>
        <w:rPr>
          <w:spacing w:val="-8"/>
        </w:rPr>
        <w:t> </w:t>
      </w:r>
      <w:r>
        <w:rPr/>
        <w:t>of Corrections (DOC) in 2002 to better monitor criminals who are under active DOC supervision and living in Richland. At present, Richland Police is also leading the Benton County Emergency Management Agency’s</w:t>
      </w:r>
      <w:r>
        <w:rPr>
          <w:spacing w:val="-2"/>
        </w:rPr>
        <w:t> </w:t>
      </w:r>
      <w:r>
        <w:rPr/>
        <w:t>activities.</w:t>
      </w:r>
    </w:p>
    <w:p>
      <w:pPr>
        <w:pStyle w:val="BodyText"/>
        <w:spacing w:before="120"/>
        <w:ind w:left="120" w:right="234" w:hanging="1"/>
        <w:jc w:val="both"/>
      </w:pPr>
      <w:r>
        <w:rPr/>
        <w:t>Crime rates are decreasing in some categories, while increasing in other categories, based on 2015 and 2016 National Incident-Based Reporting System (NIBRS) data for Richland. Robbery, motor vehicle</w:t>
      </w:r>
      <w:r>
        <w:rPr>
          <w:spacing w:val="-7"/>
        </w:rPr>
        <w:t> </w:t>
      </w:r>
      <w:r>
        <w:rPr/>
        <w:t>theft,</w:t>
      </w:r>
      <w:r>
        <w:rPr>
          <w:spacing w:val="-6"/>
        </w:rPr>
        <w:t> </w:t>
      </w:r>
      <w:r>
        <w:rPr/>
        <w:t>and</w:t>
      </w:r>
      <w:r>
        <w:rPr>
          <w:spacing w:val="-7"/>
        </w:rPr>
        <w:t> </w:t>
      </w:r>
      <w:r>
        <w:rPr/>
        <w:t>stolen</w:t>
      </w:r>
      <w:r>
        <w:rPr>
          <w:spacing w:val="-8"/>
        </w:rPr>
        <w:t> </w:t>
      </w:r>
      <w:r>
        <w:rPr/>
        <w:t>property</w:t>
      </w:r>
      <w:r>
        <w:rPr>
          <w:spacing w:val="-7"/>
        </w:rPr>
        <w:t> </w:t>
      </w:r>
      <w:r>
        <w:rPr/>
        <w:t>offences</w:t>
      </w:r>
      <w:r>
        <w:rPr>
          <w:spacing w:val="-6"/>
        </w:rPr>
        <w:t> </w:t>
      </w:r>
      <w:r>
        <w:rPr/>
        <w:t>have</w:t>
      </w:r>
      <w:r>
        <w:rPr>
          <w:spacing w:val="-6"/>
        </w:rPr>
        <w:t> </w:t>
      </w:r>
      <w:r>
        <w:rPr/>
        <w:t>increased</w:t>
      </w:r>
      <w:r>
        <w:rPr>
          <w:spacing w:val="-6"/>
        </w:rPr>
        <w:t> </w:t>
      </w:r>
      <w:r>
        <w:rPr/>
        <w:t>slightly,</w:t>
      </w:r>
      <w:r>
        <w:rPr>
          <w:spacing w:val="-6"/>
        </w:rPr>
        <w:t> </w:t>
      </w:r>
      <w:r>
        <w:rPr/>
        <w:t>but</w:t>
      </w:r>
      <w:r>
        <w:rPr>
          <w:spacing w:val="-6"/>
        </w:rPr>
        <w:t> </w:t>
      </w:r>
      <w:r>
        <w:rPr/>
        <w:t>kidnapping</w:t>
      </w:r>
      <w:r>
        <w:rPr>
          <w:spacing w:val="-5"/>
        </w:rPr>
        <w:t> </w:t>
      </w:r>
      <w:r>
        <w:rPr/>
        <w:t>and</w:t>
      </w:r>
      <w:r>
        <w:rPr>
          <w:spacing w:val="-7"/>
        </w:rPr>
        <w:t> </w:t>
      </w:r>
      <w:r>
        <w:rPr/>
        <w:t>burglary</w:t>
      </w:r>
      <w:r>
        <w:rPr>
          <w:spacing w:val="-8"/>
        </w:rPr>
        <w:t> </w:t>
      </w:r>
      <w:r>
        <w:rPr/>
        <w:t>have decreased.</w:t>
      </w:r>
      <w:r>
        <w:rPr>
          <w:spacing w:val="-7"/>
        </w:rPr>
        <w:t> </w:t>
      </w:r>
      <w:r>
        <w:rPr/>
        <w:t>For</w:t>
      </w:r>
      <w:r>
        <w:rPr>
          <w:spacing w:val="-7"/>
        </w:rPr>
        <w:t> </w:t>
      </w:r>
      <w:r>
        <w:rPr/>
        <w:t>code</w:t>
      </w:r>
      <w:r>
        <w:rPr>
          <w:spacing w:val="-6"/>
        </w:rPr>
        <w:t> </w:t>
      </w:r>
      <w:r>
        <w:rPr/>
        <w:t>enforcement</w:t>
      </w:r>
      <w:r>
        <w:rPr>
          <w:spacing w:val="-7"/>
        </w:rPr>
        <w:t> </w:t>
      </w:r>
      <w:r>
        <w:rPr/>
        <w:t>cases,</w:t>
      </w:r>
      <w:r>
        <w:rPr>
          <w:spacing w:val="-9"/>
        </w:rPr>
        <w:t> </w:t>
      </w:r>
      <w:r>
        <w:rPr/>
        <w:t>calls</w:t>
      </w:r>
      <w:r>
        <w:rPr>
          <w:spacing w:val="-6"/>
        </w:rPr>
        <w:t> </w:t>
      </w:r>
      <w:r>
        <w:rPr/>
        <w:t>for</w:t>
      </w:r>
      <w:r>
        <w:rPr>
          <w:spacing w:val="-9"/>
        </w:rPr>
        <w:t> </w:t>
      </w:r>
      <w:r>
        <w:rPr/>
        <w:t>service,</w:t>
      </w:r>
      <w:r>
        <w:rPr>
          <w:spacing w:val="-9"/>
        </w:rPr>
        <w:t> </w:t>
      </w:r>
      <w:r>
        <w:rPr/>
        <w:t>code</w:t>
      </w:r>
      <w:r>
        <w:rPr>
          <w:spacing w:val="-6"/>
        </w:rPr>
        <w:t> </w:t>
      </w:r>
      <w:r>
        <w:rPr/>
        <w:t>violations,</w:t>
      </w:r>
      <w:r>
        <w:rPr>
          <w:spacing w:val="-6"/>
        </w:rPr>
        <w:t> </w:t>
      </w:r>
      <w:r>
        <w:rPr/>
        <w:t>and</w:t>
      </w:r>
      <w:r>
        <w:rPr>
          <w:spacing w:val="-9"/>
        </w:rPr>
        <w:t> </w:t>
      </w:r>
      <w:r>
        <w:rPr/>
        <w:t>citizen</w:t>
      </w:r>
      <w:r>
        <w:rPr>
          <w:spacing w:val="-10"/>
        </w:rPr>
        <w:t> </w:t>
      </w:r>
      <w:r>
        <w:rPr/>
        <w:t>complaints</w:t>
      </w:r>
      <w:r>
        <w:rPr>
          <w:spacing w:val="-5"/>
        </w:rPr>
        <w:t> </w:t>
      </w:r>
      <w:r>
        <w:rPr/>
        <w:t>have decreased as shown in the Table CR-7</w:t>
      </w:r>
      <w:r>
        <w:rPr>
          <w:spacing w:val="-11"/>
        </w:rPr>
        <w:t> </w:t>
      </w:r>
      <w:r>
        <w:rPr/>
        <w:t>below.</w:t>
      </w:r>
    </w:p>
    <w:p>
      <w:pPr>
        <w:spacing w:before="119" w:after="26"/>
        <w:ind w:left="121" w:right="0" w:firstLine="0"/>
        <w:jc w:val="both"/>
        <w:rPr>
          <w:b/>
          <w:sz w:val="22"/>
        </w:rPr>
      </w:pPr>
      <w:r>
        <w:rPr>
          <w:b/>
          <w:sz w:val="22"/>
        </w:rPr>
        <w:t>Table CF-7: NIBRS Crime Statistics for Richland</w:t>
      </w:r>
    </w:p>
    <w:tbl>
      <w:tblPr>
        <w:tblW w:w="0" w:type="auto"/>
        <w:jc w:val="left"/>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886"/>
        <w:gridCol w:w="1529"/>
        <w:gridCol w:w="1800"/>
      </w:tblGrid>
      <w:tr>
        <w:trPr>
          <w:trHeight w:val="808" w:hRule="atLeast"/>
        </w:trPr>
        <w:tc>
          <w:tcPr>
            <w:tcW w:w="3886" w:type="dxa"/>
            <w:shd w:val="clear" w:color="auto" w:fill="B8CCE3"/>
          </w:tcPr>
          <w:p>
            <w:pPr>
              <w:pStyle w:val="TableParagraph"/>
              <w:spacing w:before="119"/>
              <w:rPr>
                <w:b/>
                <w:sz w:val="22"/>
              </w:rPr>
            </w:pPr>
            <w:r>
              <w:rPr>
                <w:b/>
                <w:sz w:val="22"/>
              </w:rPr>
              <w:t>Crime Categories</w:t>
            </w:r>
          </w:p>
        </w:tc>
        <w:tc>
          <w:tcPr>
            <w:tcW w:w="1529" w:type="dxa"/>
            <w:shd w:val="clear" w:color="auto" w:fill="B8CCE3"/>
          </w:tcPr>
          <w:p>
            <w:pPr>
              <w:pStyle w:val="TableParagraph"/>
              <w:spacing w:line="406" w:lineRule="exact" w:before="3"/>
              <w:ind w:right="101"/>
              <w:rPr>
                <w:b/>
                <w:sz w:val="22"/>
              </w:rPr>
            </w:pPr>
            <w:r>
              <w:rPr>
                <w:b/>
                <w:sz w:val="22"/>
              </w:rPr>
              <w:t>Total Crimes 2015</w:t>
            </w:r>
          </w:p>
        </w:tc>
        <w:tc>
          <w:tcPr>
            <w:tcW w:w="1800" w:type="dxa"/>
            <w:shd w:val="clear" w:color="auto" w:fill="B8CCE3"/>
          </w:tcPr>
          <w:p>
            <w:pPr>
              <w:pStyle w:val="TableParagraph"/>
              <w:spacing w:line="406" w:lineRule="exact" w:before="3"/>
              <w:ind w:right="372"/>
              <w:rPr>
                <w:b/>
                <w:sz w:val="22"/>
              </w:rPr>
            </w:pPr>
            <w:r>
              <w:rPr>
                <w:b/>
                <w:sz w:val="22"/>
              </w:rPr>
              <w:t>Total Crimes 2016</w:t>
            </w:r>
          </w:p>
        </w:tc>
      </w:tr>
      <w:tr>
        <w:trPr>
          <w:trHeight w:val="309" w:hRule="atLeast"/>
        </w:trPr>
        <w:tc>
          <w:tcPr>
            <w:tcW w:w="3886" w:type="dxa"/>
          </w:tcPr>
          <w:p>
            <w:pPr>
              <w:pStyle w:val="TableParagraph"/>
              <w:spacing w:line="237" w:lineRule="exact" w:before="53"/>
              <w:rPr>
                <w:sz w:val="22"/>
              </w:rPr>
            </w:pPr>
            <w:r>
              <w:rPr>
                <w:sz w:val="22"/>
              </w:rPr>
              <w:t>Robbery</w:t>
            </w:r>
          </w:p>
        </w:tc>
        <w:tc>
          <w:tcPr>
            <w:tcW w:w="1529" w:type="dxa"/>
          </w:tcPr>
          <w:p>
            <w:pPr>
              <w:pStyle w:val="TableParagraph"/>
              <w:spacing w:line="237" w:lineRule="exact" w:before="53"/>
              <w:rPr>
                <w:sz w:val="22"/>
              </w:rPr>
            </w:pPr>
            <w:r>
              <w:rPr>
                <w:w w:val="100"/>
                <w:sz w:val="22"/>
              </w:rPr>
              <w:t>6</w:t>
            </w:r>
          </w:p>
        </w:tc>
        <w:tc>
          <w:tcPr>
            <w:tcW w:w="1800" w:type="dxa"/>
          </w:tcPr>
          <w:p>
            <w:pPr>
              <w:pStyle w:val="TableParagraph"/>
              <w:spacing w:line="237" w:lineRule="exact" w:before="53"/>
              <w:rPr>
                <w:sz w:val="22"/>
              </w:rPr>
            </w:pPr>
            <w:r>
              <w:rPr>
                <w:sz w:val="22"/>
              </w:rPr>
              <w:t>11</w:t>
            </w:r>
          </w:p>
        </w:tc>
      </w:tr>
      <w:tr>
        <w:trPr>
          <w:trHeight w:val="318" w:hRule="atLeast"/>
        </w:trPr>
        <w:tc>
          <w:tcPr>
            <w:tcW w:w="3886" w:type="dxa"/>
          </w:tcPr>
          <w:p>
            <w:pPr>
              <w:pStyle w:val="TableParagraph"/>
              <w:spacing w:line="237" w:lineRule="exact" w:before="62"/>
              <w:rPr>
                <w:sz w:val="22"/>
              </w:rPr>
            </w:pPr>
            <w:r>
              <w:rPr>
                <w:sz w:val="22"/>
              </w:rPr>
              <w:t>Aggravated Assault</w:t>
            </w:r>
          </w:p>
        </w:tc>
        <w:tc>
          <w:tcPr>
            <w:tcW w:w="1529" w:type="dxa"/>
          </w:tcPr>
          <w:p>
            <w:pPr>
              <w:pStyle w:val="TableParagraph"/>
              <w:spacing w:line="237" w:lineRule="exact" w:before="62"/>
              <w:rPr>
                <w:sz w:val="22"/>
              </w:rPr>
            </w:pPr>
            <w:r>
              <w:rPr>
                <w:sz w:val="22"/>
              </w:rPr>
              <w:t>53</w:t>
            </w:r>
          </w:p>
        </w:tc>
        <w:tc>
          <w:tcPr>
            <w:tcW w:w="1800" w:type="dxa"/>
          </w:tcPr>
          <w:p>
            <w:pPr>
              <w:pStyle w:val="TableParagraph"/>
              <w:spacing w:line="237" w:lineRule="exact" w:before="62"/>
              <w:rPr>
                <w:sz w:val="22"/>
              </w:rPr>
            </w:pPr>
            <w:r>
              <w:rPr>
                <w:sz w:val="22"/>
              </w:rPr>
              <w:t>69</w:t>
            </w:r>
          </w:p>
        </w:tc>
      </w:tr>
      <w:tr>
        <w:trPr>
          <w:trHeight w:val="318" w:hRule="atLeast"/>
        </w:trPr>
        <w:tc>
          <w:tcPr>
            <w:tcW w:w="3886" w:type="dxa"/>
          </w:tcPr>
          <w:p>
            <w:pPr>
              <w:pStyle w:val="TableParagraph"/>
              <w:spacing w:line="239" w:lineRule="exact"/>
              <w:rPr>
                <w:sz w:val="22"/>
              </w:rPr>
            </w:pPr>
            <w:r>
              <w:rPr>
                <w:sz w:val="22"/>
              </w:rPr>
              <w:t>Simple assault</w:t>
            </w:r>
          </w:p>
        </w:tc>
        <w:tc>
          <w:tcPr>
            <w:tcW w:w="1529" w:type="dxa"/>
          </w:tcPr>
          <w:p>
            <w:pPr>
              <w:pStyle w:val="TableParagraph"/>
              <w:spacing w:line="239" w:lineRule="exact"/>
              <w:rPr>
                <w:sz w:val="22"/>
              </w:rPr>
            </w:pPr>
            <w:r>
              <w:rPr>
                <w:sz w:val="22"/>
              </w:rPr>
              <w:t>337</w:t>
            </w:r>
          </w:p>
        </w:tc>
        <w:tc>
          <w:tcPr>
            <w:tcW w:w="1800" w:type="dxa"/>
          </w:tcPr>
          <w:p>
            <w:pPr>
              <w:pStyle w:val="TableParagraph"/>
              <w:spacing w:line="239" w:lineRule="exact"/>
              <w:rPr>
                <w:sz w:val="22"/>
              </w:rPr>
            </w:pPr>
            <w:r>
              <w:rPr>
                <w:sz w:val="22"/>
              </w:rPr>
              <w:t>313</w:t>
            </w:r>
          </w:p>
        </w:tc>
      </w:tr>
      <w:tr>
        <w:trPr>
          <w:trHeight w:val="316" w:hRule="atLeast"/>
        </w:trPr>
        <w:tc>
          <w:tcPr>
            <w:tcW w:w="3886" w:type="dxa"/>
          </w:tcPr>
          <w:p>
            <w:pPr>
              <w:pStyle w:val="TableParagraph"/>
              <w:spacing w:line="237" w:lineRule="exact"/>
              <w:rPr>
                <w:sz w:val="22"/>
              </w:rPr>
            </w:pPr>
            <w:r>
              <w:rPr>
                <w:sz w:val="22"/>
              </w:rPr>
              <w:t>Kidnapping</w:t>
            </w:r>
          </w:p>
        </w:tc>
        <w:tc>
          <w:tcPr>
            <w:tcW w:w="1529" w:type="dxa"/>
          </w:tcPr>
          <w:p>
            <w:pPr>
              <w:pStyle w:val="TableParagraph"/>
              <w:spacing w:line="237" w:lineRule="exact"/>
              <w:rPr>
                <w:sz w:val="22"/>
              </w:rPr>
            </w:pPr>
            <w:r>
              <w:rPr>
                <w:sz w:val="22"/>
              </w:rPr>
              <w:t>15</w:t>
            </w:r>
          </w:p>
        </w:tc>
        <w:tc>
          <w:tcPr>
            <w:tcW w:w="1800" w:type="dxa"/>
          </w:tcPr>
          <w:p>
            <w:pPr>
              <w:pStyle w:val="TableParagraph"/>
              <w:spacing w:line="237" w:lineRule="exact"/>
              <w:rPr>
                <w:sz w:val="22"/>
              </w:rPr>
            </w:pPr>
            <w:r>
              <w:rPr>
                <w:w w:val="100"/>
                <w:sz w:val="22"/>
              </w:rPr>
              <w:t>5</w:t>
            </w:r>
          </w:p>
        </w:tc>
      </w:tr>
      <w:tr>
        <w:trPr>
          <w:trHeight w:val="318" w:hRule="atLeast"/>
        </w:trPr>
        <w:tc>
          <w:tcPr>
            <w:tcW w:w="3886" w:type="dxa"/>
          </w:tcPr>
          <w:p>
            <w:pPr>
              <w:pStyle w:val="TableParagraph"/>
              <w:spacing w:line="237" w:lineRule="exact" w:before="62"/>
              <w:rPr>
                <w:sz w:val="22"/>
              </w:rPr>
            </w:pPr>
            <w:r>
              <w:rPr>
                <w:sz w:val="22"/>
              </w:rPr>
              <w:t>Burglary</w:t>
            </w:r>
          </w:p>
        </w:tc>
        <w:tc>
          <w:tcPr>
            <w:tcW w:w="1529" w:type="dxa"/>
          </w:tcPr>
          <w:p>
            <w:pPr>
              <w:pStyle w:val="TableParagraph"/>
              <w:spacing w:line="237" w:lineRule="exact" w:before="62"/>
              <w:rPr>
                <w:sz w:val="22"/>
              </w:rPr>
            </w:pPr>
            <w:r>
              <w:rPr>
                <w:sz w:val="22"/>
              </w:rPr>
              <w:t>217</w:t>
            </w:r>
          </w:p>
        </w:tc>
        <w:tc>
          <w:tcPr>
            <w:tcW w:w="1800" w:type="dxa"/>
          </w:tcPr>
          <w:p>
            <w:pPr>
              <w:pStyle w:val="TableParagraph"/>
              <w:spacing w:line="237" w:lineRule="exact" w:before="62"/>
              <w:rPr>
                <w:sz w:val="22"/>
              </w:rPr>
            </w:pPr>
            <w:r>
              <w:rPr>
                <w:sz w:val="22"/>
              </w:rPr>
              <w:t>178</w:t>
            </w:r>
          </w:p>
        </w:tc>
      </w:tr>
      <w:tr>
        <w:trPr>
          <w:trHeight w:val="318" w:hRule="atLeast"/>
        </w:trPr>
        <w:tc>
          <w:tcPr>
            <w:tcW w:w="3886" w:type="dxa"/>
          </w:tcPr>
          <w:p>
            <w:pPr>
              <w:pStyle w:val="TableParagraph"/>
              <w:spacing w:line="239" w:lineRule="exact"/>
              <w:rPr>
                <w:sz w:val="22"/>
              </w:rPr>
            </w:pPr>
            <w:r>
              <w:rPr>
                <w:sz w:val="22"/>
              </w:rPr>
              <w:t>Arson</w:t>
            </w:r>
          </w:p>
        </w:tc>
        <w:tc>
          <w:tcPr>
            <w:tcW w:w="1529" w:type="dxa"/>
          </w:tcPr>
          <w:p>
            <w:pPr>
              <w:pStyle w:val="TableParagraph"/>
              <w:spacing w:line="239" w:lineRule="exact"/>
              <w:rPr>
                <w:sz w:val="22"/>
              </w:rPr>
            </w:pPr>
            <w:r>
              <w:rPr>
                <w:w w:val="100"/>
                <w:sz w:val="22"/>
              </w:rPr>
              <w:t>6</w:t>
            </w:r>
          </w:p>
        </w:tc>
        <w:tc>
          <w:tcPr>
            <w:tcW w:w="1800" w:type="dxa"/>
          </w:tcPr>
          <w:p>
            <w:pPr>
              <w:pStyle w:val="TableParagraph"/>
              <w:spacing w:line="239" w:lineRule="exact"/>
              <w:rPr>
                <w:sz w:val="22"/>
              </w:rPr>
            </w:pPr>
            <w:r>
              <w:rPr>
                <w:w w:val="100"/>
                <w:sz w:val="22"/>
              </w:rPr>
              <w:t>6</w:t>
            </w:r>
          </w:p>
        </w:tc>
      </w:tr>
      <w:tr>
        <w:trPr>
          <w:trHeight w:val="316" w:hRule="atLeast"/>
        </w:trPr>
        <w:tc>
          <w:tcPr>
            <w:tcW w:w="3886" w:type="dxa"/>
          </w:tcPr>
          <w:p>
            <w:pPr>
              <w:pStyle w:val="TableParagraph"/>
              <w:spacing w:line="237" w:lineRule="exact"/>
              <w:rPr>
                <w:sz w:val="22"/>
              </w:rPr>
            </w:pPr>
            <w:r>
              <w:rPr>
                <w:sz w:val="22"/>
              </w:rPr>
              <w:t>Larceny</w:t>
            </w:r>
          </w:p>
        </w:tc>
        <w:tc>
          <w:tcPr>
            <w:tcW w:w="1529" w:type="dxa"/>
          </w:tcPr>
          <w:p>
            <w:pPr>
              <w:pStyle w:val="TableParagraph"/>
              <w:spacing w:line="237" w:lineRule="exact"/>
              <w:rPr>
                <w:sz w:val="22"/>
              </w:rPr>
            </w:pPr>
            <w:r>
              <w:rPr>
                <w:sz w:val="22"/>
              </w:rPr>
              <w:t>1111</w:t>
            </w:r>
          </w:p>
        </w:tc>
        <w:tc>
          <w:tcPr>
            <w:tcW w:w="1800" w:type="dxa"/>
          </w:tcPr>
          <w:p>
            <w:pPr>
              <w:pStyle w:val="TableParagraph"/>
              <w:spacing w:line="237" w:lineRule="exact"/>
              <w:rPr>
                <w:sz w:val="22"/>
              </w:rPr>
            </w:pPr>
            <w:r>
              <w:rPr>
                <w:sz w:val="22"/>
              </w:rPr>
              <w:t>1100</w:t>
            </w:r>
          </w:p>
        </w:tc>
      </w:tr>
      <w:tr>
        <w:trPr>
          <w:trHeight w:val="318" w:hRule="atLeast"/>
        </w:trPr>
        <w:tc>
          <w:tcPr>
            <w:tcW w:w="3886" w:type="dxa"/>
          </w:tcPr>
          <w:p>
            <w:pPr>
              <w:pStyle w:val="TableParagraph"/>
              <w:spacing w:line="239" w:lineRule="exact"/>
              <w:rPr>
                <w:sz w:val="22"/>
              </w:rPr>
            </w:pPr>
            <w:r>
              <w:rPr>
                <w:sz w:val="22"/>
              </w:rPr>
              <w:t>Motor vehicle theft</w:t>
            </w:r>
          </w:p>
        </w:tc>
        <w:tc>
          <w:tcPr>
            <w:tcW w:w="1529" w:type="dxa"/>
          </w:tcPr>
          <w:p>
            <w:pPr>
              <w:pStyle w:val="TableParagraph"/>
              <w:spacing w:line="239" w:lineRule="exact"/>
              <w:rPr>
                <w:sz w:val="22"/>
              </w:rPr>
            </w:pPr>
            <w:r>
              <w:rPr>
                <w:sz w:val="22"/>
              </w:rPr>
              <w:t>48</w:t>
            </w:r>
          </w:p>
        </w:tc>
        <w:tc>
          <w:tcPr>
            <w:tcW w:w="1800" w:type="dxa"/>
          </w:tcPr>
          <w:p>
            <w:pPr>
              <w:pStyle w:val="TableParagraph"/>
              <w:spacing w:line="239" w:lineRule="exact"/>
              <w:rPr>
                <w:sz w:val="22"/>
              </w:rPr>
            </w:pPr>
            <w:r>
              <w:rPr>
                <w:sz w:val="22"/>
              </w:rPr>
              <w:t>80</w:t>
            </w:r>
          </w:p>
        </w:tc>
      </w:tr>
      <w:tr>
        <w:trPr>
          <w:trHeight w:val="318" w:hRule="atLeast"/>
        </w:trPr>
        <w:tc>
          <w:tcPr>
            <w:tcW w:w="3886" w:type="dxa"/>
          </w:tcPr>
          <w:p>
            <w:pPr>
              <w:pStyle w:val="TableParagraph"/>
              <w:spacing w:line="239" w:lineRule="exact"/>
              <w:rPr>
                <w:sz w:val="22"/>
              </w:rPr>
            </w:pPr>
            <w:r>
              <w:rPr>
                <w:sz w:val="22"/>
              </w:rPr>
              <w:t>Fraud</w:t>
            </w:r>
          </w:p>
        </w:tc>
        <w:tc>
          <w:tcPr>
            <w:tcW w:w="1529" w:type="dxa"/>
          </w:tcPr>
          <w:p>
            <w:pPr>
              <w:pStyle w:val="TableParagraph"/>
              <w:spacing w:line="239" w:lineRule="exact"/>
              <w:rPr>
                <w:sz w:val="22"/>
              </w:rPr>
            </w:pPr>
            <w:r>
              <w:rPr>
                <w:sz w:val="22"/>
              </w:rPr>
              <w:t>190</w:t>
            </w:r>
          </w:p>
        </w:tc>
        <w:tc>
          <w:tcPr>
            <w:tcW w:w="1800" w:type="dxa"/>
          </w:tcPr>
          <w:p>
            <w:pPr>
              <w:pStyle w:val="TableParagraph"/>
              <w:spacing w:line="239" w:lineRule="exact"/>
              <w:rPr>
                <w:sz w:val="22"/>
              </w:rPr>
            </w:pPr>
            <w:r>
              <w:rPr>
                <w:sz w:val="22"/>
              </w:rPr>
              <w:t>179</w:t>
            </w:r>
          </w:p>
        </w:tc>
      </w:tr>
      <w:tr>
        <w:trPr>
          <w:trHeight w:val="316" w:hRule="atLeast"/>
        </w:trPr>
        <w:tc>
          <w:tcPr>
            <w:tcW w:w="3886" w:type="dxa"/>
          </w:tcPr>
          <w:p>
            <w:pPr>
              <w:pStyle w:val="TableParagraph"/>
              <w:spacing w:line="237" w:lineRule="exact"/>
              <w:rPr>
                <w:sz w:val="22"/>
              </w:rPr>
            </w:pPr>
            <w:r>
              <w:rPr>
                <w:sz w:val="22"/>
              </w:rPr>
              <w:t>Stolen property offences</w:t>
            </w:r>
          </w:p>
        </w:tc>
        <w:tc>
          <w:tcPr>
            <w:tcW w:w="1529" w:type="dxa"/>
          </w:tcPr>
          <w:p>
            <w:pPr>
              <w:pStyle w:val="TableParagraph"/>
              <w:spacing w:line="237" w:lineRule="exact"/>
              <w:rPr>
                <w:sz w:val="22"/>
              </w:rPr>
            </w:pPr>
            <w:r>
              <w:rPr>
                <w:sz w:val="22"/>
              </w:rPr>
              <w:t>29</w:t>
            </w:r>
          </w:p>
        </w:tc>
        <w:tc>
          <w:tcPr>
            <w:tcW w:w="1800" w:type="dxa"/>
          </w:tcPr>
          <w:p>
            <w:pPr>
              <w:pStyle w:val="TableParagraph"/>
              <w:spacing w:line="237" w:lineRule="exact"/>
              <w:rPr>
                <w:sz w:val="22"/>
              </w:rPr>
            </w:pPr>
            <w:r>
              <w:rPr>
                <w:sz w:val="22"/>
              </w:rPr>
              <w:t>42</w:t>
            </w:r>
          </w:p>
        </w:tc>
      </w:tr>
      <w:tr>
        <w:trPr>
          <w:trHeight w:val="318" w:hRule="atLeast"/>
        </w:trPr>
        <w:tc>
          <w:tcPr>
            <w:tcW w:w="3886" w:type="dxa"/>
          </w:tcPr>
          <w:p>
            <w:pPr>
              <w:pStyle w:val="TableParagraph"/>
              <w:spacing w:line="239" w:lineRule="exact"/>
              <w:rPr>
                <w:sz w:val="22"/>
              </w:rPr>
            </w:pPr>
            <w:r>
              <w:rPr>
                <w:sz w:val="22"/>
              </w:rPr>
              <w:t>Destruction/ vandalism</w:t>
            </w:r>
          </w:p>
        </w:tc>
        <w:tc>
          <w:tcPr>
            <w:tcW w:w="1529" w:type="dxa"/>
          </w:tcPr>
          <w:p>
            <w:pPr>
              <w:pStyle w:val="TableParagraph"/>
              <w:spacing w:line="239" w:lineRule="exact"/>
              <w:rPr>
                <w:sz w:val="22"/>
              </w:rPr>
            </w:pPr>
            <w:r>
              <w:rPr>
                <w:sz w:val="22"/>
              </w:rPr>
              <w:t>461</w:t>
            </w:r>
          </w:p>
        </w:tc>
        <w:tc>
          <w:tcPr>
            <w:tcW w:w="1800" w:type="dxa"/>
          </w:tcPr>
          <w:p>
            <w:pPr>
              <w:pStyle w:val="TableParagraph"/>
              <w:spacing w:line="239" w:lineRule="exact"/>
              <w:rPr>
                <w:sz w:val="22"/>
              </w:rPr>
            </w:pPr>
            <w:r>
              <w:rPr>
                <w:sz w:val="22"/>
              </w:rPr>
              <w:t>444</w:t>
            </w:r>
          </w:p>
        </w:tc>
      </w:tr>
      <w:tr>
        <w:trPr>
          <w:trHeight w:val="318" w:hRule="atLeast"/>
        </w:trPr>
        <w:tc>
          <w:tcPr>
            <w:tcW w:w="3886" w:type="dxa"/>
          </w:tcPr>
          <w:p>
            <w:pPr>
              <w:pStyle w:val="TableParagraph"/>
              <w:spacing w:line="239" w:lineRule="exact"/>
              <w:rPr>
                <w:sz w:val="22"/>
              </w:rPr>
            </w:pPr>
            <w:r>
              <w:rPr>
                <w:sz w:val="22"/>
              </w:rPr>
              <w:t>Drug/ Narcotic offences</w:t>
            </w:r>
          </w:p>
        </w:tc>
        <w:tc>
          <w:tcPr>
            <w:tcW w:w="1529" w:type="dxa"/>
          </w:tcPr>
          <w:p>
            <w:pPr>
              <w:pStyle w:val="TableParagraph"/>
              <w:spacing w:line="239" w:lineRule="exact"/>
              <w:rPr>
                <w:sz w:val="22"/>
              </w:rPr>
            </w:pPr>
            <w:r>
              <w:rPr>
                <w:sz w:val="22"/>
              </w:rPr>
              <w:t>175</w:t>
            </w:r>
          </w:p>
        </w:tc>
        <w:tc>
          <w:tcPr>
            <w:tcW w:w="1800" w:type="dxa"/>
          </w:tcPr>
          <w:p>
            <w:pPr>
              <w:pStyle w:val="TableParagraph"/>
              <w:spacing w:line="239" w:lineRule="exact"/>
              <w:rPr>
                <w:sz w:val="22"/>
              </w:rPr>
            </w:pPr>
            <w:r>
              <w:rPr>
                <w:sz w:val="22"/>
              </w:rPr>
              <w:t>201</w:t>
            </w:r>
          </w:p>
        </w:tc>
      </w:tr>
    </w:tbl>
    <w:p>
      <w:pPr>
        <w:spacing w:after="0" w:line="239" w:lineRule="exact"/>
        <w:rPr>
          <w:sz w:val="22"/>
        </w:rPr>
        <w:sectPr>
          <w:pgSz w:w="12240" w:h="15840"/>
          <w:pgMar w:header="0" w:footer="1052" w:top="1420" w:bottom="1320" w:left="1320" w:right="1200"/>
        </w:sectPr>
      </w:pPr>
    </w:p>
    <w:p>
      <w:pPr>
        <w:spacing w:before="79"/>
        <w:ind w:left="120" w:right="0" w:firstLine="0"/>
        <w:jc w:val="both"/>
        <w:rPr>
          <w:rFonts w:ascii="Arial"/>
          <w:b/>
          <w:sz w:val="20"/>
        </w:rPr>
      </w:pPr>
      <w:r>
        <w:rPr/>
        <w:pict>
          <v:group style="position:absolute;margin-left:71.625pt;margin-top:21.093897pt;width:321.75pt;height:198.75pt;mso-position-horizontal-relative:page;mso-position-vertical-relative:paragraph;z-index:-250936320;mso-wrap-distance-left:0;mso-wrap-distance-right:0" coordorigin="1433,422" coordsize="6435,3975">
            <v:line style="position:absolute" from="6403,3379" to="6727,3379" stroked="true" strokeweight=".75pt" strokecolor="#858585">
              <v:stroke dashstyle="solid"/>
            </v:line>
            <v:line style="position:absolute" from="4901,3379" to="5544,3379" stroked="true" strokeweight=".75pt" strokecolor="#858585">
              <v:stroke dashstyle="solid"/>
            </v:line>
            <v:line style="position:absolute" from="3396,3379" to="4039,3379" stroked="true" strokeweight=".75pt" strokecolor="#858585">
              <v:stroke dashstyle="solid"/>
            </v:line>
            <v:line style="position:absolute" from="2214,3379" to="2537,3379" stroked="true" strokeweight=".75pt" strokecolor="#858585">
              <v:stroke dashstyle="solid"/>
            </v:line>
            <v:line style="position:absolute" from="2214,3077" to="2537,3077" stroked="true" strokeweight=".75pt" strokecolor="#858585">
              <v:stroke dashstyle="solid"/>
            </v:line>
            <v:line style="position:absolute" from="2214,2772" to="2537,2772" stroked="true" strokeweight=".75pt" strokecolor="#858585">
              <v:stroke dashstyle="solid"/>
            </v:line>
            <v:line style="position:absolute" from="2214,2470" to="2537,2470" stroked="true" strokeweight=".75pt" strokecolor="#858585">
              <v:stroke dashstyle="solid"/>
            </v:line>
            <v:line style="position:absolute" from="2214,2167" to="2537,2167" stroked="true" strokeweight=".75pt" strokecolor="#858585">
              <v:stroke dashstyle="solid"/>
            </v:line>
            <v:line style="position:absolute" from="2214,1863" to="2537,1863" stroked="true" strokeweight=".75pt" strokecolor="#858585">
              <v:stroke dashstyle="solid"/>
            </v:line>
            <v:line style="position:absolute" from="2214,1560" to="2537,1560" stroked="true" strokeweight=".75pt" strokecolor="#858585">
              <v:stroke dashstyle="solid"/>
            </v:line>
            <v:line style="position:absolute" from="2966,1255" to="6727,1255" stroked="true" strokeweight=".75pt" strokecolor="#858585">
              <v:stroke dashstyle="solid"/>
            </v:line>
            <v:line style="position:absolute" from="2214,1255" to="2537,1255" stroked="true" strokeweight=".75pt" strokecolor="#858585">
              <v:stroke dashstyle="solid"/>
            </v:line>
            <v:rect style="position:absolute;left:2536;top:1046;width:430;height:2637" filled="true" fillcolor="#4571a7" stroked="false">
              <v:fill type="solid"/>
            </v:rect>
            <v:line style="position:absolute" from="3396,3077" to="4039,3077" stroked="true" strokeweight=".75pt" strokecolor="#858585">
              <v:stroke dashstyle="solid"/>
            </v:line>
            <v:line style="position:absolute" from="3396,2772" to="4039,2772" stroked="true" strokeweight=".75pt" strokecolor="#858585">
              <v:stroke dashstyle="solid"/>
            </v:line>
            <v:line style="position:absolute" from="3396,2470" to="4039,2470" stroked="true" strokeweight=".75pt" strokecolor="#858585">
              <v:stroke dashstyle="solid"/>
            </v:line>
            <v:line style="position:absolute" from="3396,2167" to="4039,2167" stroked="true" strokeweight=".75pt" strokecolor="#858585">
              <v:stroke dashstyle="solid"/>
            </v:line>
            <v:line style="position:absolute" from="3396,1863" to="4039,1863" stroked="true" strokeweight=".75pt" strokecolor="#858585">
              <v:stroke dashstyle="solid"/>
            </v:line>
            <v:line style="position:absolute" from="3396,1560" to="4039,1560" stroked="true" strokeweight=".75pt" strokecolor="#858585">
              <v:stroke dashstyle="solid"/>
            </v:line>
            <v:rect style="position:absolute;left:4039;top:1322;width:432;height:2361" filled="true" fillcolor="#4571a7" stroked="false">
              <v:fill type="solid"/>
            </v:rect>
            <v:line style="position:absolute" from="4901,3077" to="5544,3077" stroked="true" strokeweight=".75pt" strokecolor="#858585">
              <v:stroke dashstyle="solid"/>
            </v:line>
            <v:line style="position:absolute" from="4901,2772" to="5544,2772" stroked="true" strokeweight=".75pt" strokecolor="#858585">
              <v:stroke dashstyle="solid"/>
            </v:line>
            <v:line style="position:absolute" from="5974,2470" to="6727,2470" stroked="true" strokeweight=".75pt" strokecolor="#858585">
              <v:stroke dashstyle="solid"/>
            </v:line>
            <v:line style="position:absolute" from="4901,2470" to="5544,2470" stroked="true" strokeweight=".75pt" strokecolor="#858585">
              <v:stroke dashstyle="solid"/>
            </v:line>
            <v:rect style="position:absolute;left:5544;top:2282;width:430;height:1401" filled="true" fillcolor="#4571a7" stroked="false">
              <v:fill type="solid"/>
            </v:rect>
            <v:rect style="position:absolute;left:2966;top:1341;width:430;height:2342" filled="true" fillcolor="#92a9cf" stroked="false">
              <v:fill type="solid"/>
            </v:rect>
            <v:line style="position:absolute" from="4901,2167" to="6727,2167" stroked="true" strokeweight=".75pt" strokecolor="#858585">
              <v:stroke dashstyle="solid"/>
            </v:line>
            <v:line style="position:absolute" from="4901,1863" to="6727,1863" stroked="true" strokeweight=".75pt" strokecolor="#858585">
              <v:stroke dashstyle="solid"/>
            </v:line>
            <v:line style="position:absolute" from="4901,1560" to="6727,1560" stroked="true" strokeweight=".75pt" strokecolor="#858585">
              <v:stroke dashstyle="solid"/>
            </v:line>
            <v:rect style="position:absolute;left:4471;top:1490;width:430;height:2193" filled="true" fillcolor="#92a9cf" stroked="false">
              <v:fill type="solid"/>
            </v:rect>
            <v:line style="position:absolute" from="6403,3077" to="6727,3077" stroked="true" strokeweight=".75pt" strokecolor="#858585">
              <v:stroke dashstyle="solid"/>
            </v:line>
            <v:line style="position:absolute" from="6403,2772" to="6727,2772" stroked="true" strokeweight=".75pt" strokecolor="#858585">
              <v:stroke dashstyle="solid"/>
            </v:line>
            <v:rect style="position:absolute;left:5973;top:2525;width:430;height:1159" filled="true" fillcolor="#92a9cf" stroked="false">
              <v:fill type="solid"/>
            </v:rect>
            <v:line style="position:absolute" from="2214,953" to="6727,953" stroked="true" strokeweight=".75pt" strokecolor="#858585">
              <v:stroke dashstyle="solid"/>
            </v:line>
            <v:line style="position:absolute" from="2214,649" to="6727,649" stroked="true" strokeweight=".75pt" strokecolor="#858585">
              <v:stroke dashstyle="solid"/>
            </v:line>
            <v:line style="position:absolute" from="2214,3684" to="2214,649" stroked="true" strokeweight=".75pt" strokecolor="#858585">
              <v:stroke dashstyle="solid"/>
            </v:line>
            <v:line style="position:absolute" from="2153,3684" to="2214,3684" stroked="true" strokeweight=".75pt" strokecolor="#858585">
              <v:stroke dashstyle="solid"/>
            </v:line>
            <v:line style="position:absolute" from="2153,3379" to="2214,3379" stroked="true" strokeweight=".75pt" strokecolor="#858585">
              <v:stroke dashstyle="solid"/>
            </v:line>
            <v:line style="position:absolute" from="2153,3077" to="2214,3077" stroked="true" strokeweight=".75pt" strokecolor="#858585">
              <v:stroke dashstyle="solid"/>
            </v:line>
            <v:line style="position:absolute" from="2153,2772" to="2214,2772" stroked="true" strokeweight=".75pt" strokecolor="#858585">
              <v:stroke dashstyle="solid"/>
            </v:line>
            <v:line style="position:absolute" from="2153,2470" to="2214,2470" stroked="true" strokeweight=".75pt" strokecolor="#858585">
              <v:stroke dashstyle="solid"/>
            </v:line>
            <v:line style="position:absolute" from="2153,2167" to="2214,2167" stroked="true" strokeweight=".75pt" strokecolor="#858585">
              <v:stroke dashstyle="solid"/>
            </v:line>
            <v:line style="position:absolute" from="2153,1863" to="2214,1863" stroked="true" strokeweight=".75pt" strokecolor="#858585">
              <v:stroke dashstyle="solid"/>
            </v:line>
            <v:line style="position:absolute" from="2153,1560" to="2214,1560" stroked="true" strokeweight=".75pt" strokecolor="#858585">
              <v:stroke dashstyle="solid"/>
            </v:line>
            <v:line style="position:absolute" from="2153,1255" to="2214,1255" stroked="true" strokeweight=".75pt" strokecolor="#858585">
              <v:stroke dashstyle="solid"/>
            </v:line>
            <v:line style="position:absolute" from="2153,953" to="2214,953" stroked="true" strokeweight=".75pt" strokecolor="#858585">
              <v:stroke dashstyle="solid"/>
            </v:line>
            <v:line style="position:absolute" from="2153,649" to="2214,649" stroked="true" strokeweight=".75pt" strokecolor="#858585">
              <v:stroke dashstyle="solid"/>
            </v:line>
            <v:line style="position:absolute" from="2214,3684" to="6727,3684" stroked="true" strokeweight=".75pt" strokecolor="#858585">
              <v:stroke dashstyle="solid"/>
            </v:line>
            <v:line style="position:absolute" from="2214,3684" to="2214,3745" stroked="true" strokeweight=".75pt" strokecolor="#858585">
              <v:stroke dashstyle="solid"/>
            </v:line>
            <v:line style="position:absolute" from="3718,3684" to="3718,3745" stroked="true" strokeweight=".75pt" strokecolor="#858585">
              <v:stroke dashstyle="solid"/>
            </v:line>
            <v:line style="position:absolute" from="5222,3684" to="5222,3745" stroked="true" strokeweight=".75pt" strokecolor="#858585">
              <v:stroke dashstyle="solid"/>
            </v:line>
            <v:line style="position:absolute" from="6727,3684" to="6727,3745" stroked="true" strokeweight=".75pt" strokecolor="#858585">
              <v:stroke dashstyle="solid"/>
            </v:line>
            <v:rect style="position:absolute;left:7042;top:2186;width:103;height:103" filled="true" fillcolor="#4571a7" stroked="false">
              <v:fill type="solid"/>
            </v:rect>
            <v:rect style="position:absolute;left:7042;top:2530;width:103;height:103" filled="true" fillcolor="#92a9cf" stroked="false">
              <v:fill type="solid"/>
            </v:rect>
            <v:rect style="position:absolute;left:1440;top:429;width:6420;height:3960" filled="false" stroked="true" strokeweight=".75pt" strokecolor="#858585">
              <v:stroke dashstyle="solid"/>
            </v:rect>
            <v:shape style="position:absolute;left:1569;top:529;width:491;height:3260" type="#_x0000_t202" filled="false" stroked="false">
              <v:textbox inset="0,0,0,0">
                <w:txbxContent>
                  <w:p>
                    <w:pPr>
                      <w:spacing w:line="226" w:lineRule="exact" w:before="0"/>
                      <w:ind w:left="0" w:right="18" w:firstLine="0"/>
                      <w:jc w:val="right"/>
                      <w:rPr>
                        <w:rFonts w:ascii="Franklin Gothic Book"/>
                        <w:sz w:val="20"/>
                      </w:rPr>
                    </w:pPr>
                    <w:r>
                      <w:rPr>
                        <w:rFonts w:ascii="Franklin Gothic Book"/>
                        <w:spacing w:val="-1"/>
                        <w:sz w:val="20"/>
                      </w:rPr>
                      <w:t>2000</w:t>
                    </w:r>
                  </w:p>
                  <w:p>
                    <w:pPr>
                      <w:spacing w:before="76"/>
                      <w:ind w:left="0" w:right="18" w:firstLine="0"/>
                      <w:jc w:val="right"/>
                      <w:rPr>
                        <w:rFonts w:ascii="Franklin Gothic Book"/>
                        <w:sz w:val="20"/>
                      </w:rPr>
                    </w:pPr>
                    <w:r>
                      <w:rPr>
                        <w:rFonts w:ascii="Franklin Gothic Book"/>
                        <w:spacing w:val="-1"/>
                        <w:sz w:val="20"/>
                      </w:rPr>
                      <w:t>1800</w:t>
                    </w:r>
                  </w:p>
                  <w:p>
                    <w:pPr>
                      <w:spacing w:before="77"/>
                      <w:ind w:left="0" w:right="18" w:firstLine="0"/>
                      <w:jc w:val="right"/>
                      <w:rPr>
                        <w:rFonts w:ascii="Franklin Gothic Book"/>
                        <w:sz w:val="20"/>
                      </w:rPr>
                    </w:pPr>
                    <w:r>
                      <w:rPr>
                        <w:rFonts w:ascii="Franklin Gothic Book"/>
                        <w:spacing w:val="-1"/>
                        <w:sz w:val="20"/>
                      </w:rPr>
                      <w:t>1600</w:t>
                    </w:r>
                  </w:p>
                  <w:p>
                    <w:pPr>
                      <w:spacing w:before="77"/>
                      <w:ind w:left="0" w:right="18" w:firstLine="0"/>
                      <w:jc w:val="right"/>
                      <w:rPr>
                        <w:rFonts w:ascii="Franklin Gothic Book"/>
                        <w:sz w:val="20"/>
                      </w:rPr>
                    </w:pPr>
                    <w:r>
                      <w:rPr>
                        <w:rFonts w:ascii="Franklin Gothic Book"/>
                        <w:spacing w:val="-1"/>
                        <w:sz w:val="20"/>
                      </w:rPr>
                      <w:t>1400</w:t>
                    </w:r>
                  </w:p>
                  <w:p>
                    <w:pPr>
                      <w:spacing w:before="76"/>
                      <w:ind w:left="0" w:right="18" w:firstLine="0"/>
                      <w:jc w:val="right"/>
                      <w:rPr>
                        <w:rFonts w:ascii="Franklin Gothic Book"/>
                        <w:sz w:val="20"/>
                      </w:rPr>
                    </w:pPr>
                    <w:r>
                      <w:rPr>
                        <w:rFonts w:ascii="Franklin Gothic Book"/>
                        <w:spacing w:val="-1"/>
                        <w:sz w:val="20"/>
                      </w:rPr>
                      <w:t>1200</w:t>
                    </w:r>
                  </w:p>
                  <w:p>
                    <w:pPr>
                      <w:spacing w:before="77"/>
                      <w:ind w:left="0" w:right="18" w:firstLine="0"/>
                      <w:jc w:val="right"/>
                      <w:rPr>
                        <w:rFonts w:ascii="Franklin Gothic Book"/>
                        <w:sz w:val="20"/>
                      </w:rPr>
                    </w:pPr>
                    <w:r>
                      <w:rPr>
                        <w:rFonts w:ascii="Franklin Gothic Book"/>
                        <w:spacing w:val="-1"/>
                        <w:sz w:val="20"/>
                      </w:rPr>
                      <w:t>1000</w:t>
                    </w:r>
                  </w:p>
                  <w:p>
                    <w:pPr>
                      <w:spacing w:before="76"/>
                      <w:ind w:left="0" w:right="18" w:firstLine="0"/>
                      <w:jc w:val="right"/>
                      <w:rPr>
                        <w:rFonts w:ascii="Franklin Gothic Book"/>
                        <w:sz w:val="20"/>
                      </w:rPr>
                    </w:pPr>
                    <w:r>
                      <w:rPr>
                        <w:rFonts w:ascii="Franklin Gothic Book"/>
                        <w:spacing w:val="-1"/>
                        <w:sz w:val="20"/>
                      </w:rPr>
                      <w:t>800</w:t>
                    </w:r>
                  </w:p>
                  <w:p>
                    <w:pPr>
                      <w:spacing w:before="77"/>
                      <w:ind w:left="0" w:right="18" w:firstLine="0"/>
                      <w:jc w:val="right"/>
                      <w:rPr>
                        <w:rFonts w:ascii="Franklin Gothic Book"/>
                        <w:sz w:val="20"/>
                      </w:rPr>
                    </w:pPr>
                    <w:r>
                      <w:rPr>
                        <w:rFonts w:ascii="Franklin Gothic Book"/>
                        <w:spacing w:val="-1"/>
                        <w:sz w:val="20"/>
                      </w:rPr>
                      <w:t>600</w:t>
                    </w:r>
                  </w:p>
                  <w:p>
                    <w:pPr>
                      <w:spacing w:before="77"/>
                      <w:ind w:left="0" w:right="18" w:firstLine="0"/>
                      <w:jc w:val="right"/>
                      <w:rPr>
                        <w:rFonts w:ascii="Franklin Gothic Book"/>
                        <w:sz w:val="20"/>
                      </w:rPr>
                    </w:pPr>
                    <w:r>
                      <w:rPr>
                        <w:rFonts w:ascii="Franklin Gothic Book"/>
                        <w:spacing w:val="-1"/>
                        <w:sz w:val="20"/>
                      </w:rPr>
                      <w:t>400</w:t>
                    </w:r>
                  </w:p>
                  <w:p>
                    <w:pPr>
                      <w:spacing w:before="76"/>
                      <w:ind w:left="0" w:right="18" w:firstLine="0"/>
                      <w:jc w:val="right"/>
                      <w:rPr>
                        <w:rFonts w:ascii="Franklin Gothic Book"/>
                        <w:sz w:val="20"/>
                      </w:rPr>
                    </w:pPr>
                    <w:r>
                      <w:rPr>
                        <w:rFonts w:ascii="Franklin Gothic Book"/>
                        <w:spacing w:val="-1"/>
                        <w:sz w:val="20"/>
                      </w:rPr>
                      <w:t>200</w:t>
                    </w:r>
                  </w:p>
                  <w:p>
                    <w:pPr>
                      <w:spacing w:before="77"/>
                      <w:ind w:left="0" w:right="19" w:firstLine="0"/>
                      <w:jc w:val="right"/>
                      <w:rPr>
                        <w:rFonts w:ascii="Franklin Gothic Book"/>
                        <w:sz w:val="20"/>
                      </w:rPr>
                    </w:pPr>
                    <w:r>
                      <w:rPr>
                        <w:rFonts w:ascii="Franklin Gothic Book"/>
                        <w:w w:val="99"/>
                        <w:sz w:val="20"/>
                      </w:rPr>
                      <w:t>0</w:t>
                    </w:r>
                  </w:p>
                </w:txbxContent>
              </v:textbox>
              <w10:wrap type="none"/>
            </v:shape>
            <v:shape style="position:absolute;left:7188;top:2116;width:491;height:571" type="#_x0000_t202" filled="false" stroked="false">
              <v:textbox inset="0,0,0,0">
                <w:txbxContent>
                  <w:p>
                    <w:pPr>
                      <w:spacing w:line="226" w:lineRule="exact" w:before="0"/>
                      <w:ind w:left="0" w:right="0" w:firstLine="0"/>
                      <w:jc w:val="left"/>
                      <w:rPr>
                        <w:rFonts w:ascii="Franklin Gothic Book"/>
                        <w:sz w:val="20"/>
                      </w:rPr>
                    </w:pPr>
                    <w:r>
                      <w:rPr>
                        <w:rFonts w:ascii="Franklin Gothic Book"/>
                        <w:sz w:val="20"/>
                      </w:rPr>
                      <w:t>2015</w:t>
                    </w:r>
                  </w:p>
                  <w:p>
                    <w:pPr>
                      <w:spacing w:before="117"/>
                      <w:ind w:left="0" w:right="0" w:firstLine="0"/>
                      <w:jc w:val="left"/>
                      <w:rPr>
                        <w:rFonts w:ascii="Franklin Gothic Book"/>
                        <w:sz w:val="20"/>
                      </w:rPr>
                    </w:pPr>
                    <w:r>
                      <w:rPr>
                        <w:rFonts w:ascii="Franklin Gothic Book"/>
                        <w:sz w:val="20"/>
                      </w:rPr>
                      <w:t>2016</w:t>
                    </w:r>
                  </w:p>
                </w:txbxContent>
              </v:textbox>
              <w10:wrap type="none"/>
            </v:shape>
            <v:shape style="position:absolute;left:2299;top:3805;width:4421;height:453" type="#_x0000_t202" filled="false" stroked="false">
              <v:textbox inset="0,0,0,0">
                <w:txbxContent>
                  <w:p>
                    <w:pPr>
                      <w:tabs>
                        <w:tab w:pos="1545" w:val="left" w:leader="none"/>
                      </w:tabs>
                      <w:spacing w:line="226" w:lineRule="exact" w:before="0"/>
                      <w:ind w:left="0" w:right="0" w:firstLine="0"/>
                      <w:jc w:val="left"/>
                      <w:rPr>
                        <w:rFonts w:ascii="Franklin Gothic Book"/>
                        <w:sz w:val="20"/>
                      </w:rPr>
                    </w:pPr>
                    <w:r>
                      <w:rPr>
                        <w:rFonts w:ascii="Franklin Gothic Book"/>
                        <w:sz w:val="20"/>
                      </w:rPr>
                      <w:t>Calls</w:t>
                    </w:r>
                    <w:r>
                      <w:rPr>
                        <w:rFonts w:ascii="Franklin Gothic Book"/>
                        <w:spacing w:val="-3"/>
                        <w:sz w:val="20"/>
                      </w:rPr>
                      <w:t> </w:t>
                    </w:r>
                    <w:r>
                      <w:rPr>
                        <w:rFonts w:ascii="Franklin Gothic Book"/>
                        <w:sz w:val="20"/>
                      </w:rPr>
                      <w:t>for</w:t>
                    </w:r>
                    <w:r>
                      <w:rPr>
                        <w:rFonts w:ascii="Franklin Gothic Book"/>
                        <w:spacing w:val="-1"/>
                        <w:sz w:val="20"/>
                      </w:rPr>
                      <w:t> </w:t>
                    </w:r>
                    <w:r>
                      <w:rPr>
                        <w:rFonts w:ascii="Franklin Gothic Book"/>
                        <w:sz w:val="20"/>
                      </w:rPr>
                      <w:t>service</w:t>
                      <w:tab/>
                      <w:t>Nuisance code Citizen</w:t>
                    </w:r>
                    <w:r>
                      <w:rPr>
                        <w:rFonts w:ascii="Franklin Gothic Book"/>
                        <w:spacing w:val="-9"/>
                        <w:sz w:val="20"/>
                      </w:rPr>
                      <w:t> </w:t>
                    </w:r>
                    <w:r>
                      <w:rPr>
                        <w:rFonts w:ascii="Franklin Gothic Book"/>
                        <w:sz w:val="20"/>
                      </w:rPr>
                      <w:t>complaint</w:t>
                    </w:r>
                  </w:p>
                  <w:p>
                    <w:pPr>
                      <w:tabs>
                        <w:tab w:pos="3430" w:val="left" w:leader="none"/>
                      </w:tabs>
                      <w:spacing w:before="0"/>
                      <w:ind w:left="1768" w:right="0" w:firstLine="0"/>
                      <w:jc w:val="left"/>
                      <w:rPr>
                        <w:rFonts w:ascii="Franklin Gothic Book"/>
                        <w:sz w:val="20"/>
                      </w:rPr>
                    </w:pPr>
                    <w:r>
                      <w:rPr>
                        <w:rFonts w:ascii="Franklin Gothic Book"/>
                        <w:sz w:val="20"/>
                      </w:rPr>
                      <w:t>violations</w:t>
                      <w:tab/>
                      <w:t>cases</w:t>
                    </w:r>
                  </w:p>
                </w:txbxContent>
              </v:textbox>
              <w10:wrap type="none"/>
            </v:shape>
            <w10:wrap type="topAndBottom"/>
          </v:group>
        </w:pict>
      </w:r>
      <w:bookmarkStart w:name="_bookmark101" w:id="309"/>
      <w:bookmarkEnd w:id="309"/>
      <w:r>
        <w:rPr/>
      </w:r>
      <w:r>
        <w:rPr>
          <w:rFonts w:ascii="Arial"/>
          <w:b/>
          <w:sz w:val="20"/>
        </w:rPr>
        <w:t>Figure CF-4: Code Enforcement Incidents</w:t>
      </w:r>
    </w:p>
    <w:p>
      <w:pPr>
        <w:pStyle w:val="BodyText"/>
        <w:spacing w:before="83"/>
        <w:ind w:left="120" w:right="236" w:hanging="1"/>
        <w:jc w:val="both"/>
      </w:pPr>
      <w:r>
        <w:rPr/>
        <w:t>Current</w:t>
      </w:r>
      <w:r>
        <w:rPr>
          <w:spacing w:val="-10"/>
        </w:rPr>
        <w:t> </w:t>
      </w:r>
      <w:r>
        <w:rPr/>
        <w:t>average</w:t>
      </w:r>
      <w:r>
        <w:rPr>
          <w:spacing w:val="-6"/>
        </w:rPr>
        <w:t> </w:t>
      </w:r>
      <w:r>
        <w:rPr/>
        <w:t>response</w:t>
      </w:r>
      <w:r>
        <w:rPr>
          <w:spacing w:val="-11"/>
        </w:rPr>
        <w:t> </w:t>
      </w:r>
      <w:r>
        <w:rPr/>
        <w:t>times</w:t>
      </w:r>
      <w:r>
        <w:rPr>
          <w:spacing w:val="-7"/>
        </w:rPr>
        <w:t> </w:t>
      </w:r>
      <w:r>
        <w:rPr/>
        <w:t>to</w:t>
      </w:r>
      <w:r>
        <w:rPr>
          <w:spacing w:val="-6"/>
        </w:rPr>
        <w:t> </w:t>
      </w:r>
      <w:r>
        <w:rPr/>
        <w:t>high</w:t>
      </w:r>
      <w:r>
        <w:rPr>
          <w:spacing w:val="-7"/>
        </w:rPr>
        <w:t> </w:t>
      </w:r>
      <w:r>
        <w:rPr/>
        <w:t>priority</w:t>
      </w:r>
      <w:r>
        <w:rPr>
          <w:spacing w:val="-8"/>
        </w:rPr>
        <w:t> </w:t>
      </w:r>
      <w:r>
        <w:rPr/>
        <w:t>calls</w:t>
      </w:r>
      <w:r>
        <w:rPr>
          <w:spacing w:val="-8"/>
        </w:rPr>
        <w:t> </w:t>
      </w:r>
      <w:r>
        <w:rPr/>
        <w:t>range</w:t>
      </w:r>
      <w:r>
        <w:rPr>
          <w:spacing w:val="-10"/>
        </w:rPr>
        <w:t> </w:t>
      </w:r>
      <w:r>
        <w:rPr/>
        <w:t>from</w:t>
      </w:r>
      <w:r>
        <w:rPr>
          <w:spacing w:val="-8"/>
        </w:rPr>
        <w:t> </w:t>
      </w:r>
      <w:r>
        <w:rPr/>
        <w:t>one</w:t>
      </w:r>
      <w:r>
        <w:rPr>
          <w:spacing w:val="-6"/>
        </w:rPr>
        <w:t> </w:t>
      </w:r>
      <w:r>
        <w:rPr/>
        <w:t>to</w:t>
      </w:r>
      <w:r>
        <w:rPr>
          <w:spacing w:val="-10"/>
        </w:rPr>
        <w:t> </w:t>
      </w:r>
      <w:r>
        <w:rPr/>
        <w:t>seven</w:t>
      </w:r>
      <w:r>
        <w:rPr>
          <w:spacing w:val="-10"/>
        </w:rPr>
        <w:t> </w:t>
      </w:r>
      <w:r>
        <w:rPr/>
        <w:t>minutes,</w:t>
      </w:r>
      <w:r>
        <w:rPr>
          <w:spacing w:val="-6"/>
        </w:rPr>
        <w:t> </w:t>
      </w:r>
      <w:r>
        <w:rPr/>
        <w:t>depending</w:t>
      </w:r>
      <w:r>
        <w:rPr>
          <w:spacing w:val="-6"/>
        </w:rPr>
        <w:t> </w:t>
      </w:r>
      <w:r>
        <w:rPr/>
        <w:t>on the type of call and location. The priority categories of police response to calls for service are as follows:</w:t>
      </w:r>
    </w:p>
    <w:p>
      <w:pPr>
        <w:pStyle w:val="ListParagraph"/>
        <w:numPr>
          <w:ilvl w:val="0"/>
          <w:numId w:val="14"/>
        </w:numPr>
        <w:tabs>
          <w:tab w:pos="841" w:val="left" w:leader="none"/>
        </w:tabs>
        <w:spacing w:line="240" w:lineRule="auto" w:before="119" w:after="0"/>
        <w:ind w:left="840" w:right="236" w:hanging="361"/>
        <w:jc w:val="both"/>
        <w:rPr>
          <w:sz w:val="22"/>
        </w:rPr>
      </w:pPr>
      <w:r>
        <w:rPr>
          <w:sz w:val="22"/>
        </w:rPr>
        <w:t>Priority I calls are where the safety of people is involved and in progress calls, officers will respond with all urgency, using emergency response equipment when</w:t>
      </w:r>
      <w:r>
        <w:rPr>
          <w:spacing w:val="-16"/>
          <w:sz w:val="22"/>
        </w:rPr>
        <w:t> </w:t>
      </w:r>
      <w:r>
        <w:rPr>
          <w:sz w:val="22"/>
        </w:rPr>
        <w:t>justified.</w:t>
      </w:r>
    </w:p>
    <w:p>
      <w:pPr>
        <w:pStyle w:val="ListParagraph"/>
        <w:numPr>
          <w:ilvl w:val="0"/>
          <w:numId w:val="14"/>
        </w:numPr>
        <w:tabs>
          <w:tab w:pos="841" w:val="left" w:leader="none"/>
        </w:tabs>
        <w:spacing w:line="240" w:lineRule="auto" w:before="120" w:after="0"/>
        <w:ind w:left="840" w:right="235" w:hanging="361"/>
        <w:jc w:val="both"/>
        <w:rPr>
          <w:sz w:val="22"/>
        </w:rPr>
      </w:pPr>
      <w:r>
        <w:rPr>
          <w:sz w:val="22"/>
        </w:rPr>
        <w:t>Priority II calls are calls that just occurred. These calls do receive a high-priority response, again using emergency equipment when</w:t>
      </w:r>
      <w:r>
        <w:rPr>
          <w:spacing w:val="-10"/>
          <w:sz w:val="22"/>
        </w:rPr>
        <w:t> </w:t>
      </w:r>
      <w:r>
        <w:rPr>
          <w:sz w:val="22"/>
        </w:rPr>
        <w:t>justified.</w:t>
      </w:r>
    </w:p>
    <w:p>
      <w:pPr>
        <w:pStyle w:val="ListParagraph"/>
        <w:numPr>
          <w:ilvl w:val="0"/>
          <w:numId w:val="14"/>
        </w:numPr>
        <w:tabs>
          <w:tab w:pos="841" w:val="left" w:leader="none"/>
        </w:tabs>
        <w:spacing w:line="240" w:lineRule="auto" w:before="121" w:after="0"/>
        <w:ind w:left="840" w:right="234" w:hanging="361"/>
        <w:jc w:val="both"/>
        <w:rPr>
          <w:sz w:val="22"/>
        </w:rPr>
      </w:pPr>
      <w:r>
        <w:rPr>
          <w:sz w:val="22"/>
        </w:rPr>
        <w:t>Priority III calls do not require an emergency response. These calls will be handled as soon as</w:t>
      </w:r>
      <w:r>
        <w:rPr>
          <w:spacing w:val="-5"/>
          <w:sz w:val="22"/>
        </w:rPr>
        <w:t> </w:t>
      </w:r>
      <w:r>
        <w:rPr>
          <w:sz w:val="22"/>
        </w:rPr>
        <w:t>practical</w:t>
      </w:r>
      <w:r>
        <w:rPr>
          <w:spacing w:val="-6"/>
          <w:sz w:val="22"/>
        </w:rPr>
        <w:t> </w:t>
      </w:r>
      <w:r>
        <w:rPr>
          <w:sz w:val="22"/>
        </w:rPr>
        <w:t>but</w:t>
      </w:r>
      <w:r>
        <w:rPr>
          <w:spacing w:val="-6"/>
          <w:sz w:val="22"/>
        </w:rPr>
        <w:t> </w:t>
      </w:r>
      <w:r>
        <w:rPr>
          <w:sz w:val="22"/>
        </w:rPr>
        <w:t>will</w:t>
      </w:r>
      <w:r>
        <w:rPr>
          <w:spacing w:val="-6"/>
          <w:sz w:val="22"/>
        </w:rPr>
        <w:t> </w:t>
      </w:r>
      <w:r>
        <w:rPr>
          <w:sz w:val="22"/>
        </w:rPr>
        <w:t>have</w:t>
      </w:r>
      <w:r>
        <w:rPr>
          <w:spacing w:val="-5"/>
          <w:sz w:val="22"/>
        </w:rPr>
        <w:t> </w:t>
      </w:r>
      <w:r>
        <w:rPr>
          <w:sz w:val="22"/>
        </w:rPr>
        <w:t>lower</w:t>
      </w:r>
      <w:r>
        <w:rPr>
          <w:spacing w:val="-6"/>
          <w:sz w:val="22"/>
        </w:rPr>
        <w:t> </w:t>
      </w:r>
      <w:r>
        <w:rPr>
          <w:sz w:val="22"/>
        </w:rPr>
        <w:t>priority</w:t>
      </w:r>
      <w:r>
        <w:rPr>
          <w:spacing w:val="-7"/>
          <w:sz w:val="22"/>
        </w:rPr>
        <w:t> </w:t>
      </w:r>
      <w:r>
        <w:rPr>
          <w:sz w:val="22"/>
        </w:rPr>
        <w:t>than</w:t>
      </w:r>
      <w:r>
        <w:rPr>
          <w:spacing w:val="-7"/>
          <w:sz w:val="22"/>
        </w:rPr>
        <w:t> </w:t>
      </w:r>
      <w:r>
        <w:rPr>
          <w:sz w:val="22"/>
        </w:rPr>
        <w:t>Category</w:t>
      </w:r>
      <w:r>
        <w:rPr>
          <w:spacing w:val="-7"/>
          <w:sz w:val="22"/>
        </w:rPr>
        <w:t> </w:t>
      </w:r>
      <w:r>
        <w:rPr>
          <w:sz w:val="22"/>
        </w:rPr>
        <w:t>I</w:t>
      </w:r>
      <w:r>
        <w:rPr>
          <w:spacing w:val="-5"/>
          <w:sz w:val="22"/>
        </w:rPr>
        <w:t> </w:t>
      </w:r>
      <w:r>
        <w:rPr>
          <w:sz w:val="22"/>
        </w:rPr>
        <w:t>or</w:t>
      </w:r>
      <w:r>
        <w:rPr>
          <w:spacing w:val="-6"/>
          <w:sz w:val="22"/>
        </w:rPr>
        <w:t> </w:t>
      </w:r>
      <w:r>
        <w:rPr>
          <w:sz w:val="22"/>
        </w:rPr>
        <w:t>II</w:t>
      </w:r>
      <w:r>
        <w:rPr>
          <w:spacing w:val="-5"/>
          <w:sz w:val="22"/>
        </w:rPr>
        <w:t> </w:t>
      </w:r>
      <w:r>
        <w:rPr>
          <w:sz w:val="22"/>
        </w:rPr>
        <w:t>calls.</w:t>
      </w:r>
      <w:r>
        <w:rPr>
          <w:spacing w:val="-5"/>
          <w:sz w:val="22"/>
        </w:rPr>
        <w:t> </w:t>
      </w:r>
      <w:r>
        <w:rPr>
          <w:sz w:val="22"/>
        </w:rPr>
        <w:t>Officers</w:t>
      </w:r>
      <w:r>
        <w:rPr>
          <w:spacing w:val="-5"/>
          <w:sz w:val="22"/>
        </w:rPr>
        <w:t> </w:t>
      </w:r>
      <w:r>
        <w:rPr>
          <w:sz w:val="22"/>
        </w:rPr>
        <w:t>answer</w:t>
      </w:r>
      <w:r>
        <w:rPr>
          <w:spacing w:val="-6"/>
          <w:sz w:val="22"/>
        </w:rPr>
        <w:t> </w:t>
      </w:r>
      <w:r>
        <w:rPr>
          <w:sz w:val="22"/>
        </w:rPr>
        <w:t>Priority</w:t>
      </w:r>
      <w:r>
        <w:rPr>
          <w:spacing w:val="-7"/>
          <w:sz w:val="22"/>
        </w:rPr>
        <w:t> </w:t>
      </w:r>
      <w:r>
        <w:rPr>
          <w:sz w:val="22"/>
        </w:rPr>
        <w:t>III calls when time</w:t>
      </w:r>
      <w:r>
        <w:rPr>
          <w:spacing w:val="-4"/>
          <w:sz w:val="22"/>
        </w:rPr>
        <w:t> </w:t>
      </w:r>
      <w:r>
        <w:rPr>
          <w:sz w:val="22"/>
        </w:rPr>
        <w:t>allows.</w:t>
      </w:r>
    </w:p>
    <w:p>
      <w:pPr>
        <w:pStyle w:val="BodyText"/>
        <w:spacing w:before="119"/>
        <w:ind w:left="120" w:right="232" w:hanging="1"/>
        <w:jc w:val="both"/>
      </w:pPr>
      <w:r>
        <w:rPr/>
        <w:t>Law enforcement within Richland’s unincorporated UGA is provided by the Benton County Sheriff’s Office. The City of Richland and Benton County have signed a Consent Agreement for Mutual Aid Peace Officers Powers in accordance with the Washington Mutual Aid Peace Officers Powers Act (Chapter 10.93 RCW). By signing this agreement, the jurisdictions agree to provide cooperative enforcement of the law beyond their territorial boundaries as requested by the jurisdiction in need of assistance.</w:t>
      </w:r>
    </w:p>
    <w:p>
      <w:pPr>
        <w:pStyle w:val="BodyText"/>
        <w:spacing w:before="120"/>
        <w:ind w:left="120"/>
        <w:jc w:val="both"/>
      </w:pPr>
      <w:r>
        <w:rPr/>
        <w:t>The Police Services Division occupies a police station constructed in 2001.</w:t>
      </w:r>
    </w:p>
    <w:p>
      <w:pPr>
        <w:spacing w:before="200"/>
        <w:ind w:left="120" w:right="0" w:firstLine="0"/>
        <w:jc w:val="both"/>
        <w:rPr>
          <w:b/>
          <w:sz w:val="24"/>
        </w:rPr>
      </w:pPr>
      <w:bookmarkStart w:name="LEVEL OF SERVICE" w:id="310"/>
      <w:bookmarkEnd w:id="310"/>
      <w:r>
        <w:rPr/>
      </w:r>
      <w:r>
        <w:rPr>
          <w:b/>
          <w:sz w:val="24"/>
        </w:rPr>
        <w:t>LEVEL OF SERVICE</w:t>
      </w:r>
    </w:p>
    <w:p>
      <w:pPr>
        <w:pStyle w:val="BodyText"/>
        <w:spacing w:before="120"/>
        <w:ind w:left="120" w:right="234"/>
        <w:jc w:val="both"/>
      </w:pPr>
      <w:r>
        <w:rPr/>
        <w:t>Richland</w:t>
      </w:r>
      <w:r>
        <w:rPr>
          <w:spacing w:val="-5"/>
        </w:rPr>
        <w:t> </w:t>
      </w:r>
      <w:r>
        <w:rPr/>
        <w:t>Police</w:t>
      </w:r>
      <w:r>
        <w:rPr>
          <w:spacing w:val="-3"/>
        </w:rPr>
        <w:t> </w:t>
      </w:r>
      <w:r>
        <w:rPr/>
        <w:t>provides</w:t>
      </w:r>
      <w:r>
        <w:rPr>
          <w:spacing w:val="-6"/>
        </w:rPr>
        <w:t> </w:t>
      </w:r>
      <w:r>
        <w:rPr/>
        <w:t>a</w:t>
      </w:r>
      <w:r>
        <w:rPr>
          <w:spacing w:val="-3"/>
        </w:rPr>
        <w:t> </w:t>
      </w:r>
      <w:r>
        <w:rPr/>
        <w:t>value-based</w:t>
      </w:r>
      <w:r>
        <w:rPr>
          <w:spacing w:val="-4"/>
        </w:rPr>
        <w:t> </w:t>
      </w:r>
      <w:r>
        <w:rPr/>
        <w:t>service.</w:t>
      </w:r>
      <w:r>
        <w:rPr>
          <w:spacing w:val="-4"/>
        </w:rPr>
        <w:t> </w:t>
      </w:r>
      <w:r>
        <w:rPr/>
        <w:t>Instead</w:t>
      </w:r>
      <w:r>
        <w:rPr>
          <w:spacing w:val="-3"/>
        </w:rPr>
        <w:t> </w:t>
      </w:r>
      <w:r>
        <w:rPr/>
        <w:t>of</w:t>
      </w:r>
      <w:r>
        <w:rPr>
          <w:spacing w:val="-3"/>
        </w:rPr>
        <w:t> </w:t>
      </w:r>
      <w:r>
        <w:rPr/>
        <w:t>measuring</w:t>
      </w:r>
      <w:r>
        <w:rPr>
          <w:spacing w:val="-3"/>
        </w:rPr>
        <w:t> </w:t>
      </w:r>
      <w:r>
        <w:rPr/>
        <w:t>levels</w:t>
      </w:r>
      <w:r>
        <w:rPr>
          <w:spacing w:val="-2"/>
        </w:rPr>
        <w:t> </w:t>
      </w:r>
      <w:r>
        <w:rPr/>
        <w:t>of</w:t>
      </w:r>
      <w:r>
        <w:rPr>
          <w:spacing w:val="-3"/>
        </w:rPr>
        <w:t> </w:t>
      </w:r>
      <w:r>
        <w:rPr/>
        <w:t>service</w:t>
      </w:r>
      <w:r>
        <w:rPr>
          <w:spacing w:val="-4"/>
        </w:rPr>
        <w:t> </w:t>
      </w:r>
      <w:r>
        <w:rPr/>
        <w:t>by</w:t>
      </w:r>
      <w:r>
        <w:rPr>
          <w:spacing w:val="-4"/>
        </w:rPr>
        <w:t> </w:t>
      </w:r>
      <w:r>
        <w:rPr/>
        <w:t>officers</w:t>
      </w:r>
      <w:r>
        <w:rPr>
          <w:spacing w:val="-3"/>
        </w:rPr>
        <w:t> </w:t>
      </w:r>
      <w:r>
        <w:rPr/>
        <w:t>per population, Richland measures its levels of service for public safety based on the committed and uncommitted time of the officers and support staff. A balance of committed vs. uncommitted time allows for an efficient response to citizen’s calls for service while allocating uncommitted time to allow for proactive police work throughout the community. This balance generally needs to stay at</w:t>
      </w:r>
      <w:bookmarkStart w:name="FUTURE DEFICIENCIES" w:id="311"/>
      <w:bookmarkEnd w:id="311"/>
      <w:r>
        <w:rPr/>
      </w:r>
      <w:r>
        <w:rPr/>
        <w:t> 60 percent committed time and 40 percent uncommitted</w:t>
      </w:r>
      <w:r>
        <w:rPr>
          <w:spacing w:val="-10"/>
        </w:rPr>
        <w:t> </w:t>
      </w:r>
      <w:r>
        <w:rPr/>
        <w:t>time.</w:t>
      </w:r>
    </w:p>
    <w:p>
      <w:pPr>
        <w:spacing w:before="202"/>
        <w:ind w:left="120" w:right="0" w:firstLine="0"/>
        <w:jc w:val="both"/>
        <w:rPr>
          <w:b/>
          <w:sz w:val="24"/>
        </w:rPr>
      </w:pPr>
      <w:r>
        <w:rPr>
          <w:b/>
          <w:sz w:val="24"/>
        </w:rPr>
        <w:t>FUTURE DEFICIENCIES</w:t>
      </w:r>
    </w:p>
    <w:p>
      <w:pPr>
        <w:pStyle w:val="BodyText"/>
        <w:spacing w:before="119"/>
        <w:ind w:left="120" w:right="235"/>
        <w:jc w:val="both"/>
      </w:pPr>
      <w:r>
        <w:rPr/>
        <w:t>Future</w:t>
      </w:r>
      <w:r>
        <w:rPr>
          <w:spacing w:val="-16"/>
        </w:rPr>
        <w:t> </w:t>
      </w:r>
      <w:r>
        <w:rPr/>
        <w:t>growth</w:t>
      </w:r>
      <w:r>
        <w:rPr>
          <w:spacing w:val="-12"/>
        </w:rPr>
        <w:t> </w:t>
      </w:r>
      <w:r>
        <w:rPr/>
        <w:t>will</w:t>
      </w:r>
      <w:r>
        <w:rPr>
          <w:spacing w:val="-13"/>
        </w:rPr>
        <w:t> </w:t>
      </w:r>
      <w:r>
        <w:rPr/>
        <w:t>increase</w:t>
      </w:r>
      <w:r>
        <w:rPr>
          <w:spacing w:val="-13"/>
        </w:rPr>
        <w:t> </w:t>
      </w:r>
      <w:r>
        <w:rPr/>
        <w:t>demand</w:t>
      </w:r>
      <w:r>
        <w:rPr>
          <w:spacing w:val="-13"/>
        </w:rPr>
        <w:t> </w:t>
      </w:r>
      <w:r>
        <w:rPr/>
        <w:t>for</w:t>
      </w:r>
      <w:r>
        <w:rPr>
          <w:spacing w:val="-15"/>
        </w:rPr>
        <w:t> </w:t>
      </w:r>
      <w:r>
        <w:rPr/>
        <w:t>police</w:t>
      </w:r>
      <w:r>
        <w:rPr>
          <w:spacing w:val="-12"/>
        </w:rPr>
        <w:t> </w:t>
      </w:r>
      <w:r>
        <w:rPr/>
        <w:t>protection</w:t>
      </w:r>
      <w:r>
        <w:rPr>
          <w:spacing w:val="-14"/>
        </w:rPr>
        <w:t> </w:t>
      </w:r>
      <w:r>
        <w:rPr/>
        <w:t>services</w:t>
      </w:r>
      <w:r>
        <w:rPr>
          <w:spacing w:val="-11"/>
        </w:rPr>
        <w:t> </w:t>
      </w:r>
      <w:r>
        <w:rPr/>
        <w:t>and</w:t>
      </w:r>
      <w:r>
        <w:rPr>
          <w:spacing w:val="-13"/>
        </w:rPr>
        <w:t> </w:t>
      </w:r>
      <w:r>
        <w:rPr/>
        <w:t>police</w:t>
      </w:r>
      <w:r>
        <w:rPr>
          <w:spacing w:val="-15"/>
        </w:rPr>
        <w:t> </w:t>
      </w:r>
      <w:r>
        <w:rPr/>
        <w:t>department</w:t>
      </w:r>
      <w:r>
        <w:rPr>
          <w:spacing w:val="-14"/>
        </w:rPr>
        <w:t> </w:t>
      </w:r>
      <w:r>
        <w:rPr/>
        <w:t>community programs.</w:t>
      </w:r>
      <w:r>
        <w:rPr>
          <w:spacing w:val="-9"/>
        </w:rPr>
        <w:t> </w:t>
      </w:r>
      <w:r>
        <w:rPr/>
        <w:t>This</w:t>
      </w:r>
      <w:r>
        <w:rPr>
          <w:spacing w:val="-8"/>
        </w:rPr>
        <w:t> </w:t>
      </w:r>
      <w:r>
        <w:rPr/>
        <w:t>may</w:t>
      </w:r>
      <w:r>
        <w:rPr>
          <w:spacing w:val="-7"/>
        </w:rPr>
        <w:t> </w:t>
      </w:r>
      <w:r>
        <w:rPr/>
        <w:t>result</w:t>
      </w:r>
      <w:r>
        <w:rPr>
          <w:spacing w:val="-9"/>
        </w:rPr>
        <w:t> </w:t>
      </w:r>
      <w:r>
        <w:rPr/>
        <w:t>in</w:t>
      </w:r>
      <w:r>
        <w:rPr>
          <w:spacing w:val="-8"/>
        </w:rPr>
        <w:t> </w:t>
      </w:r>
      <w:r>
        <w:rPr/>
        <w:t>a</w:t>
      </w:r>
      <w:r>
        <w:rPr>
          <w:spacing w:val="-6"/>
        </w:rPr>
        <w:t> </w:t>
      </w:r>
      <w:r>
        <w:rPr/>
        <w:t>need</w:t>
      </w:r>
      <w:r>
        <w:rPr>
          <w:spacing w:val="-7"/>
        </w:rPr>
        <w:t> </w:t>
      </w:r>
      <w:r>
        <w:rPr/>
        <w:t>for</w:t>
      </w:r>
      <w:r>
        <w:rPr>
          <w:spacing w:val="-8"/>
        </w:rPr>
        <w:t> </w:t>
      </w:r>
      <w:r>
        <w:rPr/>
        <w:t>additional</w:t>
      </w:r>
      <w:r>
        <w:rPr>
          <w:spacing w:val="-7"/>
        </w:rPr>
        <w:t> </w:t>
      </w:r>
      <w:r>
        <w:rPr/>
        <w:t>police</w:t>
      </w:r>
      <w:r>
        <w:rPr>
          <w:spacing w:val="-6"/>
        </w:rPr>
        <w:t> </w:t>
      </w:r>
      <w:r>
        <w:rPr/>
        <w:t>officers,</w:t>
      </w:r>
      <w:r>
        <w:rPr>
          <w:spacing w:val="-5"/>
        </w:rPr>
        <w:t> </w:t>
      </w:r>
      <w:r>
        <w:rPr/>
        <w:t>equipment,</w:t>
      </w:r>
      <w:r>
        <w:rPr>
          <w:spacing w:val="-9"/>
        </w:rPr>
        <w:t> </w:t>
      </w:r>
      <w:r>
        <w:rPr/>
        <w:t>and</w:t>
      </w:r>
      <w:r>
        <w:rPr>
          <w:spacing w:val="-6"/>
        </w:rPr>
        <w:t> </w:t>
      </w:r>
      <w:r>
        <w:rPr/>
        <w:t>support</w:t>
      </w:r>
      <w:r>
        <w:rPr>
          <w:spacing w:val="-7"/>
        </w:rPr>
        <w:t> </w:t>
      </w:r>
      <w:r>
        <w:rPr/>
        <w:t>staff</w:t>
      </w:r>
      <w:r>
        <w:rPr>
          <w:spacing w:val="-6"/>
        </w:rPr>
        <w:t> </w:t>
      </w:r>
      <w:r>
        <w:rPr/>
        <w:t>in</w:t>
      </w:r>
      <w:r>
        <w:rPr>
          <w:spacing w:val="-7"/>
        </w:rPr>
        <w:t> </w:t>
      </w:r>
      <w:r>
        <w:rPr/>
        <w:t>the long term.</w:t>
      </w:r>
    </w:p>
    <w:p>
      <w:pPr>
        <w:spacing w:after="0"/>
        <w:jc w:val="both"/>
        <w:sectPr>
          <w:pgSz w:w="12240" w:h="15840"/>
          <w:pgMar w:header="0" w:footer="1052" w:top="1360" w:bottom="1320" w:left="1320" w:right="1200"/>
        </w:sectPr>
      </w:pPr>
    </w:p>
    <w:p>
      <w:pPr>
        <w:spacing w:before="80"/>
        <w:ind w:left="120" w:right="0" w:firstLine="0"/>
        <w:jc w:val="left"/>
        <w:rPr>
          <w:b/>
          <w:sz w:val="24"/>
        </w:rPr>
      </w:pPr>
      <w:bookmarkStart w:name="RECOMMENDATIONS" w:id="312"/>
      <w:bookmarkEnd w:id="312"/>
      <w:r>
        <w:rPr/>
      </w:r>
      <w:r>
        <w:rPr>
          <w:b/>
          <w:sz w:val="24"/>
        </w:rPr>
        <w:t>RECOMMENDATIONS</w:t>
      </w:r>
    </w:p>
    <w:p>
      <w:pPr>
        <w:pStyle w:val="BodyText"/>
        <w:spacing w:before="119"/>
        <w:ind w:left="120" w:right="233"/>
        <w:jc w:val="both"/>
      </w:pPr>
      <w:r>
        <w:rPr/>
        <w:t>The</w:t>
      </w:r>
      <w:r>
        <w:rPr>
          <w:spacing w:val="-6"/>
        </w:rPr>
        <w:t> </w:t>
      </w:r>
      <w:r>
        <w:rPr/>
        <w:t>Police</w:t>
      </w:r>
      <w:r>
        <w:rPr>
          <w:spacing w:val="-5"/>
        </w:rPr>
        <w:t> </w:t>
      </w:r>
      <w:r>
        <w:rPr/>
        <w:t>Department</w:t>
      </w:r>
      <w:r>
        <w:rPr>
          <w:spacing w:val="-7"/>
        </w:rPr>
        <w:t> </w:t>
      </w:r>
      <w:r>
        <w:rPr/>
        <w:t>is</w:t>
      </w:r>
      <w:r>
        <w:rPr>
          <w:spacing w:val="-5"/>
        </w:rPr>
        <w:t> </w:t>
      </w:r>
      <w:r>
        <w:rPr/>
        <w:t>currently</w:t>
      </w:r>
      <w:r>
        <w:rPr>
          <w:spacing w:val="-8"/>
        </w:rPr>
        <w:t> </w:t>
      </w:r>
      <w:r>
        <w:rPr/>
        <w:t>not</w:t>
      </w:r>
      <w:r>
        <w:rPr>
          <w:spacing w:val="-6"/>
        </w:rPr>
        <w:t> </w:t>
      </w:r>
      <w:r>
        <w:rPr/>
        <w:t>seeking</w:t>
      </w:r>
      <w:r>
        <w:rPr>
          <w:spacing w:val="-5"/>
        </w:rPr>
        <w:t> </w:t>
      </w:r>
      <w:r>
        <w:rPr/>
        <w:t>an</w:t>
      </w:r>
      <w:r>
        <w:rPr>
          <w:spacing w:val="-7"/>
        </w:rPr>
        <w:t> </w:t>
      </w:r>
      <w:r>
        <w:rPr/>
        <w:t>increase</w:t>
      </w:r>
      <w:r>
        <w:rPr>
          <w:spacing w:val="-5"/>
        </w:rPr>
        <w:t> </w:t>
      </w:r>
      <w:r>
        <w:rPr/>
        <w:t>in</w:t>
      </w:r>
      <w:r>
        <w:rPr>
          <w:spacing w:val="-8"/>
        </w:rPr>
        <w:t> </w:t>
      </w:r>
      <w:r>
        <w:rPr/>
        <w:t>the</w:t>
      </w:r>
      <w:r>
        <w:rPr>
          <w:spacing w:val="-5"/>
        </w:rPr>
        <w:t> </w:t>
      </w:r>
      <w:r>
        <w:rPr/>
        <w:t>number</w:t>
      </w:r>
      <w:r>
        <w:rPr>
          <w:spacing w:val="-7"/>
        </w:rPr>
        <w:t> </w:t>
      </w:r>
      <w:r>
        <w:rPr/>
        <w:t>of</w:t>
      </w:r>
      <w:r>
        <w:rPr>
          <w:spacing w:val="-8"/>
        </w:rPr>
        <w:t> </w:t>
      </w:r>
      <w:r>
        <w:rPr/>
        <w:t>police</w:t>
      </w:r>
      <w:r>
        <w:rPr>
          <w:spacing w:val="-5"/>
        </w:rPr>
        <w:t> </w:t>
      </w:r>
      <w:r>
        <w:rPr/>
        <w:t>officers</w:t>
      </w:r>
      <w:r>
        <w:rPr>
          <w:spacing w:val="-5"/>
        </w:rPr>
        <w:t> </w:t>
      </w:r>
      <w:r>
        <w:rPr/>
        <w:t>as</w:t>
      </w:r>
      <w:r>
        <w:rPr>
          <w:spacing w:val="-5"/>
        </w:rPr>
        <w:t> </w:t>
      </w:r>
      <w:r>
        <w:rPr/>
        <w:t>it</w:t>
      </w:r>
      <w:r>
        <w:rPr>
          <w:spacing w:val="-7"/>
        </w:rPr>
        <w:t> </w:t>
      </w:r>
      <w:r>
        <w:rPr/>
        <w:t>aims to meet its demand through an efficient allocation of committed time. It continues its current programs of community services and crime prevention</w:t>
      </w:r>
      <w:r>
        <w:rPr>
          <w:spacing w:val="-13"/>
        </w:rPr>
        <w:t> </w:t>
      </w:r>
      <w:r>
        <w:rPr/>
        <w:t>programs.</w:t>
      </w:r>
    </w:p>
    <w:p>
      <w:pPr>
        <w:spacing w:after="0"/>
        <w:jc w:val="both"/>
        <w:sectPr>
          <w:pgSz w:w="12240" w:h="15840"/>
          <w:pgMar w:header="0" w:footer="1052" w:top="1360" w:bottom="1320" w:left="1320" w:right="1200"/>
        </w:sectPr>
      </w:pPr>
    </w:p>
    <w:p>
      <w:pPr>
        <w:spacing w:before="79"/>
        <w:ind w:left="120" w:right="0" w:firstLine="0"/>
        <w:jc w:val="left"/>
        <w:rPr>
          <w:rFonts w:ascii="Arial"/>
          <w:b/>
          <w:sz w:val="20"/>
        </w:rPr>
      </w:pPr>
      <w:bookmarkStart w:name="_bookmark102" w:id="313"/>
      <w:bookmarkEnd w:id="313"/>
      <w:r>
        <w:rPr/>
      </w:r>
      <w:r>
        <w:rPr>
          <w:rFonts w:ascii="Arial"/>
          <w:b/>
          <w:sz w:val="20"/>
        </w:rPr>
        <w:t>Figure CF-5: Police Patrol Zone</w:t>
      </w:r>
    </w:p>
    <w:p>
      <w:pPr>
        <w:spacing w:after="0"/>
        <w:jc w:val="left"/>
        <w:rPr>
          <w:rFonts w:ascii="Arial"/>
          <w:sz w:val="20"/>
        </w:rPr>
        <w:sectPr>
          <w:pgSz w:w="12240" w:h="15840"/>
          <w:pgMar w:header="0" w:footer="1052" w:top="1360" w:bottom="1320" w:left="1320" w:right="1200"/>
        </w:sectPr>
      </w:pPr>
    </w:p>
    <w:p>
      <w:pPr>
        <w:pStyle w:val="Heading7"/>
      </w:pPr>
      <w:bookmarkStart w:name="Section Six" w:id="314"/>
      <w:bookmarkEnd w:id="314"/>
      <w:r>
        <w:rPr/>
      </w:r>
      <w:bookmarkStart w:name="_bookmark103" w:id="315"/>
      <w:bookmarkEnd w:id="315"/>
      <w:r>
        <w:rPr/>
      </w:r>
      <w:r>
        <w:rPr>
          <w:color w:val="4F81BC"/>
        </w:rPr>
        <w:t>SECTION SIX</w:t>
      </w:r>
    </w:p>
    <w:p>
      <w:pPr>
        <w:pStyle w:val="Heading6"/>
        <w:ind w:left="120"/>
      </w:pPr>
      <w:bookmarkStart w:name="Library Facilities" w:id="316"/>
      <w:bookmarkEnd w:id="316"/>
      <w:r>
        <w:rPr>
          <w:b w:val="0"/>
        </w:rPr>
      </w:r>
      <w:bookmarkStart w:name="EXISTING CONDITIONS" w:id="317"/>
      <w:bookmarkEnd w:id="317"/>
      <w:r>
        <w:rPr>
          <w:b w:val="0"/>
        </w:rPr>
      </w:r>
      <w:bookmarkStart w:name="_bookmark104" w:id="318"/>
      <w:bookmarkEnd w:id="318"/>
      <w:r>
        <w:rPr>
          <w:b w:val="0"/>
        </w:rPr>
      </w:r>
      <w:r>
        <w:rPr/>
        <w:t>LIBRARY FACILITIES</w:t>
      </w:r>
    </w:p>
    <w:p>
      <w:pPr>
        <w:spacing w:before="202"/>
        <w:ind w:left="120" w:right="0" w:firstLine="0"/>
        <w:jc w:val="left"/>
        <w:rPr>
          <w:b/>
          <w:sz w:val="24"/>
        </w:rPr>
      </w:pPr>
      <w:r>
        <w:rPr>
          <w:b/>
          <w:sz w:val="24"/>
        </w:rPr>
        <w:t>EXISTING CONDITIONS</w:t>
      </w:r>
    </w:p>
    <w:p>
      <w:pPr>
        <w:pStyle w:val="BodyText"/>
        <w:spacing w:before="120"/>
        <w:ind w:left="119" w:right="231"/>
        <w:jc w:val="both"/>
      </w:pPr>
      <w:r>
        <w:rPr/>
        <w:t>Library services for Richland residents are provided primarily by the Richland Public Library, operated by the City of Richland Parks and Public Facilities Department. Additional library services are available at the Washington State University (WSU) Consolidated Information Center (CIC), Columbia Basin College in Pasco, and the Mid-Columbia Library System in the adjacent jurisdictions. The Kadlec Neurological Resource Center has a specialized library on neurological disorders that is open to public. The PNNL campus master plan also indicates an on-campus library that is available only</w:t>
      </w:r>
      <w:r>
        <w:rPr>
          <w:spacing w:val="-12"/>
        </w:rPr>
        <w:t> </w:t>
      </w:r>
      <w:r>
        <w:rPr/>
        <w:t>to</w:t>
      </w:r>
      <w:r>
        <w:rPr>
          <w:spacing w:val="-12"/>
        </w:rPr>
        <w:t> </w:t>
      </w:r>
      <w:r>
        <w:rPr/>
        <w:t>PNNL</w:t>
      </w:r>
      <w:r>
        <w:rPr>
          <w:spacing w:val="-12"/>
        </w:rPr>
        <w:t> </w:t>
      </w:r>
      <w:r>
        <w:rPr/>
        <w:t>staff</w:t>
      </w:r>
      <w:r>
        <w:rPr>
          <w:spacing w:val="-11"/>
        </w:rPr>
        <w:t> </w:t>
      </w:r>
      <w:r>
        <w:rPr/>
        <w:t>and</w:t>
      </w:r>
      <w:r>
        <w:rPr>
          <w:spacing w:val="-12"/>
        </w:rPr>
        <w:t> </w:t>
      </w:r>
      <w:r>
        <w:rPr/>
        <w:t>visiting</w:t>
      </w:r>
      <w:r>
        <w:rPr>
          <w:spacing w:val="-10"/>
        </w:rPr>
        <w:t> </w:t>
      </w:r>
      <w:r>
        <w:rPr/>
        <w:t>officials.</w:t>
      </w:r>
      <w:r>
        <w:rPr>
          <w:spacing w:val="-11"/>
        </w:rPr>
        <w:t> </w:t>
      </w:r>
      <w:r>
        <w:rPr/>
        <w:t>The</w:t>
      </w:r>
      <w:r>
        <w:rPr>
          <w:spacing w:val="-11"/>
        </w:rPr>
        <w:t> </w:t>
      </w:r>
      <w:r>
        <w:rPr/>
        <w:t>Richland</w:t>
      </w:r>
      <w:r>
        <w:rPr>
          <w:spacing w:val="-14"/>
        </w:rPr>
        <w:t> </w:t>
      </w:r>
      <w:r>
        <w:rPr/>
        <w:t>Public</w:t>
      </w:r>
      <w:r>
        <w:rPr>
          <w:spacing w:val="-10"/>
        </w:rPr>
        <w:t> </w:t>
      </w:r>
      <w:r>
        <w:rPr/>
        <w:t>Library</w:t>
      </w:r>
      <w:r>
        <w:rPr>
          <w:spacing w:val="-12"/>
        </w:rPr>
        <w:t> </w:t>
      </w:r>
      <w:r>
        <w:rPr/>
        <w:t>and</w:t>
      </w:r>
      <w:r>
        <w:rPr>
          <w:spacing w:val="-12"/>
        </w:rPr>
        <w:t> </w:t>
      </w:r>
      <w:r>
        <w:rPr/>
        <w:t>the</w:t>
      </w:r>
      <w:r>
        <w:rPr>
          <w:spacing w:val="-11"/>
        </w:rPr>
        <w:t> </w:t>
      </w:r>
      <w:r>
        <w:rPr/>
        <w:t>WSU</w:t>
      </w:r>
      <w:r>
        <w:rPr>
          <w:spacing w:val="-11"/>
        </w:rPr>
        <w:t> </w:t>
      </w:r>
      <w:r>
        <w:rPr/>
        <w:t>CIC</w:t>
      </w:r>
      <w:r>
        <w:rPr>
          <w:spacing w:val="-11"/>
        </w:rPr>
        <w:t> </w:t>
      </w:r>
      <w:r>
        <w:rPr/>
        <w:t>are</w:t>
      </w:r>
      <w:r>
        <w:rPr>
          <w:spacing w:val="-11"/>
        </w:rPr>
        <w:t> </w:t>
      </w:r>
      <w:r>
        <w:rPr/>
        <w:t>both</w:t>
      </w:r>
      <w:r>
        <w:rPr>
          <w:spacing w:val="-11"/>
        </w:rPr>
        <w:t> </w:t>
      </w:r>
      <w:r>
        <w:rPr/>
        <w:t>located within Richland City limits. In addition to those listed above, other library facilities in Richland include</w:t>
      </w:r>
      <w:r>
        <w:rPr>
          <w:spacing w:val="-9"/>
        </w:rPr>
        <w:t> </w:t>
      </w:r>
      <w:r>
        <w:rPr/>
        <w:t>school</w:t>
      </w:r>
      <w:r>
        <w:rPr>
          <w:spacing w:val="-9"/>
        </w:rPr>
        <w:t> </w:t>
      </w:r>
      <w:r>
        <w:rPr/>
        <w:t>libraries</w:t>
      </w:r>
      <w:r>
        <w:rPr>
          <w:spacing w:val="-8"/>
        </w:rPr>
        <w:t> </w:t>
      </w:r>
      <w:r>
        <w:rPr/>
        <w:t>at</w:t>
      </w:r>
      <w:r>
        <w:rPr>
          <w:spacing w:val="-12"/>
        </w:rPr>
        <w:t> </w:t>
      </w:r>
      <w:r>
        <w:rPr/>
        <w:t>each</w:t>
      </w:r>
      <w:r>
        <w:rPr>
          <w:spacing w:val="-8"/>
        </w:rPr>
        <w:t> </w:t>
      </w:r>
      <w:r>
        <w:rPr/>
        <w:t>school</w:t>
      </w:r>
      <w:r>
        <w:rPr>
          <w:spacing w:val="-9"/>
        </w:rPr>
        <w:t> </w:t>
      </w:r>
      <w:r>
        <w:rPr/>
        <w:t>in</w:t>
      </w:r>
      <w:r>
        <w:rPr>
          <w:spacing w:val="-10"/>
        </w:rPr>
        <w:t> </w:t>
      </w:r>
      <w:r>
        <w:rPr/>
        <w:t>the</w:t>
      </w:r>
      <w:r>
        <w:rPr>
          <w:spacing w:val="-9"/>
        </w:rPr>
        <w:t> </w:t>
      </w:r>
      <w:r>
        <w:rPr/>
        <w:t>Richland</w:t>
      </w:r>
      <w:r>
        <w:rPr>
          <w:spacing w:val="-8"/>
        </w:rPr>
        <w:t> </w:t>
      </w:r>
      <w:r>
        <w:rPr/>
        <w:t>School</w:t>
      </w:r>
      <w:r>
        <w:rPr>
          <w:spacing w:val="-9"/>
        </w:rPr>
        <w:t> </w:t>
      </w:r>
      <w:r>
        <w:rPr/>
        <w:t>District</w:t>
      </w:r>
      <w:r>
        <w:rPr>
          <w:spacing w:val="-9"/>
        </w:rPr>
        <w:t> </w:t>
      </w:r>
      <w:r>
        <w:rPr/>
        <w:t>except</w:t>
      </w:r>
      <w:r>
        <w:rPr>
          <w:spacing w:val="-9"/>
        </w:rPr>
        <w:t> </w:t>
      </w:r>
      <w:r>
        <w:rPr/>
        <w:t>Rivers</w:t>
      </w:r>
      <w:r>
        <w:rPr>
          <w:spacing w:val="-7"/>
        </w:rPr>
        <w:t> </w:t>
      </w:r>
      <w:r>
        <w:rPr/>
        <w:t>Edge</w:t>
      </w:r>
      <w:r>
        <w:rPr>
          <w:spacing w:val="-9"/>
        </w:rPr>
        <w:t> </w:t>
      </w:r>
      <w:r>
        <w:rPr/>
        <w:t>High</w:t>
      </w:r>
      <w:r>
        <w:rPr>
          <w:spacing w:val="-9"/>
        </w:rPr>
        <w:t> </w:t>
      </w:r>
      <w:r>
        <w:rPr/>
        <w:t>School.</w:t>
      </w:r>
    </w:p>
    <w:p>
      <w:pPr>
        <w:pStyle w:val="BodyText"/>
        <w:spacing w:before="119"/>
        <w:ind w:left="119" w:right="235"/>
        <w:jc w:val="both"/>
      </w:pPr>
      <w:r>
        <w:rPr/>
        <w:t>The</w:t>
      </w:r>
      <w:r>
        <w:rPr>
          <w:spacing w:val="-4"/>
        </w:rPr>
        <w:t> </w:t>
      </w:r>
      <w:r>
        <w:rPr/>
        <w:t>Richland</w:t>
      </w:r>
      <w:r>
        <w:rPr>
          <w:spacing w:val="-3"/>
        </w:rPr>
        <w:t> </w:t>
      </w:r>
      <w:r>
        <w:rPr/>
        <w:t>Public</w:t>
      </w:r>
      <w:r>
        <w:rPr>
          <w:spacing w:val="-3"/>
        </w:rPr>
        <w:t> </w:t>
      </w:r>
      <w:r>
        <w:rPr/>
        <w:t>Library</w:t>
      </w:r>
      <w:r>
        <w:rPr>
          <w:spacing w:val="-4"/>
        </w:rPr>
        <w:t> </w:t>
      </w:r>
      <w:r>
        <w:rPr/>
        <w:t>is</w:t>
      </w:r>
      <w:r>
        <w:rPr>
          <w:spacing w:val="-2"/>
        </w:rPr>
        <w:t> </w:t>
      </w:r>
      <w:r>
        <w:rPr/>
        <w:t>located</w:t>
      </w:r>
      <w:r>
        <w:rPr>
          <w:spacing w:val="-4"/>
        </w:rPr>
        <w:t> </w:t>
      </w:r>
      <w:r>
        <w:rPr/>
        <w:t>at</w:t>
      </w:r>
      <w:r>
        <w:rPr>
          <w:spacing w:val="-4"/>
        </w:rPr>
        <w:t> </w:t>
      </w:r>
      <w:r>
        <w:rPr/>
        <w:t>955</w:t>
      </w:r>
      <w:r>
        <w:rPr>
          <w:spacing w:val="-3"/>
        </w:rPr>
        <w:t> </w:t>
      </w:r>
      <w:r>
        <w:rPr/>
        <w:t>Northgate</w:t>
      </w:r>
      <w:r>
        <w:rPr>
          <w:spacing w:val="-4"/>
        </w:rPr>
        <w:t> </w:t>
      </w:r>
      <w:r>
        <w:rPr/>
        <w:t>Drive,</w:t>
      </w:r>
      <w:r>
        <w:rPr>
          <w:spacing w:val="-3"/>
        </w:rPr>
        <w:t> </w:t>
      </w:r>
      <w:r>
        <w:rPr/>
        <w:t>is</w:t>
      </w:r>
      <w:r>
        <w:rPr>
          <w:spacing w:val="-2"/>
        </w:rPr>
        <w:t> </w:t>
      </w:r>
      <w:r>
        <w:rPr/>
        <w:t>a</w:t>
      </w:r>
      <w:r>
        <w:rPr>
          <w:spacing w:val="-4"/>
        </w:rPr>
        <w:t> </w:t>
      </w:r>
      <w:r>
        <w:rPr/>
        <w:t>single</w:t>
      </w:r>
      <w:r>
        <w:rPr>
          <w:spacing w:val="-3"/>
        </w:rPr>
        <w:t> </w:t>
      </w:r>
      <w:r>
        <w:rPr/>
        <w:t>facility</w:t>
      </w:r>
      <w:r>
        <w:rPr>
          <w:spacing w:val="-4"/>
        </w:rPr>
        <w:t> </w:t>
      </w:r>
      <w:r>
        <w:rPr/>
        <w:t>with</w:t>
      </w:r>
      <w:r>
        <w:rPr>
          <w:spacing w:val="-4"/>
        </w:rPr>
        <w:t> </w:t>
      </w:r>
      <w:r>
        <w:rPr/>
        <w:t>no</w:t>
      </w:r>
      <w:r>
        <w:rPr>
          <w:spacing w:val="-3"/>
        </w:rPr>
        <w:t> </w:t>
      </w:r>
      <w:r>
        <w:rPr/>
        <w:t>bookmobile or branch outlets. The library serves all of Richland’s population and the population in the region. The current library facility was expanded and remodeled in 2009 with state of the art facilities, such as two 19 feet x 24 feet meeting rooms with adjustable lighting and dividers. Each room can accommodate 32 people and the rooms can be combined into a single 38 feet x 24 feet room accommodating 64 people. A 62 feet x 32 feet room seating 132 people was also added. This room features a projector, retractable movie screen, retractable black-out shades as well as conventional shades, a sound system, and DVD</w:t>
      </w:r>
      <w:r>
        <w:rPr>
          <w:spacing w:val="-7"/>
        </w:rPr>
        <w:t> </w:t>
      </w:r>
      <w:r>
        <w:rPr/>
        <w:t>player.</w:t>
      </w:r>
    </w:p>
    <w:p>
      <w:pPr>
        <w:pStyle w:val="BodyText"/>
        <w:spacing w:before="121"/>
        <w:ind w:left="119" w:right="234"/>
        <w:jc w:val="both"/>
      </w:pPr>
      <w:r>
        <w:rPr/>
        <w:t>The remodel also included the addition of a second floor, which allowed for the expansion of the library’s collection as well as the addition of multiple study tables, a fire place, and upholstered seating.</w:t>
      </w:r>
    </w:p>
    <w:p>
      <w:pPr>
        <w:pStyle w:val="BodyText"/>
        <w:spacing w:before="119"/>
        <w:ind w:left="119" w:right="233"/>
        <w:jc w:val="both"/>
      </w:pPr>
      <w:r>
        <w:rPr/>
        <w:t>The</w:t>
      </w:r>
      <w:r>
        <w:rPr>
          <w:spacing w:val="-11"/>
        </w:rPr>
        <w:t> </w:t>
      </w:r>
      <w:r>
        <w:rPr/>
        <w:t>remodeled</w:t>
      </w:r>
      <w:r>
        <w:rPr>
          <w:spacing w:val="-11"/>
        </w:rPr>
        <w:t> </w:t>
      </w:r>
      <w:r>
        <w:rPr/>
        <w:t>lobby</w:t>
      </w:r>
      <w:r>
        <w:rPr>
          <w:spacing w:val="-11"/>
        </w:rPr>
        <w:t> </w:t>
      </w:r>
      <w:r>
        <w:rPr/>
        <w:t>features</w:t>
      </w:r>
      <w:r>
        <w:rPr>
          <w:spacing w:val="-9"/>
        </w:rPr>
        <w:t> </w:t>
      </w:r>
      <w:r>
        <w:rPr/>
        <w:t>exhibit</w:t>
      </w:r>
      <w:r>
        <w:rPr>
          <w:spacing w:val="-11"/>
        </w:rPr>
        <w:t> </w:t>
      </w:r>
      <w:r>
        <w:rPr/>
        <w:t>space</w:t>
      </w:r>
      <w:r>
        <w:rPr>
          <w:spacing w:val="-10"/>
        </w:rPr>
        <w:t> </w:t>
      </w:r>
      <w:r>
        <w:rPr/>
        <w:t>that</w:t>
      </w:r>
      <w:r>
        <w:rPr>
          <w:spacing w:val="-11"/>
        </w:rPr>
        <w:t> </w:t>
      </w:r>
      <w:r>
        <w:rPr/>
        <w:t>is</w:t>
      </w:r>
      <w:r>
        <w:rPr>
          <w:spacing w:val="-9"/>
        </w:rPr>
        <w:t> </w:t>
      </w:r>
      <w:r>
        <w:rPr/>
        <w:t>highly</w:t>
      </w:r>
      <w:r>
        <w:rPr>
          <w:spacing w:val="-11"/>
        </w:rPr>
        <w:t> </w:t>
      </w:r>
      <w:r>
        <w:rPr/>
        <w:t>sought</w:t>
      </w:r>
      <w:r>
        <w:rPr>
          <w:spacing w:val="-11"/>
        </w:rPr>
        <w:t> </w:t>
      </w:r>
      <w:r>
        <w:rPr/>
        <w:t>after</w:t>
      </w:r>
      <w:r>
        <w:rPr>
          <w:spacing w:val="-11"/>
        </w:rPr>
        <w:t> </w:t>
      </w:r>
      <w:r>
        <w:rPr/>
        <w:t>for</w:t>
      </w:r>
      <w:r>
        <w:rPr>
          <w:spacing w:val="-11"/>
        </w:rPr>
        <w:t> </w:t>
      </w:r>
      <w:r>
        <w:rPr/>
        <w:t>the</w:t>
      </w:r>
      <w:r>
        <w:rPr>
          <w:spacing w:val="-10"/>
        </w:rPr>
        <w:t> </w:t>
      </w:r>
      <w:r>
        <w:rPr/>
        <w:t>display</w:t>
      </w:r>
      <w:r>
        <w:rPr>
          <w:spacing w:val="-12"/>
        </w:rPr>
        <w:t> </w:t>
      </w:r>
      <w:r>
        <w:rPr/>
        <w:t>of</w:t>
      </w:r>
      <w:r>
        <w:rPr>
          <w:spacing w:val="-10"/>
        </w:rPr>
        <w:t> </w:t>
      </w:r>
      <w:r>
        <w:rPr/>
        <w:t>paintings</w:t>
      </w:r>
      <w:r>
        <w:rPr>
          <w:spacing w:val="-9"/>
        </w:rPr>
        <w:t> </w:t>
      </w:r>
      <w:r>
        <w:rPr/>
        <w:t>and sculptures. Glass display cases, a vendor kiosk, and a bookstore were also a part of the building’s expansion.</w:t>
      </w:r>
      <w:r>
        <w:rPr>
          <w:spacing w:val="-14"/>
        </w:rPr>
        <w:t> </w:t>
      </w:r>
      <w:r>
        <w:rPr/>
        <w:t>During</w:t>
      </w:r>
      <w:r>
        <w:rPr>
          <w:spacing w:val="-12"/>
        </w:rPr>
        <w:t> </w:t>
      </w:r>
      <w:r>
        <w:rPr/>
        <w:t>an</w:t>
      </w:r>
      <w:r>
        <w:rPr>
          <w:spacing w:val="-14"/>
        </w:rPr>
        <w:t> </w:t>
      </w:r>
      <w:r>
        <w:rPr/>
        <w:t>average</w:t>
      </w:r>
      <w:r>
        <w:rPr>
          <w:spacing w:val="-13"/>
        </w:rPr>
        <w:t> </w:t>
      </w:r>
      <w:r>
        <w:rPr/>
        <w:t>week,</w:t>
      </w:r>
      <w:r>
        <w:rPr>
          <w:spacing w:val="-13"/>
        </w:rPr>
        <w:t> </w:t>
      </w:r>
      <w:r>
        <w:rPr/>
        <w:t>the</w:t>
      </w:r>
      <w:r>
        <w:rPr>
          <w:spacing w:val="-14"/>
        </w:rPr>
        <w:t> </w:t>
      </w:r>
      <w:r>
        <w:rPr/>
        <w:t>library</w:t>
      </w:r>
      <w:r>
        <w:rPr>
          <w:spacing w:val="-14"/>
        </w:rPr>
        <w:t> </w:t>
      </w:r>
      <w:r>
        <w:rPr/>
        <w:t>is</w:t>
      </w:r>
      <w:r>
        <w:rPr>
          <w:spacing w:val="-12"/>
        </w:rPr>
        <w:t> </w:t>
      </w:r>
      <w:r>
        <w:rPr/>
        <w:t>open</w:t>
      </w:r>
      <w:r>
        <w:rPr>
          <w:spacing w:val="-14"/>
        </w:rPr>
        <w:t> </w:t>
      </w:r>
      <w:r>
        <w:rPr/>
        <w:t>69</w:t>
      </w:r>
      <w:r>
        <w:rPr>
          <w:spacing w:val="-13"/>
        </w:rPr>
        <w:t> </w:t>
      </w:r>
      <w:r>
        <w:rPr/>
        <w:t>hours.</w:t>
      </w:r>
      <w:r>
        <w:rPr>
          <w:spacing w:val="-13"/>
        </w:rPr>
        <w:t> </w:t>
      </w:r>
      <w:r>
        <w:rPr/>
        <w:t>Hours</w:t>
      </w:r>
      <w:r>
        <w:rPr>
          <w:spacing w:val="-13"/>
        </w:rPr>
        <w:t> </w:t>
      </w:r>
      <w:r>
        <w:rPr/>
        <w:t>of</w:t>
      </w:r>
      <w:r>
        <w:rPr>
          <w:spacing w:val="-13"/>
        </w:rPr>
        <w:t> </w:t>
      </w:r>
      <w:r>
        <w:rPr/>
        <w:t>operation</w:t>
      </w:r>
      <w:r>
        <w:rPr>
          <w:spacing w:val="-14"/>
        </w:rPr>
        <w:t> </w:t>
      </w:r>
      <w:r>
        <w:rPr/>
        <w:t>vary</w:t>
      </w:r>
      <w:r>
        <w:rPr>
          <w:spacing w:val="-14"/>
        </w:rPr>
        <w:t> </w:t>
      </w:r>
      <w:r>
        <w:rPr/>
        <w:t>from</w:t>
      </w:r>
      <w:r>
        <w:rPr>
          <w:spacing w:val="-12"/>
        </w:rPr>
        <w:t> </w:t>
      </w:r>
      <w:r>
        <w:rPr/>
        <w:t>winter to</w:t>
      </w:r>
      <w:r>
        <w:rPr>
          <w:spacing w:val="-4"/>
        </w:rPr>
        <w:t> </w:t>
      </w:r>
      <w:r>
        <w:rPr/>
        <w:t>summer</w:t>
      </w:r>
      <w:r>
        <w:rPr>
          <w:spacing w:val="-4"/>
        </w:rPr>
        <w:t> </w:t>
      </w:r>
      <w:r>
        <w:rPr/>
        <w:t>months.</w:t>
      </w:r>
      <w:r>
        <w:rPr>
          <w:spacing w:val="-3"/>
        </w:rPr>
        <w:t> </w:t>
      </w:r>
      <w:r>
        <w:rPr/>
        <w:t>During</w:t>
      </w:r>
      <w:r>
        <w:rPr>
          <w:spacing w:val="-2"/>
        </w:rPr>
        <w:t> </w:t>
      </w:r>
      <w:r>
        <w:rPr/>
        <w:t>winter</w:t>
      </w:r>
      <w:r>
        <w:rPr>
          <w:spacing w:val="-3"/>
        </w:rPr>
        <w:t> </w:t>
      </w:r>
      <w:r>
        <w:rPr/>
        <w:t>months</w:t>
      </w:r>
      <w:r>
        <w:rPr>
          <w:spacing w:val="-2"/>
        </w:rPr>
        <w:t> </w:t>
      </w:r>
      <w:r>
        <w:rPr/>
        <w:t>the</w:t>
      </w:r>
      <w:r>
        <w:rPr>
          <w:spacing w:val="-3"/>
        </w:rPr>
        <w:t> </w:t>
      </w:r>
      <w:r>
        <w:rPr/>
        <w:t>library</w:t>
      </w:r>
      <w:r>
        <w:rPr>
          <w:spacing w:val="-4"/>
        </w:rPr>
        <w:t> </w:t>
      </w:r>
      <w:r>
        <w:rPr/>
        <w:t>is</w:t>
      </w:r>
      <w:r>
        <w:rPr>
          <w:spacing w:val="-2"/>
        </w:rPr>
        <w:t> </w:t>
      </w:r>
      <w:r>
        <w:rPr/>
        <w:t>open</w:t>
      </w:r>
      <w:r>
        <w:rPr>
          <w:spacing w:val="-5"/>
        </w:rPr>
        <w:t> </w:t>
      </w:r>
      <w:r>
        <w:rPr/>
        <w:t>from</w:t>
      </w:r>
      <w:r>
        <w:rPr>
          <w:spacing w:val="-2"/>
        </w:rPr>
        <w:t> </w:t>
      </w:r>
      <w:r>
        <w:rPr/>
        <w:t>9:30</w:t>
      </w:r>
      <w:r>
        <w:rPr>
          <w:spacing w:val="-3"/>
        </w:rPr>
        <w:t> </w:t>
      </w:r>
      <w:r>
        <w:rPr/>
        <w:t>a.m.</w:t>
      </w:r>
      <w:r>
        <w:rPr>
          <w:spacing w:val="-3"/>
        </w:rPr>
        <w:t> </w:t>
      </w:r>
      <w:r>
        <w:rPr/>
        <w:t>to</w:t>
      </w:r>
      <w:r>
        <w:rPr>
          <w:spacing w:val="-3"/>
        </w:rPr>
        <w:t> </w:t>
      </w:r>
      <w:r>
        <w:rPr/>
        <w:t>9:00</w:t>
      </w:r>
      <w:r>
        <w:rPr>
          <w:spacing w:val="-3"/>
        </w:rPr>
        <w:t> </w:t>
      </w:r>
      <w:r>
        <w:rPr/>
        <w:t>p.m.</w:t>
      </w:r>
      <w:r>
        <w:rPr>
          <w:spacing w:val="-3"/>
        </w:rPr>
        <w:t> </w:t>
      </w:r>
      <w:r>
        <w:rPr/>
        <w:t>on</w:t>
      </w:r>
      <w:r>
        <w:rPr>
          <w:spacing w:val="-4"/>
        </w:rPr>
        <w:t> </w:t>
      </w:r>
      <w:r>
        <w:rPr/>
        <w:t>Monday through Thursday, 9:30 a.m. to 5:00 p.m. on Friday and Saturday, and 1:00 p.m. to 5:00 p.m. on Sunday. During summer months, the library is closed on</w:t>
      </w:r>
      <w:r>
        <w:rPr>
          <w:spacing w:val="-13"/>
        </w:rPr>
        <w:t> </w:t>
      </w:r>
      <w:r>
        <w:rPr/>
        <w:t>Sundays.</w:t>
      </w:r>
    </w:p>
    <w:p>
      <w:pPr>
        <w:spacing w:before="202"/>
        <w:ind w:left="120" w:right="0" w:firstLine="0"/>
        <w:jc w:val="left"/>
        <w:rPr>
          <w:b/>
          <w:sz w:val="24"/>
        </w:rPr>
      </w:pPr>
      <w:bookmarkStart w:name="LEVEL OF SERVICE" w:id="319"/>
      <w:bookmarkEnd w:id="319"/>
      <w:r>
        <w:rPr/>
      </w:r>
      <w:r>
        <w:rPr>
          <w:b/>
          <w:sz w:val="24"/>
        </w:rPr>
        <w:t>LEVEL OF SERVICE</w:t>
      </w:r>
    </w:p>
    <w:p>
      <w:pPr>
        <w:pStyle w:val="BodyText"/>
        <w:spacing w:before="119"/>
        <w:ind w:left="120" w:right="270"/>
        <w:jc w:val="both"/>
      </w:pPr>
      <w:r>
        <w:rPr/>
        <w:t>The library facilities are currently operating to serve the population within the City and the UGA. Its service and capacity level is adequate to serve its existing population.</w:t>
      </w:r>
    </w:p>
    <w:p>
      <w:pPr>
        <w:spacing w:before="200"/>
        <w:ind w:left="120" w:right="0" w:firstLine="0"/>
        <w:jc w:val="left"/>
        <w:rPr>
          <w:b/>
          <w:sz w:val="24"/>
        </w:rPr>
      </w:pPr>
      <w:bookmarkStart w:name="FUTURE DEFICIENCIES" w:id="320"/>
      <w:bookmarkEnd w:id="320"/>
      <w:r>
        <w:rPr/>
      </w:r>
      <w:r>
        <w:rPr>
          <w:b/>
          <w:sz w:val="24"/>
        </w:rPr>
        <w:t>FUTURE DEFICIENCIES</w:t>
      </w:r>
    </w:p>
    <w:p>
      <w:pPr>
        <w:pStyle w:val="BodyText"/>
        <w:spacing w:before="119"/>
        <w:ind w:left="120" w:right="348"/>
      </w:pPr>
      <w:r>
        <w:rPr/>
        <w:t>With the future growth of the City, there may be a need for additional library facilities on the south</w:t>
      </w:r>
      <w:bookmarkStart w:name="RECOMMENDATIONS" w:id="321"/>
      <w:bookmarkEnd w:id="321"/>
      <w:r>
        <w:rPr/>
      </w:r>
      <w:r>
        <w:rPr/>
        <w:t> side of the City.</w:t>
      </w:r>
    </w:p>
    <w:p>
      <w:pPr>
        <w:spacing w:before="202"/>
        <w:ind w:left="120" w:right="0" w:firstLine="0"/>
        <w:jc w:val="left"/>
        <w:rPr>
          <w:b/>
          <w:sz w:val="24"/>
        </w:rPr>
      </w:pPr>
      <w:r>
        <w:rPr>
          <w:b/>
          <w:sz w:val="24"/>
        </w:rPr>
        <w:t>RECOMMENDATIONS</w:t>
      </w:r>
    </w:p>
    <w:p>
      <w:pPr>
        <w:pStyle w:val="BodyText"/>
        <w:spacing w:before="119"/>
        <w:ind w:left="120" w:right="237"/>
        <w:jc w:val="both"/>
      </w:pPr>
      <w:r>
        <w:rPr/>
        <w:t>Based on the current Urban Growth Boundary and population growth projections, the City of Richland should look forward to one or more branches or explore other ways to expand service.</w:t>
      </w:r>
    </w:p>
    <w:p>
      <w:pPr>
        <w:spacing w:after="0"/>
        <w:jc w:val="both"/>
        <w:sectPr>
          <w:pgSz w:w="12240" w:h="15840"/>
          <w:pgMar w:header="0" w:footer="1052" w:top="1420" w:bottom="1320" w:left="1320" w:right="1200"/>
        </w:sectPr>
      </w:pPr>
    </w:p>
    <w:p>
      <w:pPr>
        <w:pStyle w:val="Heading7"/>
      </w:pPr>
      <w:bookmarkStart w:name="Section Seven" w:id="322"/>
      <w:bookmarkEnd w:id="322"/>
      <w:r>
        <w:rPr/>
      </w:r>
      <w:bookmarkStart w:name="_bookmark105" w:id="323"/>
      <w:bookmarkEnd w:id="323"/>
      <w:r>
        <w:rPr/>
      </w:r>
      <w:r>
        <w:rPr>
          <w:color w:val="4F81BC"/>
        </w:rPr>
        <w:t>SECTION SEVEN</w:t>
      </w:r>
    </w:p>
    <w:p>
      <w:pPr>
        <w:pStyle w:val="Heading6"/>
        <w:ind w:left="120"/>
      </w:pPr>
      <w:bookmarkStart w:name="Schools" w:id="324"/>
      <w:bookmarkEnd w:id="324"/>
      <w:r>
        <w:rPr>
          <w:b w:val="0"/>
        </w:rPr>
      </w:r>
      <w:bookmarkStart w:name="EXISTING CONDITIONS" w:id="325"/>
      <w:bookmarkEnd w:id="325"/>
      <w:r>
        <w:rPr>
          <w:b w:val="0"/>
        </w:rPr>
      </w:r>
      <w:bookmarkStart w:name="_bookmark106" w:id="326"/>
      <w:bookmarkEnd w:id="326"/>
      <w:r>
        <w:rPr>
          <w:b w:val="0"/>
        </w:rPr>
      </w:r>
      <w:r>
        <w:rPr/>
        <w:t>SCHOOLS</w:t>
      </w:r>
    </w:p>
    <w:p>
      <w:pPr>
        <w:spacing w:before="202"/>
        <w:ind w:left="120" w:right="0" w:firstLine="0"/>
        <w:jc w:val="both"/>
        <w:rPr>
          <w:b/>
          <w:sz w:val="24"/>
        </w:rPr>
      </w:pPr>
      <w:r>
        <w:rPr>
          <w:b/>
          <w:sz w:val="24"/>
        </w:rPr>
        <w:t>EXISTING CONDITIONS</w:t>
      </w:r>
    </w:p>
    <w:p>
      <w:pPr>
        <w:pStyle w:val="BodyText"/>
        <w:spacing w:before="120"/>
        <w:ind w:left="119" w:right="235"/>
        <w:jc w:val="both"/>
      </w:pPr>
      <w:r>
        <w:rPr/>
        <w:t>Richland</w:t>
      </w:r>
      <w:r>
        <w:rPr>
          <w:spacing w:val="-9"/>
        </w:rPr>
        <w:t> </w:t>
      </w:r>
      <w:r>
        <w:rPr/>
        <w:t>is</w:t>
      </w:r>
      <w:r>
        <w:rPr>
          <w:spacing w:val="-10"/>
        </w:rPr>
        <w:t> </w:t>
      </w:r>
      <w:r>
        <w:rPr/>
        <w:t>mostly</w:t>
      </w:r>
      <w:r>
        <w:rPr>
          <w:spacing w:val="-9"/>
        </w:rPr>
        <w:t> </w:t>
      </w:r>
      <w:r>
        <w:rPr/>
        <w:t>served</w:t>
      </w:r>
      <w:r>
        <w:rPr>
          <w:spacing w:val="-12"/>
        </w:rPr>
        <w:t> </w:t>
      </w:r>
      <w:r>
        <w:rPr/>
        <w:t>by</w:t>
      </w:r>
      <w:r>
        <w:rPr>
          <w:spacing w:val="-9"/>
        </w:rPr>
        <w:t> </w:t>
      </w:r>
      <w:r>
        <w:rPr/>
        <w:t>the</w:t>
      </w:r>
      <w:r>
        <w:rPr>
          <w:spacing w:val="-9"/>
        </w:rPr>
        <w:t> </w:t>
      </w:r>
      <w:r>
        <w:rPr/>
        <w:t>Richland</w:t>
      </w:r>
      <w:r>
        <w:rPr>
          <w:spacing w:val="-11"/>
        </w:rPr>
        <w:t> </w:t>
      </w:r>
      <w:r>
        <w:rPr/>
        <w:t>School</w:t>
      </w:r>
      <w:r>
        <w:rPr>
          <w:spacing w:val="-11"/>
        </w:rPr>
        <w:t> </w:t>
      </w:r>
      <w:r>
        <w:rPr/>
        <w:t>District.</w:t>
      </w:r>
      <w:r>
        <w:rPr>
          <w:spacing w:val="-10"/>
        </w:rPr>
        <w:t> </w:t>
      </w:r>
      <w:r>
        <w:rPr/>
        <w:t>Table</w:t>
      </w:r>
      <w:r>
        <w:rPr>
          <w:spacing w:val="-12"/>
        </w:rPr>
        <w:t> </w:t>
      </w:r>
      <w:r>
        <w:rPr/>
        <w:t>CF-8</w:t>
      </w:r>
      <w:r>
        <w:rPr>
          <w:spacing w:val="-10"/>
        </w:rPr>
        <w:t> </w:t>
      </w:r>
      <w:r>
        <w:rPr/>
        <w:t>describes</w:t>
      </w:r>
      <w:r>
        <w:rPr>
          <w:spacing w:val="-11"/>
        </w:rPr>
        <w:t> </w:t>
      </w:r>
      <w:r>
        <w:rPr/>
        <w:t>all</w:t>
      </w:r>
      <w:r>
        <w:rPr>
          <w:spacing w:val="-8"/>
        </w:rPr>
        <w:t> </w:t>
      </w:r>
      <w:r>
        <w:rPr/>
        <w:t>facilities</w:t>
      </w:r>
      <w:r>
        <w:rPr>
          <w:spacing w:val="-8"/>
        </w:rPr>
        <w:t> </w:t>
      </w:r>
      <w:r>
        <w:rPr/>
        <w:t>that</w:t>
      </w:r>
      <w:r>
        <w:rPr>
          <w:spacing w:val="-8"/>
        </w:rPr>
        <w:t> </w:t>
      </w:r>
      <w:r>
        <w:rPr/>
        <w:t>serve residents within the UGA although some schools are located outside the UGA. Table CF-9 lists the special purpose facilities, such as gymnasiums and libraries, in those</w:t>
      </w:r>
      <w:r>
        <w:rPr>
          <w:spacing w:val="-14"/>
        </w:rPr>
        <w:t> </w:t>
      </w:r>
      <w:r>
        <w:rPr/>
        <w:t>schools.</w:t>
      </w:r>
    </w:p>
    <w:p>
      <w:pPr>
        <w:spacing w:before="118"/>
        <w:ind w:left="120" w:right="0" w:firstLine="0"/>
        <w:jc w:val="both"/>
        <w:rPr>
          <w:rFonts w:ascii="Arial"/>
          <w:b/>
          <w:sz w:val="20"/>
        </w:rPr>
      </w:pPr>
      <w:r>
        <w:rPr>
          <w:rFonts w:ascii="Arial"/>
          <w:b/>
          <w:sz w:val="20"/>
        </w:rPr>
        <w:t>Table CF-8: School Buildings</w:t>
      </w:r>
    </w:p>
    <w:p>
      <w:pPr>
        <w:pStyle w:val="BodyText"/>
        <w:spacing w:before="6"/>
        <w:rPr>
          <w:rFonts w:ascii="Arial"/>
          <w:b/>
          <w:sz w:val="10"/>
        </w:r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250"/>
        <w:gridCol w:w="1760"/>
        <w:gridCol w:w="1318"/>
        <w:gridCol w:w="1234"/>
        <w:gridCol w:w="1580"/>
      </w:tblGrid>
      <w:tr>
        <w:trPr>
          <w:trHeight w:val="700" w:hRule="atLeast"/>
        </w:trPr>
        <w:tc>
          <w:tcPr>
            <w:tcW w:w="3250" w:type="dxa"/>
            <w:shd w:val="clear" w:color="auto" w:fill="B8CCE3"/>
          </w:tcPr>
          <w:p>
            <w:pPr>
              <w:pStyle w:val="TableParagraph"/>
              <w:spacing w:before="0"/>
              <w:ind w:left="0"/>
              <w:rPr>
                <w:rFonts w:ascii="Times New Roman"/>
                <w:sz w:val="22"/>
              </w:rPr>
            </w:pPr>
          </w:p>
        </w:tc>
        <w:tc>
          <w:tcPr>
            <w:tcW w:w="1760" w:type="dxa"/>
            <w:shd w:val="clear" w:color="auto" w:fill="B8CCE3"/>
          </w:tcPr>
          <w:p>
            <w:pPr>
              <w:pStyle w:val="TableParagraph"/>
              <w:spacing w:before="119"/>
              <w:ind w:right="322"/>
              <w:rPr>
                <w:rFonts w:ascii="Arial"/>
                <w:b/>
                <w:sz w:val="20"/>
              </w:rPr>
            </w:pPr>
            <w:r>
              <w:rPr>
                <w:rFonts w:ascii="Arial"/>
                <w:b/>
                <w:sz w:val="20"/>
              </w:rPr>
              <w:t>Building Area (square feet)</w:t>
            </w:r>
          </w:p>
        </w:tc>
        <w:tc>
          <w:tcPr>
            <w:tcW w:w="1318" w:type="dxa"/>
            <w:shd w:val="clear" w:color="auto" w:fill="B8CCE3"/>
          </w:tcPr>
          <w:p>
            <w:pPr>
              <w:pStyle w:val="TableParagraph"/>
              <w:spacing w:before="119"/>
              <w:ind w:left="106" w:right="348"/>
              <w:rPr>
                <w:rFonts w:ascii="Arial"/>
                <w:b/>
                <w:sz w:val="20"/>
              </w:rPr>
            </w:pPr>
            <w:r>
              <w:rPr>
                <w:rFonts w:ascii="Arial"/>
                <w:b/>
                <w:sz w:val="20"/>
              </w:rPr>
              <w:t>Grounds (acres)</w:t>
            </w:r>
          </w:p>
        </w:tc>
        <w:tc>
          <w:tcPr>
            <w:tcW w:w="1234" w:type="dxa"/>
            <w:shd w:val="clear" w:color="auto" w:fill="B8CCE3"/>
          </w:tcPr>
          <w:p>
            <w:pPr>
              <w:pStyle w:val="TableParagraph"/>
              <w:spacing w:before="119"/>
              <w:ind w:left="106"/>
              <w:rPr>
                <w:rFonts w:ascii="Arial"/>
                <w:b/>
                <w:sz w:val="20"/>
              </w:rPr>
            </w:pPr>
            <w:r>
              <w:rPr>
                <w:rFonts w:ascii="Arial"/>
                <w:b/>
                <w:sz w:val="20"/>
              </w:rPr>
              <w:t>Main </w:t>
            </w:r>
            <w:r>
              <w:rPr>
                <w:rFonts w:ascii="Arial"/>
                <w:b/>
                <w:w w:val="95"/>
                <w:sz w:val="20"/>
              </w:rPr>
              <w:t>Buildings</w:t>
            </w:r>
          </w:p>
        </w:tc>
        <w:tc>
          <w:tcPr>
            <w:tcW w:w="1580" w:type="dxa"/>
            <w:shd w:val="clear" w:color="auto" w:fill="B8CCE3"/>
          </w:tcPr>
          <w:p>
            <w:pPr>
              <w:pStyle w:val="TableParagraph"/>
              <w:spacing w:before="4"/>
              <w:ind w:left="0"/>
              <w:rPr>
                <w:rFonts w:ascii="Arial"/>
                <w:b/>
                <w:sz w:val="20"/>
              </w:rPr>
            </w:pPr>
          </w:p>
          <w:p>
            <w:pPr>
              <w:pStyle w:val="TableParagraph"/>
              <w:spacing w:before="0"/>
              <w:ind w:left="105"/>
              <w:rPr>
                <w:rFonts w:ascii="Arial"/>
                <w:b/>
                <w:sz w:val="20"/>
              </w:rPr>
            </w:pPr>
            <w:r>
              <w:rPr>
                <w:rFonts w:ascii="Arial"/>
                <w:b/>
                <w:sz w:val="20"/>
              </w:rPr>
              <w:t>Classrooms</w:t>
            </w:r>
          </w:p>
        </w:tc>
      </w:tr>
      <w:tr>
        <w:trPr>
          <w:trHeight w:val="318" w:hRule="atLeast"/>
        </w:trPr>
        <w:tc>
          <w:tcPr>
            <w:tcW w:w="3250" w:type="dxa"/>
            <w:shd w:val="clear" w:color="auto" w:fill="D9D9D9"/>
          </w:tcPr>
          <w:p>
            <w:pPr>
              <w:pStyle w:val="TableParagraph"/>
              <w:spacing w:line="239" w:lineRule="exact"/>
              <w:ind w:left="4"/>
              <w:rPr>
                <w:sz w:val="22"/>
              </w:rPr>
            </w:pPr>
            <w:r>
              <w:rPr>
                <w:sz w:val="22"/>
              </w:rPr>
              <w:t>Richland School District</w:t>
            </w:r>
          </w:p>
        </w:tc>
        <w:tc>
          <w:tcPr>
            <w:tcW w:w="1760" w:type="dxa"/>
            <w:shd w:val="clear" w:color="auto" w:fill="D9D9D9"/>
          </w:tcPr>
          <w:p>
            <w:pPr>
              <w:pStyle w:val="TableParagraph"/>
              <w:spacing w:before="0"/>
              <w:ind w:left="0"/>
              <w:rPr>
                <w:rFonts w:ascii="Times New Roman"/>
                <w:sz w:val="22"/>
              </w:rPr>
            </w:pPr>
          </w:p>
        </w:tc>
        <w:tc>
          <w:tcPr>
            <w:tcW w:w="1318" w:type="dxa"/>
            <w:shd w:val="clear" w:color="auto" w:fill="D9D9D9"/>
          </w:tcPr>
          <w:p>
            <w:pPr>
              <w:pStyle w:val="TableParagraph"/>
              <w:spacing w:before="0"/>
              <w:ind w:left="0"/>
              <w:rPr>
                <w:rFonts w:ascii="Times New Roman"/>
                <w:sz w:val="22"/>
              </w:rPr>
            </w:pPr>
          </w:p>
        </w:tc>
        <w:tc>
          <w:tcPr>
            <w:tcW w:w="1234" w:type="dxa"/>
            <w:shd w:val="clear" w:color="auto" w:fill="D9D9D9"/>
          </w:tcPr>
          <w:p>
            <w:pPr>
              <w:pStyle w:val="TableParagraph"/>
              <w:spacing w:before="0"/>
              <w:ind w:left="0"/>
              <w:rPr>
                <w:rFonts w:ascii="Times New Roman"/>
                <w:sz w:val="22"/>
              </w:rPr>
            </w:pPr>
          </w:p>
        </w:tc>
        <w:tc>
          <w:tcPr>
            <w:tcW w:w="1580" w:type="dxa"/>
            <w:shd w:val="clear" w:color="auto" w:fill="D9D9D9"/>
          </w:tcPr>
          <w:p>
            <w:pPr>
              <w:pStyle w:val="TableParagraph"/>
              <w:spacing w:before="0"/>
              <w:ind w:left="0"/>
              <w:rPr>
                <w:rFonts w:ascii="Times New Roman"/>
                <w:sz w:val="22"/>
              </w:rPr>
            </w:pPr>
          </w:p>
        </w:tc>
      </w:tr>
      <w:tr>
        <w:trPr>
          <w:trHeight w:val="316" w:hRule="atLeast"/>
        </w:trPr>
        <w:tc>
          <w:tcPr>
            <w:tcW w:w="3250" w:type="dxa"/>
          </w:tcPr>
          <w:p>
            <w:pPr>
              <w:pStyle w:val="TableParagraph"/>
              <w:spacing w:line="237" w:lineRule="exact"/>
              <w:ind w:left="4"/>
              <w:rPr>
                <w:sz w:val="22"/>
              </w:rPr>
            </w:pPr>
            <w:r>
              <w:rPr>
                <w:sz w:val="22"/>
              </w:rPr>
              <w:t>Elementary Schools</w:t>
            </w:r>
          </w:p>
        </w:tc>
        <w:tc>
          <w:tcPr>
            <w:tcW w:w="1760" w:type="dxa"/>
          </w:tcPr>
          <w:p>
            <w:pPr>
              <w:pStyle w:val="TableParagraph"/>
              <w:spacing w:before="0"/>
              <w:ind w:left="0"/>
              <w:rPr>
                <w:rFonts w:ascii="Times New Roman"/>
                <w:sz w:val="22"/>
              </w:rPr>
            </w:pPr>
          </w:p>
        </w:tc>
        <w:tc>
          <w:tcPr>
            <w:tcW w:w="1318" w:type="dxa"/>
          </w:tcPr>
          <w:p>
            <w:pPr>
              <w:pStyle w:val="TableParagraph"/>
              <w:spacing w:before="0"/>
              <w:ind w:left="0"/>
              <w:rPr>
                <w:rFonts w:ascii="Times New Roman"/>
                <w:sz w:val="22"/>
              </w:rPr>
            </w:pPr>
          </w:p>
        </w:tc>
        <w:tc>
          <w:tcPr>
            <w:tcW w:w="1234" w:type="dxa"/>
          </w:tcPr>
          <w:p>
            <w:pPr>
              <w:pStyle w:val="TableParagraph"/>
              <w:spacing w:before="0"/>
              <w:ind w:left="0"/>
              <w:rPr>
                <w:rFonts w:ascii="Times New Roman"/>
                <w:sz w:val="22"/>
              </w:rPr>
            </w:pPr>
          </w:p>
        </w:tc>
        <w:tc>
          <w:tcPr>
            <w:tcW w:w="1580" w:type="dxa"/>
          </w:tcPr>
          <w:p>
            <w:pPr>
              <w:pStyle w:val="TableParagraph"/>
              <w:spacing w:before="0"/>
              <w:ind w:left="0"/>
              <w:rPr>
                <w:rFonts w:ascii="Times New Roman"/>
                <w:sz w:val="22"/>
              </w:rPr>
            </w:pPr>
          </w:p>
        </w:tc>
      </w:tr>
      <w:tr>
        <w:trPr>
          <w:trHeight w:val="318" w:hRule="atLeast"/>
        </w:trPr>
        <w:tc>
          <w:tcPr>
            <w:tcW w:w="3250" w:type="dxa"/>
          </w:tcPr>
          <w:p>
            <w:pPr>
              <w:pStyle w:val="TableParagraph"/>
              <w:spacing w:line="239" w:lineRule="exact"/>
              <w:ind w:left="724"/>
              <w:rPr>
                <w:sz w:val="22"/>
              </w:rPr>
            </w:pPr>
            <w:r>
              <w:rPr>
                <w:sz w:val="22"/>
              </w:rPr>
              <w:t>Badger Mountain</w:t>
            </w:r>
          </w:p>
        </w:tc>
        <w:tc>
          <w:tcPr>
            <w:tcW w:w="1760" w:type="dxa"/>
          </w:tcPr>
          <w:p>
            <w:pPr>
              <w:pStyle w:val="TableParagraph"/>
              <w:spacing w:line="239" w:lineRule="exact"/>
              <w:rPr>
                <w:sz w:val="22"/>
              </w:rPr>
            </w:pPr>
            <w:r>
              <w:rPr>
                <w:sz w:val="22"/>
              </w:rPr>
              <w:t>48,371</w:t>
            </w:r>
          </w:p>
        </w:tc>
        <w:tc>
          <w:tcPr>
            <w:tcW w:w="1318" w:type="dxa"/>
          </w:tcPr>
          <w:p>
            <w:pPr>
              <w:pStyle w:val="TableParagraph"/>
              <w:spacing w:line="239" w:lineRule="exact"/>
              <w:ind w:left="106"/>
              <w:rPr>
                <w:sz w:val="22"/>
              </w:rPr>
            </w:pPr>
            <w:r>
              <w:rPr>
                <w:sz w:val="22"/>
              </w:rPr>
              <w:t>15</w:t>
            </w:r>
          </w:p>
        </w:tc>
        <w:tc>
          <w:tcPr>
            <w:tcW w:w="1234" w:type="dxa"/>
          </w:tcPr>
          <w:p>
            <w:pPr>
              <w:pStyle w:val="TableParagraph"/>
              <w:spacing w:line="239" w:lineRule="exact"/>
              <w:ind w:left="106"/>
              <w:rPr>
                <w:sz w:val="22"/>
              </w:rPr>
            </w:pPr>
            <w:r>
              <w:rPr>
                <w:w w:val="100"/>
                <w:sz w:val="22"/>
              </w:rPr>
              <w:t>1</w:t>
            </w:r>
          </w:p>
        </w:tc>
        <w:tc>
          <w:tcPr>
            <w:tcW w:w="1580" w:type="dxa"/>
          </w:tcPr>
          <w:p>
            <w:pPr>
              <w:pStyle w:val="TableParagraph"/>
              <w:spacing w:line="239" w:lineRule="exact"/>
              <w:ind w:left="105"/>
              <w:rPr>
                <w:sz w:val="22"/>
              </w:rPr>
            </w:pPr>
            <w:r>
              <w:rPr>
                <w:sz w:val="22"/>
              </w:rPr>
              <w:t>25</w:t>
            </w:r>
          </w:p>
        </w:tc>
      </w:tr>
      <w:tr>
        <w:trPr>
          <w:trHeight w:val="318" w:hRule="atLeast"/>
        </w:trPr>
        <w:tc>
          <w:tcPr>
            <w:tcW w:w="3250" w:type="dxa"/>
          </w:tcPr>
          <w:p>
            <w:pPr>
              <w:pStyle w:val="TableParagraph"/>
              <w:spacing w:line="239" w:lineRule="exact"/>
              <w:ind w:left="724"/>
              <w:rPr>
                <w:sz w:val="22"/>
              </w:rPr>
            </w:pPr>
            <w:r>
              <w:rPr>
                <w:sz w:val="22"/>
              </w:rPr>
              <w:t>Jason Lee</w:t>
            </w:r>
          </w:p>
        </w:tc>
        <w:tc>
          <w:tcPr>
            <w:tcW w:w="1760" w:type="dxa"/>
          </w:tcPr>
          <w:p>
            <w:pPr>
              <w:pStyle w:val="TableParagraph"/>
              <w:spacing w:line="239" w:lineRule="exact"/>
              <w:rPr>
                <w:sz w:val="22"/>
              </w:rPr>
            </w:pPr>
            <w:r>
              <w:rPr>
                <w:sz w:val="22"/>
              </w:rPr>
              <w:t>78,905</w:t>
            </w:r>
          </w:p>
        </w:tc>
        <w:tc>
          <w:tcPr>
            <w:tcW w:w="1318" w:type="dxa"/>
          </w:tcPr>
          <w:p>
            <w:pPr>
              <w:pStyle w:val="TableParagraph"/>
              <w:spacing w:line="239" w:lineRule="exact"/>
              <w:ind w:left="106"/>
              <w:rPr>
                <w:sz w:val="22"/>
              </w:rPr>
            </w:pPr>
            <w:r>
              <w:rPr>
                <w:sz w:val="22"/>
              </w:rPr>
              <w:t>17</w:t>
            </w:r>
          </w:p>
        </w:tc>
        <w:tc>
          <w:tcPr>
            <w:tcW w:w="1234" w:type="dxa"/>
          </w:tcPr>
          <w:p>
            <w:pPr>
              <w:pStyle w:val="TableParagraph"/>
              <w:spacing w:line="239" w:lineRule="exact"/>
              <w:ind w:left="106"/>
              <w:rPr>
                <w:sz w:val="22"/>
              </w:rPr>
            </w:pPr>
            <w:r>
              <w:rPr>
                <w:w w:val="100"/>
                <w:sz w:val="22"/>
              </w:rPr>
              <w:t>1</w:t>
            </w:r>
          </w:p>
        </w:tc>
        <w:tc>
          <w:tcPr>
            <w:tcW w:w="1580" w:type="dxa"/>
          </w:tcPr>
          <w:p>
            <w:pPr>
              <w:pStyle w:val="TableParagraph"/>
              <w:spacing w:line="239" w:lineRule="exact"/>
              <w:ind w:left="105"/>
              <w:rPr>
                <w:sz w:val="22"/>
              </w:rPr>
            </w:pPr>
            <w:r>
              <w:rPr>
                <w:sz w:val="22"/>
              </w:rPr>
              <w:t>28</w:t>
            </w:r>
          </w:p>
        </w:tc>
      </w:tr>
      <w:tr>
        <w:trPr>
          <w:trHeight w:val="316" w:hRule="atLeast"/>
        </w:trPr>
        <w:tc>
          <w:tcPr>
            <w:tcW w:w="3250" w:type="dxa"/>
          </w:tcPr>
          <w:p>
            <w:pPr>
              <w:pStyle w:val="TableParagraph"/>
              <w:spacing w:line="237" w:lineRule="exact"/>
              <w:ind w:left="724"/>
              <w:rPr>
                <w:sz w:val="22"/>
              </w:rPr>
            </w:pPr>
            <w:r>
              <w:rPr>
                <w:sz w:val="22"/>
              </w:rPr>
              <w:t>Jefferson</w:t>
            </w:r>
          </w:p>
        </w:tc>
        <w:tc>
          <w:tcPr>
            <w:tcW w:w="1760" w:type="dxa"/>
          </w:tcPr>
          <w:p>
            <w:pPr>
              <w:pStyle w:val="TableParagraph"/>
              <w:spacing w:line="237" w:lineRule="exact"/>
              <w:rPr>
                <w:sz w:val="22"/>
              </w:rPr>
            </w:pPr>
            <w:r>
              <w:rPr>
                <w:sz w:val="22"/>
              </w:rPr>
              <w:t>50,882</w:t>
            </w:r>
          </w:p>
        </w:tc>
        <w:tc>
          <w:tcPr>
            <w:tcW w:w="1318" w:type="dxa"/>
          </w:tcPr>
          <w:p>
            <w:pPr>
              <w:pStyle w:val="TableParagraph"/>
              <w:spacing w:line="237" w:lineRule="exact"/>
              <w:ind w:left="106"/>
              <w:rPr>
                <w:sz w:val="22"/>
              </w:rPr>
            </w:pPr>
            <w:r>
              <w:rPr>
                <w:sz w:val="22"/>
              </w:rPr>
              <w:t>12</w:t>
            </w:r>
          </w:p>
        </w:tc>
        <w:tc>
          <w:tcPr>
            <w:tcW w:w="1234" w:type="dxa"/>
          </w:tcPr>
          <w:p>
            <w:pPr>
              <w:pStyle w:val="TableParagraph"/>
              <w:spacing w:line="237" w:lineRule="exact"/>
              <w:ind w:left="106"/>
              <w:rPr>
                <w:sz w:val="22"/>
              </w:rPr>
            </w:pPr>
            <w:r>
              <w:rPr>
                <w:w w:val="100"/>
                <w:sz w:val="22"/>
              </w:rPr>
              <w:t>2</w:t>
            </w:r>
          </w:p>
        </w:tc>
        <w:tc>
          <w:tcPr>
            <w:tcW w:w="1580" w:type="dxa"/>
          </w:tcPr>
          <w:p>
            <w:pPr>
              <w:pStyle w:val="TableParagraph"/>
              <w:spacing w:line="237" w:lineRule="exact"/>
              <w:ind w:left="105"/>
              <w:rPr>
                <w:sz w:val="22"/>
              </w:rPr>
            </w:pPr>
            <w:r>
              <w:rPr>
                <w:sz w:val="22"/>
              </w:rPr>
              <w:t>24</w:t>
            </w:r>
          </w:p>
        </w:tc>
      </w:tr>
      <w:tr>
        <w:trPr>
          <w:trHeight w:val="318" w:hRule="atLeast"/>
        </w:trPr>
        <w:tc>
          <w:tcPr>
            <w:tcW w:w="3250" w:type="dxa"/>
          </w:tcPr>
          <w:p>
            <w:pPr>
              <w:pStyle w:val="TableParagraph"/>
              <w:spacing w:line="239" w:lineRule="exact"/>
              <w:ind w:left="724"/>
              <w:rPr>
                <w:sz w:val="22"/>
              </w:rPr>
            </w:pPr>
            <w:r>
              <w:rPr>
                <w:sz w:val="22"/>
              </w:rPr>
              <w:t>Lewis and Clark</w:t>
            </w:r>
          </w:p>
        </w:tc>
        <w:tc>
          <w:tcPr>
            <w:tcW w:w="1760" w:type="dxa"/>
          </w:tcPr>
          <w:p>
            <w:pPr>
              <w:pStyle w:val="TableParagraph"/>
              <w:spacing w:line="239" w:lineRule="exact"/>
              <w:rPr>
                <w:sz w:val="22"/>
              </w:rPr>
            </w:pPr>
            <w:r>
              <w:rPr>
                <w:sz w:val="22"/>
              </w:rPr>
              <w:t>43,412</w:t>
            </w:r>
          </w:p>
        </w:tc>
        <w:tc>
          <w:tcPr>
            <w:tcW w:w="1318" w:type="dxa"/>
          </w:tcPr>
          <w:p>
            <w:pPr>
              <w:pStyle w:val="TableParagraph"/>
              <w:spacing w:line="239" w:lineRule="exact"/>
              <w:ind w:left="106"/>
              <w:rPr>
                <w:sz w:val="22"/>
              </w:rPr>
            </w:pPr>
            <w:r>
              <w:rPr>
                <w:sz w:val="22"/>
              </w:rPr>
              <w:t>15</w:t>
            </w:r>
          </w:p>
        </w:tc>
        <w:tc>
          <w:tcPr>
            <w:tcW w:w="1234" w:type="dxa"/>
          </w:tcPr>
          <w:p>
            <w:pPr>
              <w:pStyle w:val="TableParagraph"/>
              <w:spacing w:line="239" w:lineRule="exact"/>
              <w:ind w:left="106"/>
              <w:rPr>
                <w:sz w:val="22"/>
              </w:rPr>
            </w:pPr>
            <w:r>
              <w:rPr>
                <w:w w:val="100"/>
                <w:sz w:val="22"/>
              </w:rPr>
              <w:t>1</w:t>
            </w:r>
          </w:p>
        </w:tc>
        <w:tc>
          <w:tcPr>
            <w:tcW w:w="1580" w:type="dxa"/>
          </w:tcPr>
          <w:p>
            <w:pPr>
              <w:pStyle w:val="TableParagraph"/>
              <w:spacing w:line="239" w:lineRule="exact"/>
              <w:ind w:left="105"/>
              <w:rPr>
                <w:sz w:val="22"/>
              </w:rPr>
            </w:pPr>
            <w:r>
              <w:rPr>
                <w:sz w:val="22"/>
              </w:rPr>
              <w:t>20</w:t>
            </w:r>
          </w:p>
        </w:tc>
      </w:tr>
      <w:tr>
        <w:trPr>
          <w:trHeight w:val="316" w:hRule="atLeast"/>
        </w:trPr>
        <w:tc>
          <w:tcPr>
            <w:tcW w:w="3250" w:type="dxa"/>
          </w:tcPr>
          <w:p>
            <w:pPr>
              <w:pStyle w:val="TableParagraph"/>
              <w:spacing w:line="237" w:lineRule="exact"/>
              <w:ind w:left="724"/>
              <w:rPr>
                <w:sz w:val="22"/>
              </w:rPr>
            </w:pPr>
            <w:r>
              <w:rPr>
                <w:sz w:val="22"/>
              </w:rPr>
              <w:t>Marcus Whitman</w:t>
            </w:r>
          </w:p>
        </w:tc>
        <w:tc>
          <w:tcPr>
            <w:tcW w:w="1760" w:type="dxa"/>
          </w:tcPr>
          <w:p>
            <w:pPr>
              <w:pStyle w:val="TableParagraph"/>
              <w:spacing w:line="237" w:lineRule="exact"/>
              <w:rPr>
                <w:sz w:val="22"/>
              </w:rPr>
            </w:pPr>
            <w:r>
              <w:rPr>
                <w:sz w:val="22"/>
              </w:rPr>
              <w:t>43,312</w:t>
            </w:r>
          </w:p>
        </w:tc>
        <w:tc>
          <w:tcPr>
            <w:tcW w:w="1318" w:type="dxa"/>
          </w:tcPr>
          <w:p>
            <w:pPr>
              <w:pStyle w:val="TableParagraph"/>
              <w:spacing w:line="237" w:lineRule="exact"/>
              <w:ind w:left="106"/>
              <w:rPr>
                <w:sz w:val="22"/>
              </w:rPr>
            </w:pPr>
            <w:r>
              <w:rPr>
                <w:sz w:val="22"/>
              </w:rPr>
              <w:t>13</w:t>
            </w:r>
          </w:p>
        </w:tc>
        <w:tc>
          <w:tcPr>
            <w:tcW w:w="1234" w:type="dxa"/>
          </w:tcPr>
          <w:p>
            <w:pPr>
              <w:pStyle w:val="TableParagraph"/>
              <w:spacing w:line="237" w:lineRule="exact"/>
              <w:ind w:left="106"/>
              <w:rPr>
                <w:sz w:val="22"/>
              </w:rPr>
            </w:pPr>
            <w:r>
              <w:rPr>
                <w:w w:val="100"/>
                <w:sz w:val="22"/>
              </w:rPr>
              <w:t>1</w:t>
            </w:r>
          </w:p>
        </w:tc>
        <w:tc>
          <w:tcPr>
            <w:tcW w:w="1580" w:type="dxa"/>
          </w:tcPr>
          <w:p>
            <w:pPr>
              <w:pStyle w:val="TableParagraph"/>
              <w:spacing w:line="237" w:lineRule="exact"/>
              <w:ind w:left="105"/>
              <w:rPr>
                <w:sz w:val="22"/>
              </w:rPr>
            </w:pPr>
            <w:r>
              <w:rPr>
                <w:sz w:val="22"/>
              </w:rPr>
              <w:t>20</w:t>
            </w:r>
          </w:p>
        </w:tc>
      </w:tr>
      <w:tr>
        <w:trPr>
          <w:trHeight w:val="318" w:hRule="atLeast"/>
        </w:trPr>
        <w:tc>
          <w:tcPr>
            <w:tcW w:w="3250" w:type="dxa"/>
          </w:tcPr>
          <w:p>
            <w:pPr>
              <w:pStyle w:val="TableParagraph"/>
              <w:spacing w:line="237" w:lineRule="exact" w:before="62"/>
              <w:ind w:left="724"/>
              <w:rPr>
                <w:sz w:val="22"/>
              </w:rPr>
            </w:pPr>
            <w:r>
              <w:rPr>
                <w:sz w:val="22"/>
              </w:rPr>
              <w:t>Orchard</w:t>
            </w:r>
          </w:p>
        </w:tc>
        <w:tc>
          <w:tcPr>
            <w:tcW w:w="1760" w:type="dxa"/>
          </w:tcPr>
          <w:p>
            <w:pPr>
              <w:pStyle w:val="TableParagraph"/>
              <w:spacing w:line="237" w:lineRule="exact" w:before="62"/>
              <w:rPr>
                <w:sz w:val="22"/>
              </w:rPr>
            </w:pPr>
            <w:r>
              <w:rPr>
                <w:sz w:val="22"/>
              </w:rPr>
              <w:t>72,000</w:t>
            </w:r>
          </w:p>
        </w:tc>
        <w:tc>
          <w:tcPr>
            <w:tcW w:w="1318" w:type="dxa"/>
          </w:tcPr>
          <w:p>
            <w:pPr>
              <w:pStyle w:val="TableParagraph"/>
              <w:spacing w:line="237" w:lineRule="exact" w:before="62"/>
              <w:ind w:left="106"/>
              <w:rPr>
                <w:sz w:val="22"/>
              </w:rPr>
            </w:pPr>
            <w:r>
              <w:rPr>
                <w:sz w:val="22"/>
              </w:rPr>
              <w:t>12.33</w:t>
            </w:r>
          </w:p>
        </w:tc>
        <w:tc>
          <w:tcPr>
            <w:tcW w:w="1234" w:type="dxa"/>
          </w:tcPr>
          <w:p>
            <w:pPr>
              <w:pStyle w:val="TableParagraph"/>
              <w:spacing w:line="237" w:lineRule="exact" w:before="62"/>
              <w:ind w:left="106"/>
              <w:rPr>
                <w:sz w:val="22"/>
              </w:rPr>
            </w:pPr>
            <w:r>
              <w:rPr>
                <w:w w:val="100"/>
                <w:sz w:val="22"/>
              </w:rPr>
              <w:t>1</w:t>
            </w:r>
          </w:p>
        </w:tc>
        <w:tc>
          <w:tcPr>
            <w:tcW w:w="1580" w:type="dxa"/>
          </w:tcPr>
          <w:p>
            <w:pPr>
              <w:pStyle w:val="TableParagraph"/>
              <w:spacing w:line="237" w:lineRule="exact" w:before="62"/>
              <w:ind w:left="105"/>
              <w:rPr>
                <w:sz w:val="22"/>
              </w:rPr>
            </w:pPr>
            <w:r>
              <w:rPr>
                <w:sz w:val="22"/>
              </w:rPr>
              <w:t>27</w:t>
            </w:r>
          </w:p>
        </w:tc>
      </w:tr>
      <w:tr>
        <w:trPr>
          <w:trHeight w:val="318" w:hRule="atLeast"/>
        </w:trPr>
        <w:tc>
          <w:tcPr>
            <w:tcW w:w="3250" w:type="dxa"/>
          </w:tcPr>
          <w:p>
            <w:pPr>
              <w:pStyle w:val="TableParagraph"/>
              <w:spacing w:line="239" w:lineRule="exact"/>
              <w:ind w:left="724"/>
              <w:rPr>
                <w:sz w:val="22"/>
              </w:rPr>
            </w:pPr>
            <w:r>
              <w:rPr>
                <w:sz w:val="22"/>
              </w:rPr>
              <w:t>Sacajawea</w:t>
            </w:r>
          </w:p>
        </w:tc>
        <w:tc>
          <w:tcPr>
            <w:tcW w:w="1760" w:type="dxa"/>
          </w:tcPr>
          <w:p>
            <w:pPr>
              <w:pStyle w:val="TableParagraph"/>
              <w:spacing w:line="239" w:lineRule="exact"/>
              <w:rPr>
                <w:sz w:val="22"/>
              </w:rPr>
            </w:pPr>
            <w:r>
              <w:rPr>
                <w:sz w:val="22"/>
              </w:rPr>
              <w:t>44,100</w:t>
            </w:r>
          </w:p>
        </w:tc>
        <w:tc>
          <w:tcPr>
            <w:tcW w:w="1318" w:type="dxa"/>
          </w:tcPr>
          <w:p>
            <w:pPr>
              <w:pStyle w:val="TableParagraph"/>
              <w:spacing w:line="239" w:lineRule="exact"/>
              <w:ind w:left="106"/>
              <w:rPr>
                <w:sz w:val="22"/>
              </w:rPr>
            </w:pPr>
            <w:r>
              <w:rPr>
                <w:sz w:val="22"/>
              </w:rPr>
              <w:t>16</w:t>
            </w:r>
          </w:p>
        </w:tc>
        <w:tc>
          <w:tcPr>
            <w:tcW w:w="1234" w:type="dxa"/>
          </w:tcPr>
          <w:p>
            <w:pPr>
              <w:pStyle w:val="TableParagraph"/>
              <w:spacing w:line="239" w:lineRule="exact"/>
              <w:ind w:left="106"/>
              <w:rPr>
                <w:sz w:val="22"/>
              </w:rPr>
            </w:pPr>
            <w:r>
              <w:rPr>
                <w:w w:val="100"/>
                <w:sz w:val="22"/>
              </w:rPr>
              <w:t>1</w:t>
            </w:r>
          </w:p>
        </w:tc>
        <w:tc>
          <w:tcPr>
            <w:tcW w:w="1580" w:type="dxa"/>
          </w:tcPr>
          <w:p>
            <w:pPr>
              <w:pStyle w:val="TableParagraph"/>
              <w:spacing w:line="239" w:lineRule="exact"/>
              <w:ind w:left="105"/>
              <w:rPr>
                <w:sz w:val="22"/>
              </w:rPr>
            </w:pPr>
            <w:r>
              <w:rPr>
                <w:sz w:val="22"/>
              </w:rPr>
              <w:t>21</w:t>
            </w:r>
          </w:p>
        </w:tc>
      </w:tr>
      <w:tr>
        <w:trPr>
          <w:trHeight w:val="316" w:hRule="atLeast"/>
        </w:trPr>
        <w:tc>
          <w:tcPr>
            <w:tcW w:w="3250" w:type="dxa"/>
          </w:tcPr>
          <w:p>
            <w:pPr>
              <w:pStyle w:val="TableParagraph"/>
              <w:spacing w:line="237" w:lineRule="exact"/>
              <w:ind w:left="724"/>
              <w:rPr>
                <w:sz w:val="22"/>
              </w:rPr>
            </w:pPr>
            <w:r>
              <w:rPr>
                <w:sz w:val="22"/>
              </w:rPr>
              <w:t>Tapteal</w:t>
            </w:r>
          </w:p>
        </w:tc>
        <w:tc>
          <w:tcPr>
            <w:tcW w:w="1760" w:type="dxa"/>
          </w:tcPr>
          <w:p>
            <w:pPr>
              <w:pStyle w:val="TableParagraph"/>
              <w:spacing w:line="237" w:lineRule="exact"/>
              <w:rPr>
                <w:sz w:val="22"/>
              </w:rPr>
            </w:pPr>
            <w:r>
              <w:rPr>
                <w:sz w:val="22"/>
              </w:rPr>
              <w:t>48,371</w:t>
            </w:r>
          </w:p>
        </w:tc>
        <w:tc>
          <w:tcPr>
            <w:tcW w:w="1318" w:type="dxa"/>
          </w:tcPr>
          <w:p>
            <w:pPr>
              <w:pStyle w:val="TableParagraph"/>
              <w:spacing w:line="237" w:lineRule="exact"/>
              <w:ind w:left="106"/>
              <w:rPr>
                <w:sz w:val="22"/>
              </w:rPr>
            </w:pPr>
            <w:r>
              <w:rPr>
                <w:sz w:val="22"/>
              </w:rPr>
              <w:t>15</w:t>
            </w:r>
          </w:p>
        </w:tc>
        <w:tc>
          <w:tcPr>
            <w:tcW w:w="1234" w:type="dxa"/>
          </w:tcPr>
          <w:p>
            <w:pPr>
              <w:pStyle w:val="TableParagraph"/>
              <w:spacing w:line="237" w:lineRule="exact"/>
              <w:ind w:left="106"/>
              <w:rPr>
                <w:sz w:val="22"/>
              </w:rPr>
            </w:pPr>
            <w:r>
              <w:rPr>
                <w:w w:val="100"/>
                <w:sz w:val="22"/>
              </w:rPr>
              <w:t>1</w:t>
            </w:r>
          </w:p>
        </w:tc>
        <w:tc>
          <w:tcPr>
            <w:tcW w:w="1580" w:type="dxa"/>
          </w:tcPr>
          <w:p>
            <w:pPr>
              <w:pStyle w:val="TableParagraph"/>
              <w:spacing w:line="237" w:lineRule="exact"/>
              <w:ind w:left="105"/>
              <w:rPr>
                <w:sz w:val="22"/>
              </w:rPr>
            </w:pPr>
            <w:r>
              <w:rPr>
                <w:sz w:val="22"/>
              </w:rPr>
              <w:t>25</w:t>
            </w:r>
          </w:p>
        </w:tc>
      </w:tr>
      <w:tr>
        <w:trPr>
          <w:trHeight w:val="318" w:hRule="atLeast"/>
        </w:trPr>
        <w:tc>
          <w:tcPr>
            <w:tcW w:w="3250" w:type="dxa"/>
          </w:tcPr>
          <w:p>
            <w:pPr>
              <w:pStyle w:val="TableParagraph"/>
              <w:spacing w:line="237" w:lineRule="exact" w:before="62"/>
              <w:ind w:left="724"/>
              <w:rPr>
                <w:sz w:val="22"/>
              </w:rPr>
            </w:pPr>
            <w:r>
              <w:rPr>
                <w:sz w:val="22"/>
              </w:rPr>
              <w:t>White Bluffs</w:t>
            </w:r>
          </w:p>
        </w:tc>
        <w:tc>
          <w:tcPr>
            <w:tcW w:w="1760" w:type="dxa"/>
          </w:tcPr>
          <w:p>
            <w:pPr>
              <w:pStyle w:val="TableParagraph"/>
              <w:spacing w:line="237" w:lineRule="exact" w:before="62"/>
              <w:rPr>
                <w:sz w:val="22"/>
              </w:rPr>
            </w:pPr>
            <w:r>
              <w:rPr>
                <w:sz w:val="22"/>
              </w:rPr>
              <w:t>72,626</w:t>
            </w:r>
          </w:p>
        </w:tc>
        <w:tc>
          <w:tcPr>
            <w:tcW w:w="1318" w:type="dxa"/>
          </w:tcPr>
          <w:p>
            <w:pPr>
              <w:pStyle w:val="TableParagraph"/>
              <w:spacing w:line="237" w:lineRule="exact" w:before="62"/>
              <w:ind w:left="106"/>
              <w:rPr>
                <w:sz w:val="22"/>
              </w:rPr>
            </w:pPr>
            <w:r>
              <w:rPr>
                <w:sz w:val="22"/>
              </w:rPr>
              <w:t>15</w:t>
            </w:r>
          </w:p>
        </w:tc>
        <w:tc>
          <w:tcPr>
            <w:tcW w:w="1234" w:type="dxa"/>
          </w:tcPr>
          <w:p>
            <w:pPr>
              <w:pStyle w:val="TableParagraph"/>
              <w:spacing w:line="237" w:lineRule="exact" w:before="62"/>
              <w:ind w:left="106"/>
              <w:rPr>
                <w:sz w:val="22"/>
              </w:rPr>
            </w:pPr>
            <w:r>
              <w:rPr>
                <w:w w:val="100"/>
                <w:sz w:val="22"/>
              </w:rPr>
              <w:t>1</w:t>
            </w:r>
          </w:p>
        </w:tc>
        <w:tc>
          <w:tcPr>
            <w:tcW w:w="1580" w:type="dxa"/>
          </w:tcPr>
          <w:p>
            <w:pPr>
              <w:pStyle w:val="TableParagraph"/>
              <w:spacing w:before="0"/>
              <w:ind w:left="0"/>
              <w:rPr>
                <w:rFonts w:ascii="Times New Roman"/>
                <w:sz w:val="22"/>
              </w:rPr>
            </w:pPr>
          </w:p>
        </w:tc>
      </w:tr>
      <w:tr>
        <w:trPr>
          <w:trHeight w:val="318" w:hRule="atLeast"/>
        </w:trPr>
        <w:tc>
          <w:tcPr>
            <w:tcW w:w="3250" w:type="dxa"/>
          </w:tcPr>
          <w:p>
            <w:pPr>
              <w:pStyle w:val="TableParagraph"/>
              <w:spacing w:line="239" w:lineRule="exact"/>
              <w:ind w:left="724"/>
              <w:rPr>
                <w:sz w:val="22"/>
              </w:rPr>
            </w:pPr>
            <w:r>
              <w:rPr>
                <w:sz w:val="22"/>
              </w:rPr>
              <w:t>William Wiley</w:t>
            </w:r>
          </w:p>
        </w:tc>
        <w:tc>
          <w:tcPr>
            <w:tcW w:w="1760" w:type="dxa"/>
          </w:tcPr>
          <w:p>
            <w:pPr>
              <w:pStyle w:val="TableParagraph"/>
              <w:spacing w:line="239" w:lineRule="exact"/>
              <w:rPr>
                <w:sz w:val="22"/>
              </w:rPr>
            </w:pPr>
            <w:r>
              <w:rPr>
                <w:sz w:val="22"/>
              </w:rPr>
              <w:t>49,138</w:t>
            </w:r>
          </w:p>
        </w:tc>
        <w:tc>
          <w:tcPr>
            <w:tcW w:w="1318" w:type="dxa"/>
          </w:tcPr>
          <w:p>
            <w:pPr>
              <w:pStyle w:val="TableParagraph"/>
              <w:spacing w:line="239" w:lineRule="exact"/>
              <w:ind w:left="106"/>
              <w:rPr>
                <w:sz w:val="22"/>
              </w:rPr>
            </w:pPr>
            <w:r>
              <w:rPr>
                <w:sz w:val="22"/>
              </w:rPr>
              <w:t>13.5</w:t>
            </w:r>
          </w:p>
        </w:tc>
        <w:tc>
          <w:tcPr>
            <w:tcW w:w="1234" w:type="dxa"/>
          </w:tcPr>
          <w:p>
            <w:pPr>
              <w:pStyle w:val="TableParagraph"/>
              <w:spacing w:line="239" w:lineRule="exact"/>
              <w:ind w:left="106"/>
              <w:rPr>
                <w:sz w:val="22"/>
              </w:rPr>
            </w:pPr>
            <w:r>
              <w:rPr>
                <w:w w:val="100"/>
                <w:sz w:val="22"/>
              </w:rPr>
              <w:t>1</w:t>
            </w:r>
          </w:p>
        </w:tc>
        <w:tc>
          <w:tcPr>
            <w:tcW w:w="1580" w:type="dxa"/>
          </w:tcPr>
          <w:p>
            <w:pPr>
              <w:pStyle w:val="TableParagraph"/>
              <w:spacing w:line="239" w:lineRule="exact"/>
              <w:ind w:left="105"/>
              <w:rPr>
                <w:sz w:val="22"/>
              </w:rPr>
            </w:pPr>
            <w:r>
              <w:rPr>
                <w:sz w:val="22"/>
              </w:rPr>
              <w:t>25</w:t>
            </w:r>
          </w:p>
        </w:tc>
      </w:tr>
      <w:tr>
        <w:trPr>
          <w:trHeight w:val="316" w:hRule="atLeast"/>
        </w:trPr>
        <w:tc>
          <w:tcPr>
            <w:tcW w:w="3250" w:type="dxa"/>
          </w:tcPr>
          <w:p>
            <w:pPr>
              <w:pStyle w:val="TableParagraph"/>
              <w:spacing w:line="237" w:lineRule="exact"/>
              <w:ind w:left="724"/>
              <w:rPr>
                <w:sz w:val="22"/>
              </w:rPr>
            </w:pPr>
            <w:r>
              <w:rPr>
                <w:sz w:val="22"/>
              </w:rPr>
              <w:t>Amon Creek Elementary</w:t>
            </w:r>
          </w:p>
        </w:tc>
        <w:tc>
          <w:tcPr>
            <w:tcW w:w="1760" w:type="dxa"/>
          </w:tcPr>
          <w:p>
            <w:pPr>
              <w:pStyle w:val="TableParagraph"/>
              <w:spacing w:line="237" w:lineRule="exact"/>
              <w:rPr>
                <w:sz w:val="22"/>
              </w:rPr>
            </w:pPr>
            <w:r>
              <w:rPr>
                <w:sz w:val="22"/>
              </w:rPr>
              <w:t>76,218</w:t>
            </w:r>
          </w:p>
        </w:tc>
        <w:tc>
          <w:tcPr>
            <w:tcW w:w="1318" w:type="dxa"/>
          </w:tcPr>
          <w:p>
            <w:pPr>
              <w:pStyle w:val="TableParagraph"/>
              <w:spacing w:line="237" w:lineRule="exact"/>
              <w:ind w:left="106"/>
              <w:rPr>
                <w:sz w:val="22"/>
              </w:rPr>
            </w:pPr>
            <w:r>
              <w:rPr>
                <w:sz w:val="22"/>
              </w:rPr>
              <w:t>≈ 13</w:t>
            </w:r>
          </w:p>
        </w:tc>
        <w:tc>
          <w:tcPr>
            <w:tcW w:w="1234" w:type="dxa"/>
          </w:tcPr>
          <w:p>
            <w:pPr>
              <w:pStyle w:val="TableParagraph"/>
              <w:spacing w:line="237" w:lineRule="exact"/>
              <w:ind w:left="106"/>
              <w:rPr>
                <w:sz w:val="22"/>
              </w:rPr>
            </w:pPr>
            <w:r>
              <w:rPr>
                <w:w w:val="100"/>
                <w:sz w:val="22"/>
              </w:rPr>
              <w:t>1</w:t>
            </w:r>
          </w:p>
        </w:tc>
        <w:tc>
          <w:tcPr>
            <w:tcW w:w="1580" w:type="dxa"/>
          </w:tcPr>
          <w:p>
            <w:pPr>
              <w:pStyle w:val="TableParagraph"/>
              <w:spacing w:line="237" w:lineRule="exact"/>
              <w:ind w:left="105"/>
              <w:rPr>
                <w:sz w:val="22"/>
              </w:rPr>
            </w:pPr>
            <w:r>
              <w:rPr>
                <w:sz w:val="22"/>
              </w:rPr>
              <w:t>38</w:t>
            </w:r>
          </w:p>
        </w:tc>
      </w:tr>
      <w:tr>
        <w:trPr>
          <w:trHeight w:val="318" w:hRule="atLeast"/>
        </w:trPr>
        <w:tc>
          <w:tcPr>
            <w:tcW w:w="3250" w:type="dxa"/>
          </w:tcPr>
          <w:p>
            <w:pPr>
              <w:pStyle w:val="TableParagraph"/>
              <w:spacing w:line="239" w:lineRule="exact"/>
              <w:ind w:left="4"/>
              <w:rPr>
                <w:sz w:val="22"/>
              </w:rPr>
            </w:pPr>
            <w:r>
              <w:rPr>
                <w:sz w:val="22"/>
              </w:rPr>
              <w:t>Middle Schools</w:t>
            </w:r>
          </w:p>
        </w:tc>
        <w:tc>
          <w:tcPr>
            <w:tcW w:w="1760" w:type="dxa"/>
          </w:tcPr>
          <w:p>
            <w:pPr>
              <w:pStyle w:val="TableParagraph"/>
              <w:spacing w:before="0"/>
              <w:ind w:left="0"/>
              <w:rPr>
                <w:rFonts w:ascii="Times New Roman"/>
                <w:sz w:val="22"/>
              </w:rPr>
            </w:pPr>
          </w:p>
        </w:tc>
        <w:tc>
          <w:tcPr>
            <w:tcW w:w="1318" w:type="dxa"/>
          </w:tcPr>
          <w:p>
            <w:pPr>
              <w:pStyle w:val="TableParagraph"/>
              <w:spacing w:before="0"/>
              <w:ind w:left="0"/>
              <w:rPr>
                <w:rFonts w:ascii="Times New Roman"/>
                <w:sz w:val="22"/>
              </w:rPr>
            </w:pPr>
          </w:p>
        </w:tc>
        <w:tc>
          <w:tcPr>
            <w:tcW w:w="1234" w:type="dxa"/>
          </w:tcPr>
          <w:p>
            <w:pPr>
              <w:pStyle w:val="TableParagraph"/>
              <w:spacing w:before="0"/>
              <w:ind w:left="0"/>
              <w:rPr>
                <w:rFonts w:ascii="Times New Roman"/>
                <w:sz w:val="22"/>
              </w:rPr>
            </w:pPr>
          </w:p>
        </w:tc>
        <w:tc>
          <w:tcPr>
            <w:tcW w:w="1580" w:type="dxa"/>
          </w:tcPr>
          <w:p>
            <w:pPr>
              <w:pStyle w:val="TableParagraph"/>
              <w:spacing w:before="0"/>
              <w:ind w:left="0"/>
              <w:rPr>
                <w:rFonts w:ascii="Times New Roman"/>
                <w:sz w:val="22"/>
              </w:rPr>
            </w:pPr>
          </w:p>
        </w:tc>
      </w:tr>
      <w:tr>
        <w:trPr>
          <w:trHeight w:val="318" w:hRule="atLeast"/>
        </w:trPr>
        <w:tc>
          <w:tcPr>
            <w:tcW w:w="3250" w:type="dxa"/>
          </w:tcPr>
          <w:p>
            <w:pPr>
              <w:pStyle w:val="TableParagraph"/>
              <w:spacing w:line="239" w:lineRule="exact"/>
              <w:ind w:left="724"/>
              <w:rPr>
                <w:sz w:val="22"/>
              </w:rPr>
            </w:pPr>
            <w:r>
              <w:rPr>
                <w:sz w:val="22"/>
              </w:rPr>
              <w:t>Carmichael</w:t>
            </w:r>
          </w:p>
        </w:tc>
        <w:tc>
          <w:tcPr>
            <w:tcW w:w="1760" w:type="dxa"/>
          </w:tcPr>
          <w:p>
            <w:pPr>
              <w:pStyle w:val="TableParagraph"/>
              <w:spacing w:line="239" w:lineRule="exact"/>
              <w:rPr>
                <w:sz w:val="22"/>
              </w:rPr>
            </w:pPr>
            <w:r>
              <w:rPr>
                <w:sz w:val="22"/>
              </w:rPr>
              <w:t>107,066</w:t>
            </w:r>
          </w:p>
        </w:tc>
        <w:tc>
          <w:tcPr>
            <w:tcW w:w="1318" w:type="dxa"/>
          </w:tcPr>
          <w:p>
            <w:pPr>
              <w:pStyle w:val="TableParagraph"/>
              <w:spacing w:line="239" w:lineRule="exact"/>
              <w:ind w:left="106"/>
              <w:rPr>
                <w:sz w:val="22"/>
              </w:rPr>
            </w:pPr>
            <w:r>
              <w:rPr>
                <w:sz w:val="22"/>
              </w:rPr>
              <w:t>26</w:t>
            </w:r>
          </w:p>
        </w:tc>
        <w:tc>
          <w:tcPr>
            <w:tcW w:w="1234" w:type="dxa"/>
          </w:tcPr>
          <w:p>
            <w:pPr>
              <w:pStyle w:val="TableParagraph"/>
              <w:spacing w:line="239" w:lineRule="exact"/>
              <w:ind w:left="106"/>
              <w:rPr>
                <w:sz w:val="22"/>
              </w:rPr>
            </w:pPr>
            <w:r>
              <w:rPr>
                <w:w w:val="100"/>
                <w:sz w:val="22"/>
              </w:rPr>
              <w:t>1</w:t>
            </w:r>
          </w:p>
        </w:tc>
        <w:tc>
          <w:tcPr>
            <w:tcW w:w="1580" w:type="dxa"/>
          </w:tcPr>
          <w:p>
            <w:pPr>
              <w:pStyle w:val="TableParagraph"/>
              <w:spacing w:line="239" w:lineRule="exact"/>
              <w:ind w:left="105"/>
              <w:rPr>
                <w:sz w:val="22"/>
              </w:rPr>
            </w:pPr>
            <w:r>
              <w:rPr>
                <w:sz w:val="22"/>
              </w:rPr>
              <w:t>31</w:t>
            </w:r>
          </w:p>
        </w:tc>
      </w:tr>
      <w:tr>
        <w:trPr>
          <w:trHeight w:val="316" w:hRule="atLeast"/>
        </w:trPr>
        <w:tc>
          <w:tcPr>
            <w:tcW w:w="3250" w:type="dxa"/>
          </w:tcPr>
          <w:p>
            <w:pPr>
              <w:pStyle w:val="TableParagraph"/>
              <w:spacing w:line="237" w:lineRule="exact"/>
              <w:ind w:left="724"/>
              <w:rPr>
                <w:sz w:val="22"/>
              </w:rPr>
            </w:pPr>
            <w:r>
              <w:rPr>
                <w:sz w:val="22"/>
              </w:rPr>
              <w:t>Chief Joseph</w:t>
            </w:r>
          </w:p>
        </w:tc>
        <w:tc>
          <w:tcPr>
            <w:tcW w:w="1760" w:type="dxa"/>
          </w:tcPr>
          <w:p>
            <w:pPr>
              <w:pStyle w:val="TableParagraph"/>
              <w:spacing w:line="237" w:lineRule="exact"/>
              <w:rPr>
                <w:sz w:val="22"/>
              </w:rPr>
            </w:pPr>
            <w:r>
              <w:rPr>
                <w:sz w:val="22"/>
              </w:rPr>
              <w:t>116,837</w:t>
            </w:r>
          </w:p>
        </w:tc>
        <w:tc>
          <w:tcPr>
            <w:tcW w:w="1318" w:type="dxa"/>
          </w:tcPr>
          <w:p>
            <w:pPr>
              <w:pStyle w:val="TableParagraph"/>
              <w:spacing w:line="237" w:lineRule="exact"/>
              <w:ind w:left="106"/>
              <w:rPr>
                <w:sz w:val="22"/>
              </w:rPr>
            </w:pPr>
            <w:r>
              <w:rPr>
                <w:sz w:val="22"/>
              </w:rPr>
              <w:t>22</w:t>
            </w:r>
          </w:p>
        </w:tc>
        <w:tc>
          <w:tcPr>
            <w:tcW w:w="1234" w:type="dxa"/>
          </w:tcPr>
          <w:p>
            <w:pPr>
              <w:pStyle w:val="TableParagraph"/>
              <w:spacing w:line="237" w:lineRule="exact"/>
              <w:ind w:left="106"/>
              <w:rPr>
                <w:sz w:val="22"/>
              </w:rPr>
            </w:pPr>
            <w:r>
              <w:rPr>
                <w:w w:val="100"/>
                <w:sz w:val="22"/>
              </w:rPr>
              <w:t>1</w:t>
            </w:r>
          </w:p>
        </w:tc>
        <w:tc>
          <w:tcPr>
            <w:tcW w:w="1580" w:type="dxa"/>
          </w:tcPr>
          <w:p>
            <w:pPr>
              <w:pStyle w:val="TableParagraph"/>
              <w:spacing w:line="237" w:lineRule="exact"/>
              <w:ind w:left="105"/>
              <w:rPr>
                <w:sz w:val="22"/>
              </w:rPr>
            </w:pPr>
            <w:r>
              <w:rPr>
                <w:sz w:val="22"/>
              </w:rPr>
              <w:t>31</w:t>
            </w:r>
          </w:p>
        </w:tc>
      </w:tr>
      <w:tr>
        <w:trPr>
          <w:trHeight w:val="318" w:hRule="atLeast"/>
        </w:trPr>
        <w:tc>
          <w:tcPr>
            <w:tcW w:w="3250" w:type="dxa"/>
          </w:tcPr>
          <w:p>
            <w:pPr>
              <w:pStyle w:val="TableParagraph"/>
              <w:spacing w:line="239" w:lineRule="exact"/>
              <w:ind w:left="724"/>
              <w:rPr>
                <w:sz w:val="22"/>
              </w:rPr>
            </w:pPr>
            <w:r>
              <w:rPr>
                <w:sz w:val="22"/>
              </w:rPr>
              <w:t>Enterprise</w:t>
            </w:r>
          </w:p>
        </w:tc>
        <w:tc>
          <w:tcPr>
            <w:tcW w:w="1760" w:type="dxa"/>
          </w:tcPr>
          <w:p>
            <w:pPr>
              <w:pStyle w:val="TableParagraph"/>
              <w:spacing w:line="239" w:lineRule="exact"/>
              <w:rPr>
                <w:sz w:val="22"/>
              </w:rPr>
            </w:pPr>
            <w:r>
              <w:rPr>
                <w:sz w:val="22"/>
              </w:rPr>
              <w:t>91,300</w:t>
            </w:r>
          </w:p>
        </w:tc>
        <w:tc>
          <w:tcPr>
            <w:tcW w:w="1318" w:type="dxa"/>
          </w:tcPr>
          <w:p>
            <w:pPr>
              <w:pStyle w:val="TableParagraph"/>
              <w:spacing w:line="239" w:lineRule="exact"/>
              <w:ind w:left="106"/>
              <w:rPr>
                <w:sz w:val="22"/>
              </w:rPr>
            </w:pPr>
            <w:r>
              <w:rPr>
                <w:sz w:val="22"/>
              </w:rPr>
              <w:t>40</w:t>
            </w:r>
          </w:p>
        </w:tc>
        <w:tc>
          <w:tcPr>
            <w:tcW w:w="1234" w:type="dxa"/>
          </w:tcPr>
          <w:p>
            <w:pPr>
              <w:pStyle w:val="TableParagraph"/>
              <w:spacing w:line="239" w:lineRule="exact"/>
              <w:ind w:left="106"/>
              <w:rPr>
                <w:sz w:val="22"/>
              </w:rPr>
            </w:pPr>
            <w:r>
              <w:rPr>
                <w:w w:val="100"/>
                <w:sz w:val="22"/>
              </w:rPr>
              <w:t>1</w:t>
            </w:r>
          </w:p>
        </w:tc>
        <w:tc>
          <w:tcPr>
            <w:tcW w:w="1580" w:type="dxa"/>
          </w:tcPr>
          <w:p>
            <w:pPr>
              <w:pStyle w:val="TableParagraph"/>
              <w:spacing w:line="239" w:lineRule="exact"/>
              <w:ind w:left="105"/>
              <w:rPr>
                <w:sz w:val="22"/>
              </w:rPr>
            </w:pPr>
            <w:r>
              <w:rPr>
                <w:sz w:val="22"/>
              </w:rPr>
              <w:t>36</w:t>
            </w:r>
          </w:p>
        </w:tc>
      </w:tr>
      <w:tr>
        <w:trPr>
          <w:trHeight w:val="316" w:hRule="atLeast"/>
        </w:trPr>
        <w:tc>
          <w:tcPr>
            <w:tcW w:w="3250" w:type="dxa"/>
          </w:tcPr>
          <w:p>
            <w:pPr>
              <w:pStyle w:val="TableParagraph"/>
              <w:spacing w:line="237" w:lineRule="exact"/>
              <w:ind w:left="4"/>
              <w:rPr>
                <w:sz w:val="22"/>
              </w:rPr>
            </w:pPr>
            <w:r>
              <w:rPr>
                <w:sz w:val="22"/>
              </w:rPr>
              <w:t>High Schools</w:t>
            </w:r>
          </w:p>
        </w:tc>
        <w:tc>
          <w:tcPr>
            <w:tcW w:w="1760" w:type="dxa"/>
          </w:tcPr>
          <w:p>
            <w:pPr>
              <w:pStyle w:val="TableParagraph"/>
              <w:spacing w:before="0"/>
              <w:ind w:left="0"/>
              <w:rPr>
                <w:rFonts w:ascii="Times New Roman"/>
                <w:sz w:val="22"/>
              </w:rPr>
            </w:pPr>
          </w:p>
        </w:tc>
        <w:tc>
          <w:tcPr>
            <w:tcW w:w="1318" w:type="dxa"/>
          </w:tcPr>
          <w:p>
            <w:pPr>
              <w:pStyle w:val="TableParagraph"/>
              <w:spacing w:before="0"/>
              <w:ind w:left="0"/>
              <w:rPr>
                <w:rFonts w:ascii="Times New Roman"/>
                <w:sz w:val="22"/>
              </w:rPr>
            </w:pPr>
          </w:p>
        </w:tc>
        <w:tc>
          <w:tcPr>
            <w:tcW w:w="1234" w:type="dxa"/>
          </w:tcPr>
          <w:p>
            <w:pPr>
              <w:pStyle w:val="TableParagraph"/>
              <w:spacing w:before="0"/>
              <w:ind w:left="0"/>
              <w:rPr>
                <w:rFonts w:ascii="Times New Roman"/>
                <w:sz w:val="22"/>
              </w:rPr>
            </w:pPr>
          </w:p>
        </w:tc>
        <w:tc>
          <w:tcPr>
            <w:tcW w:w="1580" w:type="dxa"/>
          </w:tcPr>
          <w:p>
            <w:pPr>
              <w:pStyle w:val="TableParagraph"/>
              <w:spacing w:before="0"/>
              <w:ind w:left="0"/>
              <w:rPr>
                <w:rFonts w:ascii="Times New Roman"/>
                <w:sz w:val="22"/>
              </w:rPr>
            </w:pPr>
          </w:p>
        </w:tc>
      </w:tr>
      <w:tr>
        <w:trPr>
          <w:trHeight w:val="318" w:hRule="atLeast"/>
        </w:trPr>
        <w:tc>
          <w:tcPr>
            <w:tcW w:w="3250" w:type="dxa"/>
          </w:tcPr>
          <w:p>
            <w:pPr>
              <w:pStyle w:val="TableParagraph"/>
              <w:spacing w:line="237" w:lineRule="exact" w:before="62"/>
              <w:ind w:left="724"/>
              <w:rPr>
                <w:sz w:val="22"/>
              </w:rPr>
            </w:pPr>
            <w:r>
              <w:rPr>
                <w:sz w:val="22"/>
              </w:rPr>
              <w:t>Richland High</w:t>
            </w:r>
          </w:p>
        </w:tc>
        <w:tc>
          <w:tcPr>
            <w:tcW w:w="1760" w:type="dxa"/>
          </w:tcPr>
          <w:p>
            <w:pPr>
              <w:pStyle w:val="TableParagraph"/>
              <w:spacing w:line="237" w:lineRule="exact" w:before="62"/>
              <w:rPr>
                <w:sz w:val="22"/>
              </w:rPr>
            </w:pPr>
            <w:r>
              <w:rPr>
                <w:sz w:val="22"/>
              </w:rPr>
              <w:t>271,536</w:t>
            </w:r>
          </w:p>
        </w:tc>
        <w:tc>
          <w:tcPr>
            <w:tcW w:w="1318" w:type="dxa"/>
          </w:tcPr>
          <w:p>
            <w:pPr>
              <w:pStyle w:val="TableParagraph"/>
              <w:spacing w:line="237" w:lineRule="exact" w:before="62"/>
              <w:ind w:left="106"/>
              <w:rPr>
                <w:sz w:val="22"/>
              </w:rPr>
            </w:pPr>
            <w:r>
              <w:rPr>
                <w:sz w:val="22"/>
              </w:rPr>
              <w:t>35</w:t>
            </w:r>
          </w:p>
        </w:tc>
        <w:tc>
          <w:tcPr>
            <w:tcW w:w="1234" w:type="dxa"/>
          </w:tcPr>
          <w:p>
            <w:pPr>
              <w:pStyle w:val="TableParagraph"/>
              <w:spacing w:line="237" w:lineRule="exact" w:before="62"/>
              <w:ind w:left="106"/>
              <w:rPr>
                <w:sz w:val="22"/>
              </w:rPr>
            </w:pPr>
            <w:r>
              <w:rPr>
                <w:w w:val="100"/>
                <w:sz w:val="22"/>
              </w:rPr>
              <w:t>6</w:t>
            </w:r>
          </w:p>
        </w:tc>
        <w:tc>
          <w:tcPr>
            <w:tcW w:w="1580" w:type="dxa"/>
          </w:tcPr>
          <w:p>
            <w:pPr>
              <w:pStyle w:val="TableParagraph"/>
              <w:spacing w:line="237" w:lineRule="exact" w:before="62"/>
              <w:ind w:left="105"/>
              <w:rPr>
                <w:sz w:val="22"/>
              </w:rPr>
            </w:pPr>
            <w:r>
              <w:rPr>
                <w:sz w:val="22"/>
              </w:rPr>
              <w:t>69</w:t>
            </w:r>
          </w:p>
        </w:tc>
      </w:tr>
      <w:tr>
        <w:trPr>
          <w:trHeight w:val="318" w:hRule="atLeast"/>
        </w:trPr>
        <w:tc>
          <w:tcPr>
            <w:tcW w:w="3250" w:type="dxa"/>
          </w:tcPr>
          <w:p>
            <w:pPr>
              <w:pStyle w:val="TableParagraph"/>
              <w:spacing w:line="239" w:lineRule="exact"/>
              <w:ind w:left="724"/>
              <w:rPr>
                <w:sz w:val="22"/>
              </w:rPr>
            </w:pPr>
            <w:r>
              <w:rPr>
                <w:sz w:val="22"/>
              </w:rPr>
              <w:t>Hanford High</w:t>
            </w:r>
          </w:p>
        </w:tc>
        <w:tc>
          <w:tcPr>
            <w:tcW w:w="1760" w:type="dxa"/>
          </w:tcPr>
          <w:p>
            <w:pPr>
              <w:pStyle w:val="TableParagraph"/>
              <w:spacing w:line="239" w:lineRule="exact"/>
              <w:rPr>
                <w:sz w:val="22"/>
              </w:rPr>
            </w:pPr>
            <w:r>
              <w:rPr>
                <w:sz w:val="22"/>
              </w:rPr>
              <w:t>243,031</w:t>
            </w:r>
          </w:p>
        </w:tc>
        <w:tc>
          <w:tcPr>
            <w:tcW w:w="1318" w:type="dxa"/>
          </w:tcPr>
          <w:p>
            <w:pPr>
              <w:pStyle w:val="TableParagraph"/>
              <w:spacing w:line="239" w:lineRule="exact"/>
              <w:ind w:left="106"/>
              <w:rPr>
                <w:sz w:val="22"/>
              </w:rPr>
            </w:pPr>
            <w:r>
              <w:rPr>
                <w:sz w:val="22"/>
              </w:rPr>
              <w:t>72</w:t>
            </w:r>
          </w:p>
        </w:tc>
        <w:tc>
          <w:tcPr>
            <w:tcW w:w="1234" w:type="dxa"/>
          </w:tcPr>
          <w:p>
            <w:pPr>
              <w:pStyle w:val="TableParagraph"/>
              <w:spacing w:line="239" w:lineRule="exact"/>
              <w:ind w:left="106"/>
              <w:rPr>
                <w:sz w:val="22"/>
              </w:rPr>
            </w:pPr>
            <w:r>
              <w:rPr>
                <w:w w:val="100"/>
                <w:sz w:val="22"/>
              </w:rPr>
              <w:t>8</w:t>
            </w:r>
          </w:p>
        </w:tc>
        <w:tc>
          <w:tcPr>
            <w:tcW w:w="1580" w:type="dxa"/>
          </w:tcPr>
          <w:p>
            <w:pPr>
              <w:pStyle w:val="TableParagraph"/>
              <w:spacing w:line="239" w:lineRule="exact"/>
              <w:ind w:left="105"/>
              <w:rPr>
                <w:sz w:val="22"/>
              </w:rPr>
            </w:pPr>
            <w:r>
              <w:rPr>
                <w:sz w:val="22"/>
              </w:rPr>
              <w:t>75</w:t>
            </w:r>
          </w:p>
        </w:tc>
      </w:tr>
      <w:tr>
        <w:trPr>
          <w:trHeight w:val="316" w:hRule="atLeast"/>
        </w:trPr>
        <w:tc>
          <w:tcPr>
            <w:tcW w:w="3250" w:type="dxa"/>
          </w:tcPr>
          <w:p>
            <w:pPr>
              <w:pStyle w:val="TableParagraph"/>
              <w:spacing w:line="237" w:lineRule="exact"/>
              <w:ind w:left="724"/>
              <w:rPr>
                <w:sz w:val="22"/>
              </w:rPr>
            </w:pPr>
            <w:r>
              <w:rPr>
                <w:sz w:val="22"/>
              </w:rPr>
              <w:t>Rivers Edge</w:t>
            </w:r>
          </w:p>
        </w:tc>
        <w:tc>
          <w:tcPr>
            <w:tcW w:w="1760" w:type="dxa"/>
          </w:tcPr>
          <w:p>
            <w:pPr>
              <w:pStyle w:val="TableParagraph"/>
              <w:spacing w:line="237" w:lineRule="exact"/>
              <w:rPr>
                <w:sz w:val="22"/>
              </w:rPr>
            </w:pPr>
            <w:r>
              <w:rPr>
                <w:sz w:val="22"/>
              </w:rPr>
              <w:t>8,811</w:t>
            </w:r>
          </w:p>
        </w:tc>
        <w:tc>
          <w:tcPr>
            <w:tcW w:w="1318" w:type="dxa"/>
          </w:tcPr>
          <w:p>
            <w:pPr>
              <w:pStyle w:val="TableParagraph"/>
              <w:spacing w:line="237" w:lineRule="exact"/>
              <w:ind w:left="106"/>
              <w:rPr>
                <w:sz w:val="22"/>
              </w:rPr>
            </w:pPr>
            <w:r>
              <w:rPr>
                <w:w w:val="100"/>
                <w:sz w:val="22"/>
              </w:rPr>
              <w:t>1</w:t>
            </w:r>
          </w:p>
        </w:tc>
        <w:tc>
          <w:tcPr>
            <w:tcW w:w="1234" w:type="dxa"/>
          </w:tcPr>
          <w:p>
            <w:pPr>
              <w:pStyle w:val="TableParagraph"/>
              <w:spacing w:line="237" w:lineRule="exact"/>
              <w:ind w:left="106"/>
              <w:rPr>
                <w:sz w:val="22"/>
              </w:rPr>
            </w:pPr>
            <w:r>
              <w:rPr>
                <w:w w:val="100"/>
                <w:sz w:val="22"/>
              </w:rPr>
              <w:t>1</w:t>
            </w:r>
          </w:p>
        </w:tc>
        <w:tc>
          <w:tcPr>
            <w:tcW w:w="1580" w:type="dxa"/>
          </w:tcPr>
          <w:p>
            <w:pPr>
              <w:pStyle w:val="TableParagraph"/>
              <w:spacing w:line="237" w:lineRule="exact"/>
              <w:ind w:left="105"/>
              <w:rPr>
                <w:sz w:val="22"/>
              </w:rPr>
            </w:pPr>
            <w:r>
              <w:rPr>
                <w:w w:val="100"/>
                <w:sz w:val="22"/>
              </w:rPr>
              <w:t>6</w:t>
            </w:r>
          </w:p>
        </w:tc>
      </w:tr>
      <w:tr>
        <w:trPr>
          <w:trHeight w:val="834" w:hRule="atLeast"/>
        </w:trPr>
        <w:tc>
          <w:tcPr>
            <w:tcW w:w="3250" w:type="dxa"/>
          </w:tcPr>
          <w:p>
            <w:pPr>
              <w:pStyle w:val="TableParagraph"/>
              <w:ind w:left="724"/>
              <w:rPr>
                <w:sz w:val="22"/>
              </w:rPr>
            </w:pPr>
            <w:r>
              <w:rPr>
                <w:sz w:val="22"/>
              </w:rPr>
              <w:t>Three Rivers HomeLink</w:t>
            </w:r>
          </w:p>
          <w:p>
            <w:pPr>
              <w:pStyle w:val="TableParagraph"/>
              <w:spacing w:line="256" w:lineRule="exact" w:before="6"/>
              <w:ind w:left="724" w:right="500"/>
              <w:rPr>
                <w:sz w:val="22"/>
              </w:rPr>
            </w:pPr>
            <w:r>
              <w:rPr>
                <w:sz w:val="22"/>
              </w:rPr>
              <w:t>(located on Jason Lee Elementary)</w:t>
            </w:r>
          </w:p>
        </w:tc>
        <w:tc>
          <w:tcPr>
            <w:tcW w:w="1760" w:type="dxa"/>
          </w:tcPr>
          <w:p>
            <w:pPr>
              <w:pStyle w:val="TableParagraph"/>
              <w:rPr>
                <w:sz w:val="22"/>
              </w:rPr>
            </w:pPr>
            <w:r>
              <w:rPr>
                <w:sz w:val="22"/>
              </w:rPr>
              <w:t>16,780</w:t>
            </w:r>
          </w:p>
        </w:tc>
        <w:tc>
          <w:tcPr>
            <w:tcW w:w="1318" w:type="dxa"/>
          </w:tcPr>
          <w:p>
            <w:pPr>
              <w:pStyle w:val="TableParagraph"/>
              <w:ind w:left="106"/>
              <w:rPr>
                <w:sz w:val="22"/>
              </w:rPr>
            </w:pPr>
            <w:r>
              <w:rPr>
                <w:sz w:val="22"/>
              </w:rPr>
              <w:t>N/A</w:t>
            </w:r>
          </w:p>
        </w:tc>
        <w:tc>
          <w:tcPr>
            <w:tcW w:w="1234" w:type="dxa"/>
          </w:tcPr>
          <w:p>
            <w:pPr>
              <w:pStyle w:val="TableParagraph"/>
              <w:ind w:left="106"/>
              <w:rPr>
                <w:sz w:val="22"/>
              </w:rPr>
            </w:pPr>
            <w:r>
              <w:rPr>
                <w:w w:val="100"/>
                <w:sz w:val="22"/>
              </w:rPr>
              <w:t>1</w:t>
            </w:r>
          </w:p>
        </w:tc>
        <w:tc>
          <w:tcPr>
            <w:tcW w:w="1580" w:type="dxa"/>
          </w:tcPr>
          <w:p>
            <w:pPr>
              <w:pStyle w:val="TableParagraph"/>
              <w:ind w:left="106"/>
              <w:rPr>
                <w:sz w:val="22"/>
              </w:rPr>
            </w:pPr>
            <w:r>
              <w:rPr>
                <w:w w:val="100"/>
                <w:sz w:val="22"/>
              </w:rPr>
              <w:t>8</w:t>
            </w:r>
          </w:p>
        </w:tc>
      </w:tr>
      <w:tr>
        <w:trPr>
          <w:trHeight w:val="318" w:hRule="atLeast"/>
        </w:trPr>
        <w:tc>
          <w:tcPr>
            <w:tcW w:w="3250" w:type="dxa"/>
            <w:shd w:val="clear" w:color="auto" w:fill="D9D9D9"/>
          </w:tcPr>
          <w:p>
            <w:pPr>
              <w:pStyle w:val="TableParagraph"/>
              <w:spacing w:line="239" w:lineRule="exact"/>
              <w:ind w:left="4"/>
              <w:rPr>
                <w:sz w:val="22"/>
              </w:rPr>
            </w:pPr>
            <w:r>
              <w:rPr>
                <w:sz w:val="22"/>
              </w:rPr>
              <w:t>Kennewick School District</w:t>
            </w:r>
          </w:p>
        </w:tc>
        <w:tc>
          <w:tcPr>
            <w:tcW w:w="1760" w:type="dxa"/>
            <w:shd w:val="clear" w:color="auto" w:fill="D9D9D9"/>
          </w:tcPr>
          <w:p>
            <w:pPr>
              <w:pStyle w:val="TableParagraph"/>
              <w:spacing w:before="0"/>
              <w:ind w:left="0"/>
              <w:rPr>
                <w:rFonts w:ascii="Times New Roman"/>
                <w:sz w:val="22"/>
              </w:rPr>
            </w:pPr>
          </w:p>
        </w:tc>
        <w:tc>
          <w:tcPr>
            <w:tcW w:w="1318" w:type="dxa"/>
            <w:shd w:val="clear" w:color="auto" w:fill="D9D9D9"/>
          </w:tcPr>
          <w:p>
            <w:pPr>
              <w:pStyle w:val="TableParagraph"/>
              <w:spacing w:before="0"/>
              <w:ind w:left="0"/>
              <w:rPr>
                <w:rFonts w:ascii="Times New Roman"/>
                <w:sz w:val="22"/>
              </w:rPr>
            </w:pPr>
          </w:p>
        </w:tc>
        <w:tc>
          <w:tcPr>
            <w:tcW w:w="1234" w:type="dxa"/>
            <w:shd w:val="clear" w:color="auto" w:fill="D9D9D9"/>
          </w:tcPr>
          <w:p>
            <w:pPr>
              <w:pStyle w:val="TableParagraph"/>
              <w:spacing w:before="0"/>
              <w:ind w:left="0"/>
              <w:rPr>
                <w:rFonts w:ascii="Times New Roman"/>
                <w:sz w:val="22"/>
              </w:rPr>
            </w:pPr>
          </w:p>
        </w:tc>
        <w:tc>
          <w:tcPr>
            <w:tcW w:w="1580" w:type="dxa"/>
            <w:shd w:val="clear" w:color="auto" w:fill="D9D9D9"/>
          </w:tcPr>
          <w:p>
            <w:pPr>
              <w:pStyle w:val="TableParagraph"/>
              <w:spacing w:before="0"/>
              <w:ind w:left="0"/>
              <w:rPr>
                <w:rFonts w:ascii="Times New Roman"/>
                <w:sz w:val="22"/>
              </w:rPr>
            </w:pPr>
          </w:p>
        </w:tc>
      </w:tr>
      <w:tr>
        <w:trPr>
          <w:trHeight w:val="316" w:hRule="atLeast"/>
        </w:trPr>
        <w:tc>
          <w:tcPr>
            <w:tcW w:w="3250" w:type="dxa"/>
          </w:tcPr>
          <w:p>
            <w:pPr>
              <w:pStyle w:val="TableParagraph"/>
              <w:spacing w:line="237" w:lineRule="exact"/>
              <w:ind w:left="4"/>
              <w:rPr>
                <w:sz w:val="22"/>
              </w:rPr>
            </w:pPr>
            <w:r>
              <w:rPr>
                <w:sz w:val="22"/>
              </w:rPr>
              <w:t>Elementary School</w:t>
            </w:r>
          </w:p>
        </w:tc>
        <w:tc>
          <w:tcPr>
            <w:tcW w:w="1760" w:type="dxa"/>
          </w:tcPr>
          <w:p>
            <w:pPr>
              <w:pStyle w:val="TableParagraph"/>
              <w:spacing w:before="0"/>
              <w:ind w:left="0"/>
              <w:rPr>
                <w:rFonts w:ascii="Times New Roman"/>
                <w:sz w:val="22"/>
              </w:rPr>
            </w:pPr>
          </w:p>
        </w:tc>
        <w:tc>
          <w:tcPr>
            <w:tcW w:w="1318" w:type="dxa"/>
          </w:tcPr>
          <w:p>
            <w:pPr>
              <w:pStyle w:val="TableParagraph"/>
              <w:spacing w:before="0"/>
              <w:ind w:left="0"/>
              <w:rPr>
                <w:rFonts w:ascii="Times New Roman"/>
                <w:sz w:val="22"/>
              </w:rPr>
            </w:pPr>
          </w:p>
        </w:tc>
        <w:tc>
          <w:tcPr>
            <w:tcW w:w="1234" w:type="dxa"/>
          </w:tcPr>
          <w:p>
            <w:pPr>
              <w:pStyle w:val="TableParagraph"/>
              <w:spacing w:before="0"/>
              <w:ind w:left="0"/>
              <w:rPr>
                <w:rFonts w:ascii="Times New Roman"/>
                <w:sz w:val="22"/>
              </w:rPr>
            </w:pPr>
          </w:p>
        </w:tc>
        <w:tc>
          <w:tcPr>
            <w:tcW w:w="1580" w:type="dxa"/>
          </w:tcPr>
          <w:p>
            <w:pPr>
              <w:pStyle w:val="TableParagraph"/>
              <w:spacing w:before="0"/>
              <w:ind w:left="0"/>
              <w:rPr>
                <w:rFonts w:ascii="Times New Roman"/>
                <w:sz w:val="22"/>
              </w:rPr>
            </w:pPr>
          </w:p>
        </w:tc>
      </w:tr>
      <w:tr>
        <w:trPr>
          <w:trHeight w:val="318" w:hRule="atLeast"/>
        </w:trPr>
        <w:tc>
          <w:tcPr>
            <w:tcW w:w="3250" w:type="dxa"/>
          </w:tcPr>
          <w:p>
            <w:pPr>
              <w:pStyle w:val="TableParagraph"/>
              <w:spacing w:line="239" w:lineRule="exact"/>
              <w:ind w:left="724"/>
              <w:rPr>
                <w:sz w:val="22"/>
              </w:rPr>
            </w:pPr>
            <w:r>
              <w:rPr>
                <w:sz w:val="22"/>
              </w:rPr>
              <w:t>Vista</w:t>
            </w:r>
          </w:p>
        </w:tc>
        <w:tc>
          <w:tcPr>
            <w:tcW w:w="1760" w:type="dxa"/>
          </w:tcPr>
          <w:p>
            <w:pPr>
              <w:pStyle w:val="TableParagraph"/>
              <w:spacing w:line="239" w:lineRule="exact"/>
              <w:rPr>
                <w:sz w:val="22"/>
              </w:rPr>
            </w:pPr>
            <w:r>
              <w:rPr>
                <w:sz w:val="22"/>
              </w:rPr>
              <w:t>38,026</w:t>
            </w:r>
          </w:p>
        </w:tc>
        <w:tc>
          <w:tcPr>
            <w:tcW w:w="1318" w:type="dxa"/>
          </w:tcPr>
          <w:p>
            <w:pPr>
              <w:pStyle w:val="TableParagraph"/>
              <w:spacing w:line="239" w:lineRule="exact"/>
              <w:ind w:left="106"/>
              <w:rPr>
                <w:sz w:val="22"/>
              </w:rPr>
            </w:pPr>
            <w:r>
              <w:rPr>
                <w:sz w:val="22"/>
              </w:rPr>
              <w:t>11.5</w:t>
            </w:r>
          </w:p>
        </w:tc>
        <w:tc>
          <w:tcPr>
            <w:tcW w:w="1234" w:type="dxa"/>
          </w:tcPr>
          <w:p>
            <w:pPr>
              <w:pStyle w:val="TableParagraph"/>
              <w:spacing w:line="239" w:lineRule="exact"/>
              <w:ind w:left="106"/>
              <w:rPr>
                <w:sz w:val="22"/>
              </w:rPr>
            </w:pPr>
            <w:r>
              <w:rPr>
                <w:w w:val="100"/>
                <w:sz w:val="22"/>
              </w:rPr>
              <w:t>1</w:t>
            </w:r>
          </w:p>
        </w:tc>
        <w:tc>
          <w:tcPr>
            <w:tcW w:w="1580" w:type="dxa"/>
          </w:tcPr>
          <w:p>
            <w:pPr>
              <w:pStyle w:val="TableParagraph"/>
              <w:spacing w:line="239" w:lineRule="exact"/>
              <w:ind w:left="105"/>
              <w:rPr>
                <w:sz w:val="22"/>
              </w:rPr>
            </w:pPr>
            <w:r>
              <w:rPr>
                <w:sz w:val="22"/>
              </w:rPr>
              <w:t>20</w:t>
            </w:r>
          </w:p>
        </w:tc>
      </w:tr>
      <w:tr>
        <w:trPr>
          <w:trHeight w:val="316" w:hRule="atLeast"/>
        </w:trPr>
        <w:tc>
          <w:tcPr>
            <w:tcW w:w="3250" w:type="dxa"/>
          </w:tcPr>
          <w:p>
            <w:pPr>
              <w:pStyle w:val="TableParagraph"/>
              <w:spacing w:line="237" w:lineRule="exact"/>
              <w:ind w:left="4"/>
              <w:rPr>
                <w:sz w:val="22"/>
              </w:rPr>
            </w:pPr>
            <w:r>
              <w:rPr>
                <w:sz w:val="22"/>
              </w:rPr>
              <w:t>Middle School</w:t>
            </w:r>
          </w:p>
        </w:tc>
        <w:tc>
          <w:tcPr>
            <w:tcW w:w="1760" w:type="dxa"/>
          </w:tcPr>
          <w:p>
            <w:pPr>
              <w:pStyle w:val="TableParagraph"/>
              <w:spacing w:before="0"/>
              <w:ind w:left="0"/>
              <w:rPr>
                <w:rFonts w:ascii="Times New Roman"/>
                <w:sz w:val="22"/>
              </w:rPr>
            </w:pPr>
          </w:p>
        </w:tc>
        <w:tc>
          <w:tcPr>
            <w:tcW w:w="1318" w:type="dxa"/>
          </w:tcPr>
          <w:p>
            <w:pPr>
              <w:pStyle w:val="TableParagraph"/>
              <w:spacing w:before="0"/>
              <w:ind w:left="0"/>
              <w:rPr>
                <w:rFonts w:ascii="Times New Roman"/>
                <w:sz w:val="22"/>
              </w:rPr>
            </w:pPr>
          </w:p>
        </w:tc>
        <w:tc>
          <w:tcPr>
            <w:tcW w:w="1234" w:type="dxa"/>
          </w:tcPr>
          <w:p>
            <w:pPr>
              <w:pStyle w:val="TableParagraph"/>
              <w:spacing w:before="0"/>
              <w:ind w:left="0"/>
              <w:rPr>
                <w:rFonts w:ascii="Times New Roman"/>
                <w:sz w:val="22"/>
              </w:rPr>
            </w:pPr>
          </w:p>
        </w:tc>
        <w:tc>
          <w:tcPr>
            <w:tcW w:w="1580" w:type="dxa"/>
          </w:tcPr>
          <w:p>
            <w:pPr>
              <w:pStyle w:val="TableParagraph"/>
              <w:spacing w:before="0"/>
              <w:ind w:left="0"/>
              <w:rPr>
                <w:rFonts w:ascii="Times New Roman"/>
                <w:sz w:val="22"/>
              </w:rPr>
            </w:pPr>
          </w:p>
        </w:tc>
      </w:tr>
      <w:tr>
        <w:trPr>
          <w:trHeight w:val="318" w:hRule="atLeast"/>
        </w:trPr>
        <w:tc>
          <w:tcPr>
            <w:tcW w:w="3250" w:type="dxa"/>
          </w:tcPr>
          <w:p>
            <w:pPr>
              <w:pStyle w:val="TableParagraph"/>
              <w:spacing w:line="237" w:lineRule="exact" w:before="62"/>
              <w:ind w:left="724"/>
              <w:rPr>
                <w:sz w:val="22"/>
              </w:rPr>
            </w:pPr>
            <w:r>
              <w:rPr>
                <w:sz w:val="22"/>
              </w:rPr>
              <w:t>Desert Hills</w:t>
            </w:r>
          </w:p>
        </w:tc>
        <w:tc>
          <w:tcPr>
            <w:tcW w:w="1760" w:type="dxa"/>
          </w:tcPr>
          <w:p>
            <w:pPr>
              <w:pStyle w:val="TableParagraph"/>
              <w:spacing w:line="237" w:lineRule="exact" w:before="62"/>
              <w:rPr>
                <w:sz w:val="22"/>
              </w:rPr>
            </w:pPr>
            <w:r>
              <w:rPr>
                <w:sz w:val="22"/>
              </w:rPr>
              <w:t>88,362</w:t>
            </w:r>
          </w:p>
        </w:tc>
        <w:tc>
          <w:tcPr>
            <w:tcW w:w="1318" w:type="dxa"/>
          </w:tcPr>
          <w:p>
            <w:pPr>
              <w:pStyle w:val="TableParagraph"/>
              <w:spacing w:line="237" w:lineRule="exact" w:before="62"/>
              <w:ind w:left="106"/>
              <w:rPr>
                <w:sz w:val="22"/>
              </w:rPr>
            </w:pPr>
            <w:r>
              <w:rPr>
                <w:sz w:val="22"/>
              </w:rPr>
              <w:t>20</w:t>
            </w:r>
          </w:p>
        </w:tc>
        <w:tc>
          <w:tcPr>
            <w:tcW w:w="1234" w:type="dxa"/>
          </w:tcPr>
          <w:p>
            <w:pPr>
              <w:pStyle w:val="TableParagraph"/>
              <w:spacing w:line="237" w:lineRule="exact" w:before="62"/>
              <w:ind w:left="106"/>
              <w:rPr>
                <w:sz w:val="22"/>
              </w:rPr>
            </w:pPr>
            <w:r>
              <w:rPr>
                <w:w w:val="100"/>
                <w:sz w:val="22"/>
              </w:rPr>
              <w:t>4</w:t>
            </w:r>
          </w:p>
        </w:tc>
        <w:tc>
          <w:tcPr>
            <w:tcW w:w="1580" w:type="dxa"/>
          </w:tcPr>
          <w:p>
            <w:pPr>
              <w:pStyle w:val="TableParagraph"/>
              <w:spacing w:line="237" w:lineRule="exact" w:before="62"/>
              <w:ind w:left="105"/>
              <w:rPr>
                <w:sz w:val="22"/>
              </w:rPr>
            </w:pPr>
            <w:r>
              <w:rPr>
                <w:sz w:val="22"/>
              </w:rPr>
              <w:t>37</w:t>
            </w:r>
          </w:p>
        </w:tc>
      </w:tr>
    </w:tbl>
    <w:p>
      <w:pPr>
        <w:spacing w:after="0" w:line="237" w:lineRule="exact"/>
        <w:rPr>
          <w:sz w:val="22"/>
        </w:rPr>
        <w:sectPr>
          <w:pgSz w:w="12240" w:h="15840"/>
          <w:pgMar w:header="0" w:footer="1052" w:top="1420" w:bottom="1320" w:left="1320" w:right="1200"/>
        </w:sectPr>
      </w:pPr>
    </w:p>
    <w:tbl>
      <w:tblPr>
        <w:tblW w:w="0" w:type="auto"/>
        <w:jc w:val="left"/>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250"/>
        <w:gridCol w:w="1760"/>
        <w:gridCol w:w="1318"/>
        <w:gridCol w:w="1234"/>
        <w:gridCol w:w="1580"/>
      </w:tblGrid>
      <w:tr>
        <w:trPr>
          <w:trHeight w:val="700" w:hRule="atLeast"/>
        </w:trPr>
        <w:tc>
          <w:tcPr>
            <w:tcW w:w="3250" w:type="dxa"/>
            <w:shd w:val="clear" w:color="auto" w:fill="B8CCE3"/>
          </w:tcPr>
          <w:p>
            <w:pPr>
              <w:pStyle w:val="TableParagraph"/>
              <w:spacing w:before="0"/>
              <w:ind w:left="0"/>
              <w:rPr>
                <w:rFonts w:ascii="Times New Roman"/>
                <w:sz w:val="20"/>
              </w:rPr>
            </w:pPr>
          </w:p>
        </w:tc>
        <w:tc>
          <w:tcPr>
            <w:tcW w:w="1760" w:type="dxa"/>
            <w:shd w:val="clear" w:color="auto" w:fill="B8CCE3"/>
          </w:tcPr>
          <w:p>
            <w:pPr>
              <w:pStyle w:val="TableParagraph"/>
              <w:spacing w:before="119"/>
              <w:ind w:right="322"/>
              <w:rPr>
                <w:rFonts w:ascii="Arial"/>
                <w:b/>
                <w:sz w:val="20"/>
              </w:rPr>
            </w:pPr>
            <w:r>
              <w:rPr>
                <w:rFonts w:ascii="Arial"/>
                <w:b/>
                <w:sz w:val="20"/>
              </w:rPr>
              <w:t>Building Area (square feet)</w:t>
            </w:r>
          </w:p>
        </w:tc>
        <w:tc>
          <w:tcPr>
            <w:tcW w:w="1318" w:type="dxa"/>
            <w:shd w:val="clear" w:color="auto" w:fill="B8CCE3"/>
          </w:tcPr>
          <w:p>
            <w:pPr>
              <w:pStyle w:val="TableParagraph"/>
              <w:spacing w:before="119"/>
              <w:ind w:left="106" w:right="348"/>
              <w:rPr>
                <w:rFonts w:ascii="Arial"/>
                <w:b/>
                <w:sz w:val="20"/>
              </w:rPr>
            </w:pPr>
            <w:r>
              <w:rPr>
                <w:rFonts w:ascii="Arial"/>
                <w:b/>
                <w:sz w:val="20"/>
              </w:rPr>
              <w:t>Grounds (acres)</w:t>
            </w:r>
          </w:p>
        </w:tc>
        <w:tc>
          <w:tcPr>
            <w:tcW w:w="1234" w:type="dxa"/>
            <w:shd w:val="clear" w:color="auto" w:fill="B8CCE3"/>
          </w:tcPr>
          <w:p>
            <w:pPr>
              <w:pStyle w:val="TableParagraph"/>
              <w:spacing w:before="119"/>
              <w:ind w:left="106"/>
              <w:rPr>
                <w:rFonts w:ascii="Arial"/>
                <w:b/>
                <w:sz w:val="20"/>
              </w:rPr>
            </w:pPr>
            <w:r>
              <w:rPr>
                <w:rFonts w:ascii="Arial"/>
                <w:b/>
                <w:sz w:val="20"/>
              </w:rPr>
              <w:t>Main </w:t>
            </w:r>
            <w:r>
              <w:rPr>
                <w:rFonts w:ascii="Arial"/>
                <w:b/>
                <w:w w:val="95"/>
                <w:sz w:val="20"/>
              </w:rPr>
              <w:t>Buildings</w:t>
            </w:r>
          </w:p>
        </w:tc>
        <w:tc>
          <w:tcPr>
            <w:tcW w:w="1580" w:type="dxa"/>
            <w:shd w:val="clear" w:color="auto" w:fill="B8CCE3"/>
          </w:tcPr>
          <w:p>
            <w:pPr>
              <w:pStyle w:val="TableParagraph"/>
              <w:spacing w:before="4"/>
              <w:ind w:left="0"/>
              <w:rPr>
                <w:rFonts w:ascii="Arial"/>
                <w:b/>
                <w:sz w:val="20"/>
              </w:rPr>
            </w:pPr>
          </w:p>
          <w:p>
            <w:pPr>
              <w:pStyle w:val="TableParagraph"/>
              <w:spacing w:before="0"/>
              <w:ind w:left="105"/>
              <w:rPr>
                <w:rFonts w:ascii="Arial"/>
                <w:b/>
                <w:sz w:val="20"/>
              </w:rPr>
            </w:pPr>
            <w:r>
              <w:rPr>
                <w:rFonts w:ascii="Arial"/>
                <w:b/>
                <w:sz w:val="20"/>
              </w:rPr>
              <w:t>Classrooms</w:t>
            </w:r>
          </w:p>
        </w:tc>
      </w:tr>
      <w:tr>
        <w:trPr>
          <w:trHeight w:val="316" w:hRule="atLeast"/>
        </w:trPr>
        <w:tc>
          <w:tcPr>
            <w:tcW w:w="3250" w:type="dxa"/>
          </w:tcPr>
          <w:p>
            <w:pPr>
              <w:pStyle w:val="TableParagraph"/>
              <w:spacing w:line="237" w:lineRule="exact"/>
              <w:ind w:left="4"/>
              <w:rPr>
                <w:sz w:val="22"/>
              </w:rPr>
            </w:pPr>
            <w:r>
              <w:rPr>
                <w:sz w:val="22"/>
              </w:rPr>
              <w:t>High School</w:t>
            </w:r>
          </w:p>
        </w:tc>
        <w:tc>
          <w:tcPr>
            <w:tcW w:w="1760" w:type="dxa"/>
          </w:tcPr>
          <w:p>
            <w:pPr>
              <w:pStyle w:val="TableParagraph"/>
              <w:spacing w:before="0"/>
              <w:ind w:left="0"/>
              <w:rPr>
                <w:rFonts w:ascii="Times New Roman"/>
                <w:sz w:val="20"/>
              </w:rPr>
            </w:pPr>
          </w:p>
        </w:tc>
        <w:tc>
          <w:tcPr>
            <w:tcW w:w="1318" w:type="dxa"/>
          </w:tcPr>
          <w:p>
            <w:pPr>
              <w:pStyle w:val="TableParagraph"/>
              <w:spacing w:before="0"/>
              <w:ind w:left="0"/>
              <w:rPr>
                <w:rFonts w:ascii="Times New Roman"/>
                <w:sz w:val="20"/>
              </w:rPr>
            </w:pPr>
          </w:p>
        </w:tc>
        <w:tc>
          <w:tcPr>
            <w:tcW w:w="1234" w:type="dxa"/>
          </w:tcPr>
          <w:p>
            <w:pPr>
              <w:pStyle w:val="TableParagraph"/>
              <w:spacing w:before="0"/>
              <w:ind w:left="0"/>
              <w:rPr>
                <w:rFonts w:ascii="Times New Roman"/>
                <w:sz w:val="20"/>
              </w:rPr>
            </w:pPr>
          </w:p>
        </w:tc>
        <w:tc>
          <w:tcPr>
            <w:tcW w:w="1580" w:type="dxa"/>
          </w:tcPr>
          <w:p>
            <w:pPr>
              <w:pStyle w:val="TableParagraph"/>
              <w:spacing w:before="0"/>
              <w:ind w:left="0"/>
              <w:rPr>
                <w:rFonts w:ascii="Times New Roman"/>
                <w:sz w:val="20"/>
              </w:rPr>
            </w:pPr>
          </w:p>
        </w:tc>
      </w:tr>
      <w:tr>
        <w:trPr>
          <w:trHeight w:val="318" w:hRule="atLeast"/>
        </w:trPr>
        <w:tc>
          <w:tcPr>
            <w:tcW w:w="3250" w:type="dxa"/>
          </w:tcPr>
          <w:p>
            <w:pPr>
              <w:pStyle w:val="TableParagraph"/>
              <w:spacing w:line="237" w:lineRule="exact" w:before="62"/>
              <w:ind w:left="724"/>
              <w:rPr>
                <w:sz w:val="22"/>
              </w:rPr>
            </w:pPr>
            <w:r>
              <w:rPr>
                <w:sz w:val="22"/>
              </w:rPr>
              <w:t>Kamiakin</w:t>
            </w:r>
          </w:p>
        </w:tc>
        <w:tc>
          <w:tcPr>
            <w:tcW w:w="1760" w:type="dxa"/>
          </w:tcPr>
          <w:p>
            <w:pPr>
              <w:pStyle w:val="TableParagraph"/>
              <w:spacing w:line="237" w:lineRule="exact" w:before="62"/>
              <w:rPr>
                <w:sz w:val="22"/>
              </w:rPr>
            </w:pPr>
            <w:r>
              <w:rPr>
                <w:sz w:val="22"/>
              </w:rPr>
              <w:t>192,841</w:t>
            </w:r>
          </w:p>
        </w:tc>
        <w:tc>
          <w:tcPr>
            <w:tcW w:w="1318" w:type="dxa"/>
          </w:tcPr>
          <w:p>
            <w:pPr>
              <w:pStyle w:val="TableParagraph"/>
              <w:spacing w:line="237" w:lineRule="exact" w:before="62"/>
              <w:ind w:left="106"/>
              <w:rPr>
                <w:sz w:val="22"/>
              </w:rPr>
            </w:pPr>
            <w:r>
              <w:rPr>
                <w:sz w:val="22"/>
              </w:rPr>
              <w:t>30</w:t>
            </w:r>
          </w:p>
        </w:tc>
        <w:tc>
          <w:tcPr>
            <w:tcW w:w="1234" w:type="dxa"/>
          </w:tcPr>
          <w:p>
            <w:pPr>
              <w:pStyle w:val="TableParagraph"/>
              <w:spacing w:line="237" w:lineRule="exact" w:before="62"/>
              <w:ind w:left="106"/>
              <w:rPr>
                <w:sz w:val="22"/>
              </w:rPr>
            </w:pPr>
            <w:r>
              <w:rPr>
                <w:w w:val="100"/>
                <w:sz w:val="22"/>
              </w:rPr>
              <w:t>5</w:t>
            </w:r>
          </w:p>
        </w:tc>
        <w:tc>
          <w:tcPr>
            <w:tcW w:w="1580" w:type="dxa"/>
          </w:tcPr>
          <w:p>
            <w:pPr>
              <w:pStyle w:val="TableParagraph"/>
              <w:spacing w:line="237" w:lineRule="exact" w:before="62"/>
              <w:ind w:left="105"/>
              <w:rPr>
                <w:sz w:val="22"/>
              </w:rPr>
            </w:pPr>
            <w:r>
              <w:rPr>
                <w:sz w:val="22"/>
              </w:rPr>
              <w:t>67</w:t>
            </w:r>
          </w:p>
        </w:tc>
      </w:tr>
      <w:tr>
        <w:trPr>
          <w:trHeight w:val="318" w:hRule="atLeast"/>
        </w:trPr>
        <w:tc>
          <w:tcPr>
            <w:tcW w:w="3250" w:type="dxa"/>
            <w:shd w:val="clear" w:color="auto" w:fill="D9D9D9"/>
          </w:tcPr>
          <w:p>
            <w:pPr>
              <w:pStyle w:val="TableParagraph"/>
              <w:spacing w:line="239" w:lineRule="exact"/>
              <w:ind w:left="4"/>
              <w:rPr>
                <w:sz w:val="22"/>
              </w:rPr>
            </w:pPr>
            <w:r>
              <w:rPr>
                <w:sz w:val="22"/>
              </w:rPr>
              <w:t>Special Schools Outside Richland</w:t>
            </w:r>
          </w:p>
        </w:tc>
        <w:tc>
          <w:tcPr>
            <w:tcW w:w="1760" w:type="dxa"/>
            <w:shd w:val="clear" w:color="auto" w:fill="D9D9D9"/>
          </w:tcPr>
          <w:p>
            <w:pPr>
              <w:pStyle w:val="TableParagraph"/>
              <w:spacing w:before="0"/>
              <w:ind w:left="0"/>
              <w:rPr>
                <w:rFonts w:ascii="Times New Roman"/>
                <w:sz w:val="20"/>
              </w:rPr>
            </w:pPr>
          </w:p>
        </w:tc>
        <w:tc>
          <w:tcPr>
            <w:tcW w:w="1318" w:type="dxa"/>
            <w:shd w:val="clear" w:color="auto" w:fill="D9D9D9"/>
          </w:tcPr>
          <w:p>
            <w:pPr>
              <w:pStyle w:val="TableParagraph"/>
              <w:spacing w:before="0"/>
              <w:ind w:left="0"/>
              <w:rPr>
                <w:rFonts w:ascii="Times New Roman"/>
                <w:sz w:val="20"/>
              </w:rPr>
            </w:pPr>
          </w:p>
        </w:tc>
        <w:tc>
          <w:tcPr>
            <w:tcW w:w="1234" w:type="dxa"/>
            <w:shd w:val="clear" w:color="auto" w:fill="D9D9D9"/>
          </w:tcPr>
          <w:p>
            <w:pPr>
              <w:pStyle w:val="TableParagraph"/>
              <w:spacing w:before="0"/>
              <w:ind w:left="0"/>
              <w:rPr>
                <w:rFonts w:ascii="Times New Roman"/>
                <w:sz w:val="20"/>
              </w:rPr>
            </w:pPr>
          </w:p>
        </w:tc>
        <w:tc>
          <w:tcPr>
            <w:tcW w:w="1580" w:type="dxa"/>
            <w:shd w:val="clear" w:color="auto" w:fill="D9D9D9"/>
          </w:tcPr>
          <w:p>
            <w:pPr>
              <w:pStyle w:val="TableParagraph"/>
              <w:spacing w:before="0"/>
              <w:ind w:left="0"/>
              <w:rPr>
                <w:rFonts w:ascii="Times New Roman"/>
                <w:sz w:val="20"/>
              </w:rPr>
            </w:pPr>
          </w:p>
        </w:tc>
      </w:tr>
      <w:tr>
        <w:trPr>
          <w:trHeight w:val="575" w:hRule="atLeast"/>
        </w:trPr>
        <w:tc>
          <w:tcPr>
            <w:tcW w:w="3250" w:type="dxa"/>
          </w:tcPr>
          <w:p>
            <w:pPr>
              <w:pStyle w:val="TableParagraph"/>
              <w:spacing w:line="256" w:lineRule="exact" w:before="64"/>
              <w:ind w:left="4" w:right="104"/>
              <w:rPr>
                <w:sz w:val="14"/>
              </w:rPr>
            </w:pPr>
            <w:r>
              <w:rPr>
                <w:sz w:val="22"/>
              </w:rPr>
              <w:t>Delta High School (Science, Technology, Engineering, Math) </w:t>
            </w:r>
            <w:r>
              <w:rPr>
                <w:position w:val="5"/>
                <w:sz w:val="14"/>
              </w:rPr>
              <w:t>2</w:t>
            </w:r>
          </w:p>
        </w:tc>
        <w:tc>
          <w:tcPr>
            <w:tcW w:w="1760" w:type="dxa"/>
          </w:tcPr>
          <w:p>
            <w:pPr>
              <w:pStyle w:val="TableParagraph"/>
              <w:spacing w:before="189"/>
              <w:rPr>
                <w:sz w:val="22"/>
              </w:rPr>
            </w:pPr>
            <w:r>
              <w:rPr>
                <w:sz w:val="22"/>
              </w:rPr>
              <w:t>44,013</w:t>
            </w:r>
          </w:p>
        </w:tc>
        <w:tc>
          <w:tcPr>
            <w:tcW w:w="1318" w:type="dxa"/>
          </w:tcPr>
          <w:p>
            <w:pPr>
              <w:pStyle w:val="TableParagraph"/>
              <w:spacing w:before="189"/>
              <w:ind w:left="106"/>
              <w:rPr>
                <w:sz w:val="22"/>
              </w:rPr>
            </w:pPr>
            <w:r>
              <w:rPr>
                <w:w w:val="100"/>
                <w:sz w:val="22"/>
              </w:rPr>
              <w:t>6</w:t>
            </w:r>
          </w:p>
        </w:tc>
        <w:tc>
          <w:tcPr>
            <w:tcW w:w="1234" w:type="dxa"/>
          </w:tcPr>
          <w:p>
            <w:pPr>
              <w:pStyle w:val="TableParagraph"/>
              <w:spacing w:before="189"/>
              <w:ind w:left="106"/>
              <w:rPr>
                <w:sz w:val="22"/>
              </w:rPr>
            </w:pPr>
            <w:r>
              <w:rPr>
                <w:w w:val="100"/>
                <w:sz w:val="22"/>
              </w:rPr>
              <w:t>1</w:t>
            </w:r>
          </w:p>
        </w:tc>
        <w:tc>
          <w:tcPr>
            <w:tcW w:w="1580" w:type="dxa"/>
          </w:tcPr>
          <w:p>
            <w:pPr>
              <w:pStyle w:val="TableParagraph"/>
              <w:spacing w:before="189"/>
              <w:ind w:left="105"/>
              <w:rPr>
                <w:sz w:val="22"/>
              </w:rPr>
            </w:pPr>
            <w:r>
              <w:rPr>
                <w:sz w:val="22"/>
              </w:rPr>
              <w:t>20</w:t>
            </w:r>
          </w:p>
        </w:tc>
      </w:tr>
      <w:tr>
        <w:trPr>
          <w:trHeight w:val="316" w:hRule="atLeast"/>
        </w:trPr>
        <w:tc>
          <w:tcPr>
            <w:tcW w:w="3250" w:type="dxa"/>
          </w:tcPr>
          <w:p>
            <w:pPr>
              <w:pStyle w:val="TableParagraph"/>
              <w:spacing w:line="237" w:lineRule="exact"/>
              <w:ind w:left="4"/>
              <w:rPr>
                <w:sz w:val="14"/>
              </w:rPr>
            </w:pPr>
            <w:r>
              <w:rPr>
                <w:sz w:val="22"/>
              </w:rPr>
              <w:t>Tri-Tech Skills Center</w:t>
            </w:r>
            <w:r>
              <w:rPr>
                <w:position w:val="5"/>
                <w:sz w:val="14"/>
              </w:rPr>
              <w:t>1</w:t>
            </w:r>
          </w:p>
        </w:tc>
        <w:tc>
          <w:tcPr>
            <w:tcW w:w="1760" w:type="dxa"/>
          </w:tcPr>
          <w:p>
            <w:pPr>
              <w:pStyle w:val="TableParagraph"/>
              <w:spacing w:before="0"/>
              <w:ind w:left="0"/>
              <w:rPr>
                <w:rFonts w:ascii="Times New Roman"/>
                <w:sz w:val="20"/>
              </w:rPr>
            </w:pPr>
          </w:p>
        </w:tc>
        <w:tc>
          <w:tcPr>
            <w:tcW w:w="1318" w:type="dxa"/>
          </w:tcPr>
          <w:p>
            <w:pPr>
              <w:pStyle w:val="TableParagraph"/>
              <w:spacing w:before="0"/>
              <w:ind w:left="0"/>
              <w:rPr>
                <w:rFonts w:ascii="Times New Roman"/>
                <w:sz w:val="20"/>
              </w:rPr>
            </w:pPr>
          </w:p>
        </w:tc>
        <w:tc>
          <w:tcPr>
            <w:tcW w:w="1234" w:type="dxa"/>
          </w:tcPr>
          <w:p>
            <w:pPr>
              <w:pStyle w:val="TableParagraph"/>
              <w:spacing w:before="0"/>
              <w:ind w:left="0"/>
              <w:rPr>
                <w:rFonts w:ascii="Times New Roman"/>
                <w:sz w:val="20"/>
              </w:rPr>
            </w:pPr>
          </w:p>
        </w:tc>
        <w:tc>
          <w:tcPr>
            <w:tcW w:w="1580" w:type="dxa"/>
          </w:tcPr>
          <w:p>
            <w:pPr>
              <w:pStyle w:val="TableParagraph"/>
              <w:spacing w:before="0"/>
              <w:ind w:left="0"/>
              <w:rPr>
                <w:rFonts w:ascii="Times New Roman"/>
                <w:sz w:val="20"/>
              </w:rPr>
            </w:pPr>
          </w:p>
        </w:tc>
      </w:tr>
      <w:tr>
        <w:trPr>
          <w:trHeight w:val="825" w:hRule="atLeast"/>
        </w:trPr>
        <w:tc>
          <w:tcPr>
            <w:tcW w:w="9142" w:type="dxa"/>
            <w:gridSpan w:val="5"/>
          </w:tcPr>
          <w:p>
            <w:pPr>
              <w:pStyle w:val="TableParagraph"/>
              <w:ind w:left="4"/>
              <w:rPr>
                <w:i/>
                <w:sz w:val="20"/>
              </w:rPr>
            </w:pPr>
            <w:r>
              <w:rPr>
                <w:i/>
                <w:position w:val="5"/>
                <w:sz w:val="13"/>
              </w:rPr>
              <w:t>1 </w:t>
            </w:r>
            <w:r>
              <w:rPr>
                <w:i/>
                <w:sz w:val="20"/>
              </w:rPr>
              <w:t>Serves the region and operated by multiple school districts.</w:t>
            </w:r>
          </w:p>
          <w:p>
            <w:pPr>
              <w:pStyle w:val="TableParagraph"/>
              <w:spacing w:line="230" w:lineRule="atLeast" w:before="61"/>
              <w:ind w:left="4"/>
              <w:rPr>
                <w:i/>
                <w:sz w:val="20"/>
              </w:rPr>
            </w:pPr>
            <w:r>
              <w:rPr>
                <w:i/>
                <w:position w:val="5"/>
                <w:sz w:val="13"/>
              </w:rPr>
              <w:t>2</w:t>
            </w:r>
            <w:r>
              <w:rPr>
                <w:i/>
                <w:spacing w:val="5"/>
                <w:position w:val="5"/>
                <w:sz w:val="13"/>
              </w:rPr>
              <w:t> </w:t>
            </w:r>
            <w:r>
              <w:rPr>
                <w:i/>
                <w:sz w:val="20"/>
              </w:rPr>
              <w:t>Located</w:t>
            </w:r>
            <w:r>
              <w:rPr>
                <w:i/>
                <w:spacing w:val="-10"/>
                <w:sz w:val="20"/>
              </w:rPr>
              <w:t> </w:t>
            </w:r>
            <w:r>
              <w:rPr>
                <w:i/>
                <w:sz w:val="20"/>
              </w:rPr>
              <w:t>in</w:t>
            </w:r>
            <w:r>
              <w:rPr>
                <w:i/>
                <w:spacing w:val="-11"/>
                <w:sz w:val="20"/>
              </w:rPr>
              <w:t> </w:t>
            </w:r>
            <w:r>
              <w:rPr>
                <w:i/>
                <w:sz w:val="20"/>
              </w:rPr>
              <w:t>Pasco.</w:t>
            </w:r>
            <w:r>
              <w:rPr>
                <w:i/>
                <w:spacing w:val="-10"/>
                <w:sz w:val="20"/>
              </w:rPr>
              <w:t> </w:t>
            </w:r>
            <w:r>
              <w:rPr>
                <w:i/>
                <w:sz w:val="20"/>
              </w:rPr>
              <w:t>Serves</w:t>
            </w:r>
            <w:r>
              <w:rPr>
                <w:i/>
                <w:spacing w:val="-10"/>
                <w:sz w:val="20"/>
              </w:rPr>
              <w:t> </w:t>
            </w:r>
            <w:r>
              <w:rPr>
                <w:i/>
                <w:sz w:val="20"/>
              </w:rPr>
              <w:t>the</w:t>
            </w:r>
            <w:r>
              <w:rPr>
                <w:i/>
                <w:spacing w:val="-9"/>
                <w:sz w:val="20"/>
              </w:rPr>
              <w:t> </w:t>
            </w:r>
            <w:r>
              <w:rPr>
                <w:i/>
                <w:sz w:val="20"/>
              </w:rPr>
              <w:t>region</w:t>
            </w:r>
            <w:r>
              <w:rPr>
                <w:i/>
                <w:spacing w:val="-12"/>
                <w:sz w:val="20"/>
              </w:rPr>
              <w:t> </w:t>
            </w:r>
            <w:r>
              <w:rPr>
                <w:i/>
                <w:sz w:val="20"/>
              </w:rPr>
              <w:t>and</w:t>
            </w:r>
            <w:r>
              <w:rPr>
                <w:i/>
                <w:spacing w:val="-9"/>
                <w:sz w:val="20"/>
              </w:rPr>
              <w:t> </w:t>
            </w:r>
            <w:r>
              <w:rPr>
                <w:i/>
                <w:sz w:val="20"/>
              </w:rPr>
              <w:t>operated</w:t>
            </w:r>
            <w:r>
              <w:rPr>
                <w:i/>
                <w:spacing w:val="-10"/>
                <w:sz w:val="20"/>
              </w:rPr>
              <w:t> </w:t>
            </w:r>
            <w:r>
              <w:rPr>
                <w:i/>
                <w:sz w:val="20"/>
              </w:rPr>
              <w:t>by</w:t>
            </w:r>
            <w:r>
              <w:rPr>
                <w:i/>
                <w:spacing w:val="-9"/>
                <w:sz w:val="20"/>
              </w:rPr>
              <w:t> </w:t>
            </w:r>
            <w:r>
              <w:rPr>
                <w:i/>
                <w:sz w:val="20"/>
              </w:rPr>
              <w:t>multiple</w:t>
            </w:r>
            <w:r>
              <w:rPr>
                <w:i/>
                <w:spacing w:val="-11"/>
                <w:sz w:val="20"/>
              </w:rPr>
              <w:t> </w:t>
            </w:r>
            <w:r>
              <w:rPr>
                <w:i/>
                <w:sz w:val="20"/>
              </w:rPr>
              <w:t>school</w:t>
            </w:r>
            <w:r>
              <w:rPr>
                <w:i/>
                <w:spacing w:val="-9"/>
                <w:sz w:val="20"/>
              </w:rPr>
              <w:t> </w:t>
            </w:r>
            <w:r>
              <w:rPr>
                <w:i/>
                <w:sz w:val="20"/>
              </w:rPr>
              <w:t>districts.</w:t>
            </w:r>
            <w:r>
              <w:rPr>
                <w:i/>
                <w:spacing w:val="-9"/>
                <w:sz w:val="20"/>
              </w:rPr>
              <w:t> </w:t>
            </w:r>
            <w:r>
              <w:rPr>
                <w:i/>
                <w:sz w:val="20"/>
              </w:rPr>
              <w:t>Students</w:t>
            </w:r>
            <w:r>
              <w:rPr>
                <w:i/>
                <w:spacing w:val="-11"/>
                <w:sz w:val="20"/>
              </w:rPr>
              <w:t> </w:t>
            </w:r>
            <w:r>
              <w:rPr>
                <w:i/>
                <w:sz w:val="20"/>
              </w:rPr>
              <w:t>are</w:t>
            </w:r>
            <w:r>
              <w:rPr>
                <w:i/>
                <w:spacing w:val="-10"/>
                <w:sz w:val="20"/>
              </w:rPr>
              <w:t> </w:t>
            </w:r>
            <w:r>
              <w:rPr>
                <w:i/>
                <w:sz w:val="20"/>
              </w:rPr>
              <w:t>selected</w:t>
            </w:r>
            <w:r>
              <w:rPr>
                <w:i/>
                <w:spacing w:val="-10"/>
                <w:sz w:val="20"/>
              </w:rPr>
              <w:t> </w:t>
            </w:r>
            <w:r>
              <w:rPr>
                <w:i/>
                <w:sz w:val="20"/>
              </w:rPr>
              <w:t>by</w:t>
            </w:r>
            <w:r>
              <w:rPr>
                <w:i/>
                <w:spacing w:val="-10"/>
                <w:sz w:val="20"/>
              </w:rPr>
              <w:t> </w:t>
            </w:r>
            <w:r>
              <w:rPr>
                <w:i/>
                <w:sz w:val="20"/>
              </w:rPr>
              <w:t>lottery. </w:t>
            </w:r>
            <w:r>
              <w:rPr>
                <w:i/>
                <w:sz w:val="20"/>
              </w:rPr>
              <w:t>Richland has a lottery allocation of 133 students accepted per</w:t>
            </w:r>
            <w:r>
              <w:rPr>
                <w:i/>
                <w:spacing w:val="-9"/>
                <w:sz w:val="20"/>
              </w:rPr>
              <w:t> </w:t>
            </w:r>
            <w:r>
              <w:rPr>
                <w:i/>
                <w:sz w:val="20"/>
              </w:rPr>
              <w:t>year.</w:t>
            </w:r>
          </w:p>
        </w:tc>
      </w:tr>
    </w:tbl>
    <w:p>
      <w:pPr>
        <w:spacing w:before="119"/>
        <w:ind w:left="120" w:right="0" w:firstLine="0"/>
        <w:jc w:val="left"/>
        <w:rPr>
          <w:rFonts w:ascii="Arial"/>
          <w:b/>
          <w:sz w:val="20"/>
        </w:rPr>
      </w:pPr>
      <w:r>
        <w:rPr>
          <w:rFonts w:ascii="Arial"/>
          <w:b/>
          <w:sz w:val="20"/>
        </w:rPr>
        <w:t>Table CF-9: Special Purpose Facilities</w:t>
      </w:r>
    </w:p>
    <w:p>
      <w:pPr>
        <w:pStyle w:val="BodyText"/>
        <w:spacing w:before="6"/>
        <w:rPr>
          <w:rFonts w:ascii="Arial"/>
          <w:b/>
          <w:sz w:val="10"/>
        </w:rPr>
      </w:pPr>
    </w:p>
    <w:tbl>
      <w:tblPr>
        <w:tblW w:w="0" w:type="auto"/>
        <w:jc w:val="left"/>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56"/>
        <w:gridCol w:w="1579"/>
        <w:gridCol w:w="1665"/>
        <w:gridCol w:w="1624"/>
        <w:gridCol w:w="1619"/>
      </w:tblGrid>
      <w:tr>
        <w:trPr>
          <w:trHeight w:val="388" w:hRule="atLeast"/>
        </w:trPr>
        <w:tc>
          <w:tcPr>
            <w:tcW w:w="2856" w:type="dxa"/>
            <w:shd w:val="clear" w:color="auto" w:fill="B8CCE3"/>
          </w:tcPr>
          <w:p>
            <w:pPr>
              <w:pStyle w:val="TableParagraph"/>
              <w:spacing w:line="249" w:lineRule="exact" w:before="119"/>
              <w:ind w:left="4"/>
              <w:rPr>
                <w:rFonts w:ascii="Calibri"/>
                <w:b/>
                <w:sz w:val="22"/>
              </w:rPr>
            </w:pPr>
            <w:r>
              <w:rPr>
                <w:rFonts w:ascii="Calibri"/>
                <w:b/>
                <w:sz w:val="22"/>
              </w:rPr>
              <w:t>School</w:t>
            </w:r>
          </w:p>
        </w:tc>
        <w:tc>
          <w:tcPr>
            <w:tcW w:w="1579" w:type="dxa"/>
            <w:shd w:val="clear" w:color="auto" w:fill="B8CCE3"/>
          </w:tcPr>
          <w:p>
            <w:pPr>
              <w:pStyle w:val="TableParagraph"/>
              <w:spacing w:line="249" w:lineRule="exact" w:before="119"/>
              <w:ind w:left="201"/>
              <w:rPr>
                <w:rFonts w:ascii="Calibri"/>
                <w:b/>
                <w:sz w:val="22"/>
              </w:rPr>
            </w:pPr>
            <w:r>
              <w:rPr>
                <w:rFonts w:ascii="Calibri"/>
                <w:b/>
                <w:sz w:val="22"/>
              </w:rPr>
              <w:t>Gymnasiums</w:t>
            </w:r>
          </w:p>
        </w:tc>
        <w:tc>
          <w:tcPr>
            <w:tcW w:w="1665" w:type="dxa"/>
            <w:shd w:val="clear" w:color="auto" w:fill="B8CCE3"/>
          </w:tcPr>
          <w:p>
            <w:pPr>
              <w:pStyle w:val="TableParagraph"/>
              <w:spacing w:line="249" w:lineRule="exact" w:before="119"/>
              <w:ind w:left="263"/>
              <w:rPr>
                <w:rFonts w:ascii="Calibri"/>
                <w:b/>
                <w:sz w:val="22"/>
              </w:rPr>
            </w:pPr>
            <w:r>
              <w:rPr>
                <w:rFonts w:ascii="Calibri"/>
                <w:b/>
                <w:sz w:val="22"/>
              </w:rPr>
              <w:t>Auditoriums</w:t>
            </w:r>
          </w:p>
        </w:tc>
        <w:tc>
          <w:tcPr>
            <w:tcW w:w="1624" w:type="dxa"/>
            <w:shd w:val="clear" w:color="auto" w:fill="B8CCE3"/>
          </w:tcPr>
          <w:p>
            <w:pPr>
              <w:pStyle w:val="TableParagraph"/>
              <w:spacing w:line="249" w:lineRule="exact" w:before="119"/>
              <w:ind w:left="351"/>
              <w:rPr>
                <w:rFonts w:ascii="Calibri"/>
                <w:b/>
                <w:sz w:val="22"/>
              </w:rPr>
            </w:pPr>
            <w:r>
              <w:rPr>
                <w:rFonts w:ascii="Calibri"/>
                <w:b/>
                <w:sz w:val="22"/>
              </w:rPr>
              <w:t>Cafeterias</w:t>
            </w:r>
          </w:p>
        </w:tc>
        <w:tc>
          <w:tcPr>
            <w:tcW w:w="1619" w:type="dxa"/>
            <w:shd w:val="clear" w:color="auto" w:fill="B8CCE3"/>
          </w:tcPr>
          <w:p>
            <w:pPr>
              <w:pStyle w:val="TableParagraph"/>
              <w:spacing w:line="249" w:lineRule="exact" w:before="119"/>
              <w:ind w:left="418"/>
              <w:rPr>
                <w:rFonts w:ascii="Calibri"/>
                <w:b/>
                <w:sz w:val="22"/>
              </w:rPr>
            </w:pPr>
            <w:r>
              <w:rPr>
                <w:rFonts w:ascii="Calibri"/>
                <w:b/>
                <w:sz w:val="22"/>
              </w:rPr>
              <w:t>Libraries</w:t>
            </w:r>
          </w:p>
        </w:tc>
      </w:tr>
      <w:tr>
        <w:trPr>
          <w:trHeight w:val="316" w:hRule="atLeast"/>
        </w:trPr>
        <w:tc>
          <w:tcPr>
            <w:tcW w:w="2856" w:type="dxa"/>
          </w:tcPr>
          <w:p>
            <w:pPr>
              <w:pStyle w:val="TableParagraph"/>
              <w:spacing w:line="237" w:lineRule="exact"/>
              <w:ind w:left="4"/>
              <w:rPr>
                <w:sz w:val="22"/>
              </w:rPr>
            </w:pPr>
            <w:r>
              <w:rPr>
                <w:sz w:val="22"/>
              </w:rPr>
              <w:t>Badger Mountain</w:t>
            </w:r>
          </w:p>
        </w:tc>
        <w:tc>
          <w:tcPr>
            <w:tcW w:w="1579" w:type="dxa"/>
          </w:tcPr>
          <w:p>
            <w:pPr>
              <w:pStyle w:val="TableParagraph"/>
              <w:spacing w:line="237" w:lineRule="exact"/>
              <w:rPr>
                <w:sz w:val="22"/>
              </w:rPr>
            </w:pPr>
            <w:r>
              <w:rPr>
                <w:w w:val="100"/>
                <w:sz w:val="22"/>
              </w:rPr>
              <w:t>1</w:t>
            </w:r>
          </w:p>
        </w:tc>
        <w:tc>
          <w:tcPr>
            <w:tcW w:w="1665" w:type="dxa"/>
          </w:tcPr>
          <w:p>
            <w:pPr>
              <w:pStyle w:val="TableParagraph"/>
              <w:spacing w:line="237" w:lineRule="exact"/>
              <w:rPr>
                <w:sz w:val="22"/>
              </w:rPr>
            </w:pPr>
            <w:r>
              <w:rPr>
                <w:w w:val="100"/>
                <w:sz w:val="22"/>
              </w:rPr>
              <w:t>0</w:t>
            </w:r>
          </w:p>
        </w:tc>
        <w:tc>
          <w:tcPr>
            <w:tcW w:w="1624" w:type="dxa"/>
          </w:tcPr>
          <w:p>
            <w:pPr>
              <w:pStyle w:val="TableParagraph"/>
              <w:spacing w:line="237" w:lineRule="exact"/>
              <w:ind w:left="108"/>
              <w:rPr>
                <w:sz w:val="22"/>
              </w:rPr>
            </w:pPr>
            <w:r>
              <w:rPr>
                <w:w w:val="100"/>
                <w:sz w:val="22"/>
              </w:rPr>
              <w:t>0</w:t>
            </w:r>
          </w:p>
        </w:tc>
        <w:tc>
          <w:tcPr>
            <w:tcW w:w="1619" w:type="dxa"/>
          </w:tcPr>
          <w:p>
            <w:pPr>
              <w:pStyle w:val="TableParagraph"/>
              <w:spacing w:line="237" w:lineRule="exact"/>
              <w:rPr>
                <w:sz w:val="22"/>
              </w:rPr>
            </w:pPr>
            <w:r>
              <w:rPr>
                <w:w w:val="100"/>
                <w:sz w:val="22"/>
              </w:rPr>
              <w:t>1</w:t>
            </w:r>
          </w:p>
        </w:tc>
      </w:tr>
      <w:tr>
        <w:trPr>
          <w:trHeight w:val="318" w:hRule="atLeast"/>
        </w:trPr>
        <w:tc>
          <w:tcPr>
            <w:tcW w:w="2856" w:type="dxa"/>
          </w:tcPr>
          <w:p>
            <w:pPr>
              <w:pStyle w:val="TableParagraph"/>
              <w:spacing w:line="237" w:lineRule="exact" w:before="62"/>
              <w:ind w:left="4"/>
              <w:rPr>
                <w:sz w:val="22"/>
              </w:rPr>
            </w:pPr>
            <w:r>
              <w:rPr>
                <w:sz w:val="22"/>
              </w:rPr>
              <w:t>Jason Lee</w:t>
            </w:r>
          </w:p>
        </w:tc>
        <w:tc>
          <w:tcPr>
            <w:tcW w:w="1579" w:type="dxa"/>
          </w:tcPr>
          <w:p>
            <w:pPr>
              <w:pStyle w:val="TableParagraph"/>
              <w:spacing w:line="237" w:lineRule="exact" w:before="62"/>
              <w:rPr>
                <w:sz w:val="22"/>
              </w:rPr>
            </w:pPr>
            <w:r>
              <w:rPr>
                <w:w w:val="100"/>
                <w:sz w:val="22"/>
              </w:rPr>
              <w:t>1</w:t>
            </w:r>
          </w:p>
        </w:tc>
        <w:tc>
          <w:tcPr>
            <w:tcW w:w="1665" w:type="dxa"/>
          </w:tcPr>
          <w:p>
            <w:pPr>
              <w:pStyle w:val="TableParagraph"/>
              <w:spacing w:line="237" w:lineRule="exact" w:before="62"/>
              <w:rPr>
                <w:sz w:val="22"/>
              </w:rPr>
            </w:pPr>
            <w:r>
              <w:rPr>
                <w:w w:val="100"/>
                <w:sz w:val="22"/>
              </w:rPr>
              <w:t>1</w:t>
            </w:r>
          </w:p>
        </w:tc>
        <w:tc>
          <w:tcPr>
            <w:tcW w:w="1624" w:type="dxa"/>
          </w:tcPr>
          <w:p>
            <w:pPr>
              <w:pStyle w:val="TableParagraph"/>
              <w:spacing w:line="237" w:lineRule="exact" w:before="62"/>
              <w:ind w:left="108"/>
              <w:rPr>
                <w:sz w:val="22"/>
              </w:rPr>
            </w:pPr>
            <w:r>
              <w:rPr>
                <w:w w:val="100"/>
                <w:sz w:val="22"/>
              </w:rPr>
              <w:t>1</w:t>
            </w:r>
          </w:p>
        </w:tc>
        <w:tc>
          <w:tcPr>
            <w:tcW w:w="1619" w:type="dxa"/>
          </w:tcPr>
          <w:p>
            <w:pPr>
              <w:pStyle w:val="TableParagraph"/>
              <w:spacing w:line="237" w:lineRule="exact" w:before="62"/>
              <w:rPr>
                <w:sz w:val="22"/>
              </w:rPr>
            </w:pPr>
            <w:r>
              <w:rPr>
                <w:w w:val="100"/>
                <w:sz w:val="22"/>
              </w:rPr>
              <w:t>1</w:t>
            </w:r>
          </w:p>
        </w:tc>
      </w:tr>
      <w:tr>
        <w:trPr>
          <w:trHeight w:val="318" w:hRule="atLeast"/>
        </w:trPr>
        <w:tc>
          <w:tcPr>
            <w:tcW w:w="2856" w:type="dxa"/>
          </w:tcPr>
          <w:p>
            <w:pPr>
              <w:pStyle w:val="TableParagraph"/>
              <w:spacing w:line="239" w:lineRule="exact"/>
              <w:ind w:left="4"/>
              <w:rPr>
                <w:sz w:val="22"/>
              </w:rPr>
            </w:pPr>
            <w:r>
              <w:rPr>
                <w:sz w:val="22"/>
              </w:rPr>
              <w:t>Jefferson</w:t>
            </w:r>
          </w:p>
        </w:tc>
        <w:tc>
          <w:tcPr>
            <w:tcW w:w="1579" w:type="dxa"/>
          </w:tcPr>
          <w:p>
            <w:pPr>
              <w:pStyle w:val="TableParagraph"/>
              <w:spacing w:line="239" w:lineRule="exact"/>
              <w:rPr>
                <w:sz w:val="22"/>
              </w:rPr>
            </w:pPr>
            <w:r>
              <w:rPr>
                <w:w w:val="100"/>
                <w:sz w:val="22"/>
              </w:rPr>
              <w:t>1</w:t>
            </w:r>
          </w:p>
        </w:tc>
        <w:tc>
          <w:tcPr>
            <w:tcW w:w="1665" w:type="dxa"/>
          </w:tcPr>
          <w:p>
            <w:pPr>
              <w:pStyle w:val="TableParagraph"/>
              <w:spacing w:line="239" w:lineRule="exact"/>
              <w:rPr>
                <w:sz w:val="22"/>
              </w:rPr>
            </w:pPr>
            <w:r>
              <w:rPr>
                <w:w w:val="100"/>
                <w:sz w:val="22"/>
              </w:rPr>
              <w:t>0</w:t>
            </w:r>
          </w:p>
        </w:tc>
        <w:tc>
          <w:tcPr>
            <w:tcW w:w="1624" w:type="dxa"/>
          </w:tcPr>
          <w:p>
            <w:pPr>
              <w:pStyle w:val="TableParagraph"/>
              <w:spacing w:line="239" w:lineRule="exact"/>
              <w:ind w:left="108"/>
              <w:rPr>
                <w:sz w:val="22"/>
              </w:rPr>
            </w:pPr>
            <w:r>
              <w:rPr>
                <w:w w:val="100"/>
                <w:sz w:val="22"/>
              </w:rPr>
              <w:t>0</w:t>
            </w:r>
          </w:p>
        </w:tc>
        <w:tc>
          <w:tcPr>
            <w:tcW w:w="1619" w:type="dxa"/>
          </w:tcPr>
          <w:p>
            <w:pPr>
              <w:pStyle w:val="TableParagraph"/>
              <w:spacing w:line="239" w:lineRule="exact"/>
              <w:rPr>
                <w:sz w:val="22"/>
              </w:rPr>
            </w:pPr>
            <w:r>
              <w:rPr>
                <w:w w:val="100"/>
                <w:sz w:val="22"/>
              </w:rPr>
              <w:t>1</w:t>
            </w:r>
          </w:p>
        </w:tc>
      </w:tr>
      <w:tr>
        <w:trPr>
          <w:trHeight w:val="316" w:hRule="atLeast"/>
        </w:trPr>
        <w:tc>
          <w:tcPr>
            <w:tcW w:w="2856" w:type="dxa"/>
          </w:tcPr>
          <w:p>
            <w:pPr>
              <w:pStyle w:val="TableParagraph"/>
              <w:spacing w:line="237" w:lineRule="exact"/>
              <w:ind w:left="4"/>
              <w:rPr>
                <w:sz w:val="22"/>
              </w:rPr>
            </w:pPr>
            <w:r>
              <w:rPr>
                <w:sz w:val="22"/>
              </w:rPr>
              <w:t>Lewis and Clark</w:t>
            </w:r>
          </w:p>
        </w:tc>
        <w:tc>
          <w:tcPr>
            <w:tcW w:w="1579" w:type="dxa"/>
          </w:tcPr>
          <w:p>
            <w:pPr>
              <w:pStyle w:val="TableParagraph"/>
              <w:spacing w:line="237" w:lineRule="exact"/>
              <w:rPr>
                <w:sz w:val="22"/>
              </w:rPr>
            </w:pPr>
            <w:r>
              <w:rPr>
                <w:w w:val="100"/>
                <w:sz w:val="22"/>
              </w:rPr>
              <w:t>1</w:t>
            </w:r>
          </w:p>
        </w:tc>
        <w:tc>
          <w:tcPr>
            <w:tcW w:w="1665" w:type="dxa"/>
          </w:tcPr>
          <w:p>
            <w:pPr>
              <w:pStyle w:val="TableParagraph"/>
              <w:spacing w:line="237" w:lineRule="exact"/>
              <w:rPr>
                <w:sz w:val="22"/>
              </w:rPr>
            </w:pPr>
            <w:r>
              <w:rPr>
                <w:w w:val="100"/>
                <w:sz w:val="22"/>
              </w:rPr>
              <w:t>0</w:t>
            </w:r>
          </w:p>
        </w:tc>
        <w:tc>
          <w:tcPr>
            <w:tcW w:w="1624" w:type="dxa"/>
          </w:tcPr>
          <w:p>
            <w:pPr>
              <w:pStyle w:val="TableParagraph"/>
              <w:spacing w:line="237" w:lineRule="exact"/>
              <w:ind w:left="108"/>
              <w:rPr>
                <w:sz w:val="22"/>
              </w:rPr>
            </w:pPr>
            <w:r>
              <w:rPr>
                <w:w w:val="100"/>
                <w:sz w:val="22"/>
              </w:rPr>
              <w:t>0</w:t>
            </w:r>
          </w:p>
        </w:tc>
        <w:tc>
          <w:tcPr>
            <w:tcW w:w="1619" w:type="dxa"/>
          </w:tcPr>
          <w:p>
            <w:pPr>
              <w:pStyle w:val="TableParagraph"/>
              <w:spacing w:line="237" w:lineRule="exact"/>
              <w:rPr>
                <w:sz w:val="22"/>
              </w:rPr>
            </w:pPr>
            <w:r>
              <w:rPr>
                <w:w w:val="100"/>
                <w:sz w:val="22"/>
              </w:rPr>
              <w:t>1</w:t>
            </w:r>
          </w:p>
        </w:tc>
      </w:tr>
      <w:tr>
        <w:trPr>
          <w:trHeight w:val="318" w:hRule="atLeast"/>
        </w:trPr>
        <w:tc>
          <w:tcPr>
            <w:tcW w:w="2856" w:type="dxa"/>
          </w:tcPr>
          <w:p>
            <w:pPr>
              <w:pStyle w:val="TableParagraph"/>
              <w:spacing w:line="239" w:lineRule="exact"/>
              <w:ind w:left="4"/>
              <w:rPr>
                <w:sz w:val="22"/>
              </w:rPr>
            </w:pPr>
            <w:r>
              <w:rPr>
                <w:sz w:val="22"/>
              </w:rPr>
              <w:t>Marcus Whitman</w:t>
            </w:r>
          </w:p>
        </w:tc>
        <w:tc>
          <w:tcPr>
            <w:tcW w:w="1579" w:type="dxa"/>
          </w:tcPr>
          <w:p>
            <w:pPr>
              <w:pStyle w:val="TableParagraph"/>
              <w:spacing w:line="239" w:lineRule="exact"/>
              <w:rPr>
                <w:sz w:val="22"/>
              </w:rPr>
            </w:pPr>
            <w:r>
              <w:rPr>
                <w:w w:val="100"/>
                <w:sz w:val="22"/>
              </w:rPr>
              <w:t>1</w:t>
            </w:r>
          </w:p>
        </w:tc>
        <w:tc>
          <w:tcPr>
            <w:tcW w:w="1665" w:type="dxa"/>
          </w:tcPr>
          <w:p>
            <w:pPr>
              <w:pStyle w:val="TableParagraph"/>
              <w:spacing w:line="239" w:lineRule="exact"/>
              <w:rPr>
                <w:sz w:val="22"/>
              </w:rPr>
            </w:pPr>
            <w:r>
              <w:rPr>
                <w:w w:val="100"/>
                <w:sz w:val="22"/>
              </w:rPr>
              <w:t>0</w:t>
            </w:r>
          </w:p>
        </w:tc>
        <w:tc>
          <w:tcPr>
            <w:tcW w:w="1624" w:type="dxa"/>
          </w:tcPr>
          <w:p>
            <w:pPr>
              <w:pStyle w:val="TableParagraph"/>
              <w:spacing w:line="239" w:lineRule="exact"/>
              <w:ind w:left="108"/>
              <w:rPr>
                <w:sz w:val="22"/>
              </w:rPr>
            </w:pPr>
            <w:r>
              <w:rPr>
                <w:w w:val="100"/>
                <w:sz w:val="22"/>
              </w:rPr>
              <w:t>0</w:t>
            </w:r>
          </w:p>
        </w:tc>
        <w:tc>
          <w:tcPr>
            <w:tcW w:w="1619" w:type="dxa"/>
          </w:tcPr>
          <w:p>
            <w:pPr>
              <w:pStyle w:val="TableParagraph"/>
              <w:spacing w:line="239" w:lineRule="exact"/>
              <w:rPr>
                <w:sz w:val="22"/>
              </w:rPr>
            </w:pPr>
            <w:r>
              <w:rPr>
                <w:w w:val="100"/>
                <w:sz w:val="22"/>
              </w:rPr>
              <w:t>1</w:t>
            </w:r>
          </w:p>
        </w:tc>
      </w:tr>
      <w:tr>
        <w:trPr>
          <w:trHeight w:val="318" w:hRule="atLeast"/>
        </w:trPr>
        <w:tc>
          <w:tcPr>
            <w:tcW w:w="2856" w:type="dxa"/>
          </w:tcPr>
          <w:p>
            <w:pPr>
              <w:pStyle w:val="TableParagraph"/>
              <w:spacing w:line="239" w:lineRule="exact"/>
              <w:ind w:left="4"/>
              <w:rPr>
                <w:sz w:val="22"/>
              </w:rPr>
            </w:pPr>
            <w:r>
              <w:rPr>
                <w:sz w:val="22"/>
              </w:rPr>
              <w:t>Orchard</w:t>
            </w:r>
          </w:p>
        </w:tc>
        <w:tc>
          <w:tcPr>
            <w:tcW w:w="1579" w:type="dxa"/>
          </w:tcPr>
          <w:p>
            <w:pPr>
              <w:pStyle w:val="TableParagraph"/>
              <w:spacing w:line="239" w:lineRule="exact"/>
              <w:rPr>
                <w:sz w:val="22"/>
              </w:rPr>
            </w:pPr>
            <w:r>
              <w:rPr>
                <w:w w:val="100"/>
                <w:sz w:val="22"/>
              </w:rPr>
              <w:t>1</w:t>
            </w:r>
          </w:p>
        </w:tc>
        <w:tc>
          <w:tcPr>
            <w:tcW w:w="1665" w:type="dxa"/>
          </w:tcPr>
          <w:p>
            <w:pPr>
              <w:pStyle w:val="TableParagraph"/>
              <w:spacing w:line="239" w:lineRule="exact"/>
              <w:rPr>
                <w:sz w:val="22"/>
              </w:rPr>
            </w:pPr>
            <w:r>
              <w:rPr>
                <w:w w:val="100"/>
                <w:sz w:val="22"/>
              </w:rPr>
              <w:t>0</w:t>
            </w:r>
          </w:p>
        </w:tc>
        <w:tc>
          <w:tcPr>
            <w:tcW w:w="1624" w:type="dxa"/>
          </w:tcPr>
          <w:p>
            <w:pPr>
              <w:pStyle w:val="TableParagraph"/>
              <w:spacing w:line="239" w:lineRule="exact"/>
              <w:ind w:left="108"/>
              <w:rPr>
                <w:sz w:val="22"/>
              </w:rPr>
            </w:pPr>
            <w:r>
              <w:rPr>
                <w:w w:val="100"/>
                <w:sz w:val="22"/>
              </w:rPr>
              <w:t>1</w:t>
            </w:r>
          </w:p>
        </w:tc>
        <w:tc>
          <w:tcPr>
            <w:tcW w:w="1619" w:type="dxa"/>
          </w:tcPr>
          <w:p>
            <w:pPr>
              <w:pStyle w:val="TableParagraph"/>
              <w:spacing w:line="239" w:lineRule="exact"/>
              <w:rPr>
                <w:sz w:val="22"/>
              </w:rPr>
            </w:pPr>
            <w:r>
              <w:rPr>
                <w:w w:val="100"/>
                <w:sz w:val="22"/>
              </w:rPr>
              <w:t>1</w:t>
            </w:r>
          </w:p>
        </w:tc>
      </w:tr>
      <w:tr>
        <w:trPr>
          <w:trHeight w:val="316" w:hRule="atLeast"/>
        </w:trPr>
        <w:tc>
          <w:tcPr>
            <w:tcW w:w="2856" w:type="dxa"/>
          </w:tcPr>
          <w:p>
            <w:pPr>
              <w:pStyle w:val="TableParagraph"/>
              <w:spacing w:line="237" w:lineRule="exact"/>
              <w:ind w:left="4"/>
              <w:rPr>
                <w:sz w:val="22"/>
              </w:rPr>
            </w:pPr>
            <w:r>
              <w:rPr>
                <w:sz w:val="22"/>
              </w:rPr>
              <w:t>Sacajawea</w:t>
            </w:r>
          </w:p>
        </w:tc>
        <w:tc>
          <w:tcPr>
            <w:tcW w:w="1579" w:type="dxa"/>
          </w:tcPr>
          <w:p>
            <w:pPr>
              <w:pStyle w:val="TableParagraph"/>
              <w:spacing w:line="237" w:lineRule="exact"/>
              <w:rPr>
                <w:sz w:val="22"/>
              </w:rPr>
            </w:pPr>
            <w:r>
              <w:rPr>
                <w:w w:val="100"/>
                <w:sz w:val="22"/>
              </w:rPr>
              <w:t>1</w:t>
            </w:r>
          </w:p>
        </w:tc>
        <w:tc>
          <w:tcPr>
            <w:tcW w:w="1665" w:type="dxa"/>
          </w:tcPr>
          <w:p>
            <w:pPr>
              <w:pStyle w:val="TableParagraph"/>
              <w:spacing w:line="237" w:lineRule="exact"/>
              <w:rPr>
                <w:sz w:val="22"/>
              </w:rPr>
            </w:pPr>
            <w:r>
              <w:rPr>
                <w:w w:val="100"/>
                <w:sz w:val="22"/>
              </w:rPr>
              <w:t>0</w:t>
            </w:r>
          </w:p>
        </w:tc>
        <w:tc>
          <w:tcPr>
            <w:tcW w:w="1624" w:type="dxa"/>
          </w:tcPr>
          <w:p>
            <w:pPr>
              <w:pStyle w:val="TableParagraph"/>
              <w:spacing w:line="237" w:lineRule="exact"/>
              <w:ind w:left="108"/>
              <w:rPr>
                <w:sz w:val="22"/>
              </w:rPr>
            </w:pPr>
            <w:r>
              <w:rPr>
                <w:w w:val="100"/>
                <w:sz w:val="22"/>
              </w:rPr>
              <w:t>0</w:t>
            </w:r>
          </w:p>
        </w:tc>
        <w:tc>
          <w:tcPr>
            <w:tcW w:w="1619" w:type="dxa"/>
          </w:tcPr>
          <w:p>
            <w:pPr>
              <w:pStyle w:val="TableParagraph"/>
              <w:spacing w:line="237" w:lineRule="exact"/>
              <w:rPr>
                <w:sz w:val="22"/>
              </w:rPr>
            </w:pPr>
            <w:r>
              <w:rPr>
                <w:w w:val="100"/>
                <w:sz w:val="22"/>
              </w:rPr>
              <w:t>1</w:t>
            </w:r>
          </w:p>
        </w:tc>
      </w:tr>
      <w:tr>
        <w:trPr>
          <w:trHeight w:val="318" w:hRule="atLeast"/>
        </w:trPr>
        <w:tc>
          <w:tcPr>
            <w:tcW w:w="2856" w:type="dxa"/>
          </w:tcPr>
          <w:p>
            <w:pPr>
              <w:pStyle w:val="TableParagraph"/>
              <w:spacing w:line="239" w:lineRule="exact"/>
              <w:ind w:left="4"/>
              <w:rPr>
                <w:sz w:val="22"/>
              </w:rPr>
            </w:pPr>
            <w:r>
              <w:rPr>
                <w:sz w:val="22"/>
              </w:rPr>
              <w:t>Tapteal</w:t>
            </w:r>
          </w:p>
        </w:tc>
        <w:tc>
          <w:tcPr>
            <w:tcW w:w="1579" w:type="dxa"/>
          </w:tcPr>
          <w:p>
            <w:pPr>
              <w:pStyle w:val="TableParagraph"/>
              <w:spacing w:line="239" w:lineRule="exact"/>
              <w:rPr>
                <w:sz w:val="22"/>
              </w:rPr>
            </w:pPr>
            <w:r>
              <w:rPr>
                <w:w w:val="100"/>
                <w:sz w:val="22"/>
              </w:rPr>
              <w:t>1</w:t>
            </w:r>
          </w:p>
        </w:tc>
        <w:tc>
          <w:tcPr>
            <w:tcW w:w="1665" w:type="dxa"/>
          </w:tcPr>
          <w:p>
            <w:pPr>
              <w:pStyle w:val="TableParagraph"/>
              <w:spacing w:line="239" w:lineRule="exact"/>
              <w:rPr>
                <w:sz w:val="22"/>
              </w:rPr>
            </w:pPr>
            <w:r>
              <w:rPr>
                <w:w w:val="100"/>
                <w:sz w:val="22"/>
              </w:rPr>
              <w:t>0</w:t>
            </w:r>
          </w:p>
        </w:tc>
        <w:tc>
          <w:tcPr>
            <w:tcW w:w="1624" w:type="dxa"/>
          </w:tcPr>
          <w:p>
            <w:pPr>
              <w:pStyle w:val="TableParagraph"/>
              <w:spacing w:line="239" w:lineRule="exact"/>
              <w:ind w:left="108"/>
              <w:rPr>
                <w:sz w:val="22"/>
              </w:rPr>
            </w:pPr>
            <w:r>
              <w:rPr>
                <w:w w:val="100"/>
                <w:sz w:val="22"/>
              </w:rPr>
              <w:t>0</w:t>
            </w:r>
          </w:p>
        </w:tc>
        <w:tc>
          <w:tcPr>
            <w:tcW w:w="1619" w:type="dxa"/>
          </w:tcPr>
          <w:p>
            <w:pPr>
              <w:pStyle w:val="TableParagraph"/>
              <w:spacing w:line="239" w:lineRule="exact"/>
              <w:rPr>
                <w:sz w:val="22"/>
              </w:rPr>
            </w:pPr>
            <w:r>
              <w:rPr>
                <w:w w:val="100"/>
                <w:sz w:val="22"/>
              </w:rPr>
              <w:t>1</w:t>
            </w:r>
          </w:p>
        </w:tc>
      </w:tr>
      <w:tr>
        <w:trPr>
          <w:trHeight w:val="316" w:hRule="atLeast"/>
        </w:trPr>
        <w:tc>
          <w:tcPr>
            <w:tcW w:w="2856" w:type="dxa"/>
          </w:tcPr>
          <w:p>
            <w:pPr>
              <w:pStyle w:val="TableParagraph"/>
              <w:spacing w:line="237" w:lineRule="exact"/>
              <w:ind w:left="4"/>
              <w:rPr>
                <w:sz w:val="22"/>
              </w:rPr>
            </w:pPr>
            <w:r>
              <w:rPr>
                <w:sz w:val="22"/>
              </w:rPr>
              <w:t>White Bluffs</w:t>
            </w:r>
          </w:p>
        </w:tc>
        <w:tc>
          <w:tcPr>
            <w:tcW w:w="1579" w:type="dxa"/>
          </w:tcPr>
          <w:p>
            <w:pPr>
              <w:pStyle w:val="TableParagraph"/>
              <w:spacing w:line="237" w:lineRule="exact"/>
              <w:rPr>
                <w:sz w:val="22"/>
              </w:rPr>
            </w:pPr>
            <w:r>
              <w:rPr>
                <w:w w:val="100"/>
                <w:sz w:val="22"/>
              </w:rPr>
              <w:t>1</w:t>
            </w:r>
          </w:p>
        </w:tc>
        <w:tc>
          <w:tcPr>
            <w:tcW w:w="1665" w:type="dxa"/>
          </w:tcPr>
          <w:p>
            <w:pPr>
              <w:pStyle w:val="TableParagraph"/>
              <w:spacing w:line="237" w:lineRule="exact"/>
              <w:rPr>
                <w:sz w:val="22"/>
              </w:rPr>
            </w:pPr>
            <w:r>
              <w:rPr>
                <w:w w:val="100"/>
                <w:sz w:val="22"/>
              </w:rPr>
              <w:t>0</w:t>
            </w:r>
          </w:p>
        </w:tc>
        <w:tc>
          <w:tcPr>
            <w:tcW w:w="1624" w:type="dxa"/>
          </w:tcPr>
          <w:p>
            <w:pPr>
              <w:pStyle w:val="TableParagraph"/>
              <w:spacing w:line="237" w:lineRule="exact"/>
              <w:ind w:left="108"/>
              <w:rPr>
                <w:sz w:val="22"/>
              </w:rPr>
            </w:pPr>
            <w:r>
              <w:rPr>
                <w:w w:val="100"/>
                <w:sz w:val="22"/>
              </w:rPr>
              <w:t>1</w:t>
            </w:r>
          </w:p>
        </w:tc>
        <w:tc>
          <w:tcPr>
            <w:tcW w:w="1619" w:type="dxa"/>
          </w:tcPr>
          <w:p>
            <w:pPr>
              <w:pStyle w:val="TableParagraph"/>
              <w:spacing w:line="237" w:lineRule="exact"/>
              <w:rPr>
                <w:sz w:val="22"/>
              </w:rPr>
            </w:pPr>
            <w:r>
              <w:rPr>
                <w:w w:val="100"/>
                <w:sz w:val="22"/>
              </w:rPr>
              <w:t>1</w:t>
            </w:r>
          </w:p>
        </w:tc>
      </w:tr>
      <w:tr>
        <w:trPr>
          <w:trHeight w:val="318" w:hRule="atLeast"/>
        </w:trPr>
        <w:tc>
          <w:tcPr>
            <w:tcW w:w="2856" w:type="dxa"/>
          </w:tcPr>
          <w:p>
            <w:pPr>
              <w:pStyle w:val="TableParagraph"/>
              <w:spacing w:line="237" w:lineRule="exact" w:before="62"/>
              <w:ind w:left="4"/>
              <w:rPr>
                <w:sz w:val="22"/>
              </w:rPr>
            </w:pPr>
            <w:r>
              <w:rPr>
                <w:sz w:val="22"/>
              </w:rPr>
              <w:t>William Wiley</w:t>
            </w:r>
          </w:p>
        </w:tc>
        <w:tc>
          <w:tcPr>
            <w:tcW w:w="1579" w:type="dxa"/>
          </w:tcPr>
          <w:p>
            <w:pPr>
              <w:pStyle w:val="TableParagraph"/>
              <w:spacing w:line="237" w:lineRule="exact" w:before="62"/>
              <w:rPr>
                <w:sz w:val="22"/>
              </w:rPr>
            </w:pPr>
            <w:r>
              <w:rPr>
                <w:w w:val="100"/>
                <w:sz w:val="22"/>
              </w:rPr>
              <w:t>1</w:t>
            </w:r>
          </w:p>
        </w:tc>
        <w:tc>
          <w:tcPr>
            <w:tcW w:w="1665" w:type="dxa"/>
          </w:tcPr>
          <w:p>
            <w:pPr>
              <w:pStyle w:val="TableParagraph"/>
              <w:spacing w:line="237" w:lineRule="exact" w:before="62"/>
              <w:rPr>
                <w:sz w:val="22"/>
              </w:rPr>
            </w:pPr>
            <w:r>
              <w:rPr>
                <w:w w:val="100"/>
                <w:sz w:val="22"/>
              </w:rPr>
              <w:t>0</w:t>
            </w:r>
          </w:p>
        </w:tc>
        <w:tc>
          <w:tcPr>
            <w:tcW w:w="1624" w:type="dxa"/>
          </w:tcPr>
          <w:p>
            <w:pPr>
              <w:pStyle w:val="TableParagraph"/>
              <w:spacing w:line="237" w:lineRule="exact" w:before="62"/>
              <w:ind w:left="108"/>
              <w:rPr>
                <w:sz w:val="22"/>
              </w:rPr>
            </w:pPr>
            <w:r>
              <w:rPr>
                <w:w w:val="100"/>
                <w:sz w:val="22"/>
              </w:rPr>
              <w:t>0</w:t>
            </w:r>
          </w:p>
        </w:tc>
        <w:tc>
          <w:tcPr>
            <w:tcW w:w="1619" w:type="dxa"/>
          </w:tcPr>
          <w:p>
            <w:pPr>
              <w:pStyle w:val="TableParagraph"/>
              <w:spacing w:line="237" w:lineRule="exact" w:before="62"/>
              <w:rPr>
                <w:sz w:val="22"/>
              </w:rPr>
            </w:pPr>
            <w:r>
              <w:rPr>
                <w:w w:val="100"/>
                <w:sz w:val="22"/>
              </w:rPr>
              <w:t>1</w:t>
            </w:r>
          </w:p>
        </w:tc>
      </w:tr>
      <w:tr>
        <w:trPr>
          <w:trHeight w:val="318" w:hRule="atLeast"/>
        </w:trPr>
        <w:tc>
          <w:tcPr>
            <w:tcW w:w="2856" w:type="dxa"/>
          </w:tcPr>
          <w:p>
            <w:pPr>
              <w:pStyle w:val="TableParagraph"/>
              <w:spacing w:line="239" w:lineRule="exact"/>
              <w:ind w:left="4"/>
              <w:rPr>
                <w:sz w:val="22"/>
              </w:rPr>
            </w:pPr>
            <w:r>
              <w:rPr>
                <w:sz w:val="22"/>
              </w:rPr>
              <w:t>Carmichael</w:t>
            </w:r>
          </w:p>
        </w:tc>
        <w:tc>
          <w:tcPr>
            <w:tcW w:w="1579" w:type="dxa"/>
          </w:tcPr>
          <w:p>
            <w:pPr>
              <w:pStyle w:val="TableParagraph"/>
              <w:spacing w:line="239" w:lineRule="exact"/>
              <w:rPr>
                <w:sz w:val="22"/>
              </w:rPr>
            </w:pPr>
            <w:r>
              <w:rPr>
                <w:w w:val="100"/>
                <w:sz w:val="22"/>
              </w:rPr>
              <w:t>2</w:t>
            </w:r>
          </w:p>
        </w:tc>
        <w:tc>
          <w:tcPr>
            <w:tcW w:w="1665" w:type="dxa"/>
          </w:tcPr>
          <w:p>
            <w:pPr>
              <w:pStyle w:val="TableParagraph"/>
              <w:spacing w:line="239" w:lineRule="exact"/>
              <w:rPr>
                <w:sz w:val="22"/>
              </w:rPr>
            </w:pPr>
            <w:r>
              <w:rPr>
                <w:w w:val="100"/>
                <w:sz w:val="22"/>
              </w:rPr>
              <w:t>1</w:t>
            </w:r>
          </w:p>
        </w:tc>
        <w:tc>
          <w:tcPr>
            <w:tcW w:w="1624" w:type="dxa"/>
          </w:tcPr>
          <w:p>
            <w:pPr>
              <w:pStyle w:val="TableParagraph"/>
              <w:spacing w:line="239" w:lineRule="exact"/>
              <w:ind w:left="108"/>
              <w:rPr>
                <w:sz w:val="22"/>
              </w:rPr>
            </w:pPr>
            <w:r>
              <w:rPr>
                <w:w w:val="100"/>
                <w:sz w:val="22"/>
              </w:rPr>
              <w:t>1</w:t>
            </w:r>
          </w:p>
        </w:tc>
        <w:tc>
          <w:tcPr>
            <w:tcW w:w="1619" w:type="dxa"/>
          </w:tcPr>
          <w:p>
            <w:pPr>
              <w:pStyle w:val="TableParagraph"/>
              <w:spacing w:line="239" w:lineRule="exact"/>
              <w:rPr>
                <w:sz w:val="22"/>
              </w:rPr>
            </w:pPr>
            <w:r>
              <w:rPr>
                <w:w w:val="100"/>
                <w:sz w:val="22"/>
              </w:rPr>
              <w:t>1</w:t>
            </w:r>
          </w:p>
        </w:tc>
      </w:tr>
      <w:tr>
        <w:trPr>
          <w:trHeight w:val="316" w:hRule="atLeast"/>
        </w:trPr>
        <w:tc>
          <w:tcPr>
            <w:tcW w:w="2856" w:type="dxa"/>
          </w:tcPr>
          <w:p>
            <w:pPr>
              <w:pStyle w:val="TableParagraph"/>
              <w:spacing w:line="237" w:lineRule="exact"/>
              <w:ind w:left="4"/>
              <w:rPr>
                <w:sz w:val="22"/>
              </w:rPr>
            </w:pPr>
            <w:r>
              <w:rPr>
                <w:sz w:val="22"/>
              </w:rPr>
              <w:t>Chief Joseph</w:t>
            </w:r>
          </w:p>
        </w:tc>
        <w:tc>
          <w:tcPr>
            <w:tcW w:w="1579" w:type="dxa"/>
          </w:tcPr>
          <w:p>
            <w:pPr>
              <w:pStyle w:val="TableParagraph"/>
              <w:spacing w:line="237" w:lineRule="exact"/>
              <w:rPr>
                <w:sz w:val="22"/>
              </w:rPr>
            </w:pPr>
            <w:r>
              <w:rPr>
                <w:w w:val="100"/>
                <w:sz w:val="22"/>
              </w:rPr>
              <w:t>2</w:t>
            </w:r>
          </w:p>
        </w:tc>
        <w:tc>
          <w:tcPr>
            <w:tcW w:w="1665" w:type="dxa"/>
          </w:tcPr>
          <w:p>
            <w:pPr>
              <w:pStyle w:val="TableParagraph"/>
              <w:spacing w:line="237" w:lineRule="exact"/>
              <w:rPr>
                <w:sz w:val="22"/>
              </w:rPr>
            </w:pPr>
            <w:r>
              <w:rPr>
                <w:w w:val="100"/>
                <w:sz w:val="22"/>
              </w:rPr>
              <w:t>1</w:t>
            </w:r>
          </w:p>
        </w:tc>
        <w:tc>
          <w:tcPr>
            <w:tcW w:w="1624" w:type="dxa"/>
          </w:tcPr>
          <w:p>
            <w:pPr>
              <w:pStyle w:val="TableParagraph"/>
              <w:spacing w:line="237" w:lineRule="exact"/>
              <w:ind w:left="108"/>
              <w:rPr>
                <w:sz w:val="22"/>
              </w:rPr>
            </w:pPr>
            <w:r>
              <w:rPr>
                <w:w w:val="100"/>
                <w:sz w:val="22"/>
              </w:rPr>
              <w:t>1</w:t>
            </w:r>
          </w:p>
        </w:tc>
        <w:tc>
          <w:tcPr>
            <w:tcW w:w="1619" w:type="dxa"/>
          </w:tcPr>
          <w:p>
            <w:pPr>
              <w:pStyle w:val="TableParagraph"/>
              <w:spacing w:line="237" w:lineRule="exact"/>
              <w:rPr>
                <w:sz w:val="22"/>
              </w:rPr>
            </w:pPr>
            <w:r>
              <w:rPr>
                <w:w w:val="100"/>
                <w:sz w:val="22"/>
              </w:rPr>
              <w:t>1</w:t>
            </w:r>
          </w:p>
        </w:tc>
      </w:tr>
      <w:tr>
        <w:trPr>
          <w:trHeight w:val="318" w:hRule="atLeast"/>
        </w:trPr>
        <w:tc>
          <w:tcPr>
            <w:tcW w:w="2856" w:type="dxa"/>
          </w:tcPr>
          <w:p>
            <w:pPr>
              <w:pStyle w:val="TableParagraph"/>
              <w:spacing w:line="237" w:lineRule="exact" w:before="62"/>
              <w:ind w:left="4"/>
              <w:rPr>
                <w:sz w:val="22"/>
              </w:rPr>
            </w:pPr>
            <w:r>
              <w:rPr>
                <w:sz w:val="22"/>
              </w:rPr>
              <w:t>Richland High</w:t>
            </w:r>
          </w:p>
        </w:tc>
        <w:tc>
          <w:tcPr>
            <w:tcW w:w="1579" w:type="dxa"/>
          </w:tcPr>
          <w:p>
            <w:pPr>
              <w:pStyle w:val="TableParagraph"/>
              <w:spacing w:line="237" w:lineRule="exact" w:before="62"/>
              <w:rPr>
                <w:sz w:val="22"/>
              </w:rPr>
            </w:pPr>
            <w:r>
              <w:rPr>
                <w:w w:val="100"/>
                <w:sz w:val="22"/>
              </w:rPr>
              <w:t>3</w:t>
            </w:r>
          </w:p>
        </w:tc>
        <w:tc>
          <w:tcPr>
            <w:tcW w:w="1665" w:type="dxa"/>
          </w:tcPr>
          <w:p>
            <w:pPr>
              <w:pStyle w:val="TableParagraph"/>
              <w:spacing w:line="237" w:lineRule="exact" w:before="62"/>
              <w:rPr>
                <w:sz w:val="22"/>
              </w:rPr>
            </w:pPr>
            <w:r>
              <w:rPr>
                <w:w w:val="100"/>
                <w:sz w:val="22"/>
              </w:rPr>
              <w:t>1</w:t>
            </w:r>
          </w:p>
        </w:tc>
        <w:tc>
          <w:tcPr>
            <w:tcW w:w="1624" w:type="dxa"/>
          </w:tcPr>
          <w:p>
            <w:pPr>
              <w:pStyle w:val="TableParagraph"/>
              <w:spacing w:line="237" w:lineRule="exact" w:before="62"/>
              <w:ind w:left="108"/>
              <w:rPr>
                <w:sz w:val="22"/>
              </w:rPr>
            </w:pPr>
            <w:r>
              <w:rPr>
                <w:w w:val="100"/>
                <w:sz w:val="22"/>
              </w:rPr>
              <w:t>1</w:t>
            </w:r>
          </w:p>
        </w:tc>
        <w:tc>
          <w:tcPr>
            <w:tcW w:w="1619" w:type="dxa"/>
          </w:tcPr>
          <w:p>
            <w:pPr>
              <w:pStyle w:val="TableParagraph"/>
              <w:spacing w:line="237" w:lineRule="exact" w:before="62"/>
              <w:rPr>
                <w:sz w:val="22"/>
              </w:rPr>
            </w:pPr>
            <w:r>
              <w:rPr>
                <w:w w:val="100"/>
                <w:sz w:val="22"/>
              </w:rPr>
              <w:t>1</w:t>
            </w:r>
          </w:p>
        </w:tc>
      </w:tr>
      <w:tr>
        <w:trPr>
          <w:trHeight w:val="318" w:hRule="atLeast"/>
        </w:trPr>
        <w:tc>
          <w:tcPr>
            <w:tcW w:w="2856" w:type="dxa"/>
          </w:tcPr>
          <w:p>
            <w:pPr>
              <w:pStyle w:val="TableParagraph"/>
              <w:spacing w:line="239" w:lineRule="exact"/>
              <w:ind w:left="4"/>
              <w:rPr>
                <w:sz w:val="22"/>
              </w:rPr>
            </w:pPr>
            <w:r>
              <w:rPr>
                <w:sz w:val="22"/>
              </w:rPr>
              <w:t>Hanford High</w:t>
            </w:r>
          </w:p>
        </w:tc>
        <w:tc>
          <w:tcPr>
            <w:tcW w:w="1579" w:type="dxa"/>
          </w:tcPr>
          <w:p>
            <w:pPr>
              <w:pStyle w:val="TableParagraph"/>
              <w:spacing w:line="239" w:lineRule="exact"/>
              <w:rPr>
                <w:sz w:val="22"/>
              </w:rPr>
            </w:pPr>
            <w:r>
              <w:rPr>
                <w:w w:val="100"/>
                <w:sz w:val="22"/>
              </w:rPr>
              <w:t>3</w:t>
            </w:r>
          </w:p>
        </w:tc>
        <w:tc>
          <w:tcPr>
            <w:tcW w:w="1665" w:type="dxa"/>
          </w:tcPr>
          <w:p>
            <w:pPr>
              <w:pStyle w:val="TableParagraph"/>
              <w:spacing w:line="239" w:lineRule="exact"/>
              <w:rPr>
                <w:sz w:val="22"/>
              </w:rPr>
            </w:pPr>
            <w:r>
              <w:rPr>
                <w:w w:val="100"/>
                <w:sz w:val="22"/>
              </w:rPr>
              <w:t>1</w:t>
            </w:r>
          </w:p>
        </w:tc>
        <w:tc>
          <w:tcPr>
            <w:tcW w:w="1624" w:type="dxa"/>
          </w:tcPr>
          <w:p>
            <w:pPr>
              <w:pStyle w:val="TableParagraph"/>
              <w:spacing w:line="239" w:lineRule="exact"/>
              <w:ind w:left="108"/>
              <w:rPr>
                <w:sz w:val="22"/>
              </w:rPr>
            </w:pPr>
            <w:r>
              <w:rPr>
                <w:w w:val="100"/>
                <w:sz w:val="22"/>
              </w:rPr>
              <w:t>1</w:t>
            </w:r>
          </w:p>
        </w:tc>
        <w:tc>
          <w:tcPr>
            <w:tcW w:w="1619" w:type="dxa"/>
          </w:tcPr>
          <w:p>
            <w:pPr>
              <w:pStyle w:val="TableParagraph"/>
              <w:spacing w:line="239" w:lineRule="exact"/>
              <w:rPr>
                <w:sz w:val="22"/>
              </w:rPr>
            </w:pPr>
            <w:r>
              <w:rPr>
                <w:w w:val="100"/>
                <w:sz w:val="22"/>
              </w:rPr>
              <w:t>1</w:t>
            </w:r>
          </w:p>
        </w:tc>
      </w:tr>
      <w:tr>
        <w:trPr>
          <w:trHeight w:val="316" w:hRule="atLeast"/>
        </w:trPr>
        <w:tc>
          <w:tcPr>
            <w:tcW w:w="2856" w:type="dxa"/>
          </w:tcPr>
          <w:p>
            <w:pPr>
              <w:pStyle w:val="TableParagraph"/>
              <w:spacing w:line="237" w:lineRule="exact"/>
              <w:ind w:left="4"/>
              <w:rPr>
                <w:sz w:val="22"/>
              </w:rPr>
            </w:pPr>
            <w:r>
              <w:rPr>
                <w:sz w:val="22"/>
              </w:rPr>
              <w:t>Rivers Edge (Alternative)</w:t>
            </w:r>
          </w:p>
        </w:tc>
        <w:tc>
          <w:tcPr>
            <w:tcW w:w="1579" w:type="dxa"/>
          </w:tcPr>
          <w:p>
            <w:pPr>
              <w:pStyle w:val="TableParagraph"/>
              <w:spacing w:line="237" w:lineRule="exact"/>
              <w:rPr>
                <w:sz w:val="22"/>
              </w:rPr>
            </w:pPr>
            <w:r>
              <w:rPr>
                <w:w w:val="100"/>
                <w:sz w:val="22"/>
              </w:rPr>
              <w:t>0</w:t>
            </w:r>
          </w:p>
        </w:tc>
        <w:tc>
          <w:tcPr>
            <w:tcW w:w="1665" w:type="dxa"/>
          </w:tcPr>
          <w:p>
            <w:pPr>
              <w:pStyle w:val="TableParagraph"/>
              <w:spacing w:line="237" w:lineRule="exact"/>
              <w:rPr>
                <w:sz w:val="22"/>
              </w:rPr>
            </w:pPr>
            <w:r>
              <w:rPr>
                <w:w w:val="100"/>
                <w:sz w:val="22"/>
              </w:rPr>
              <w:t>0</w:t>
            </w:r>
          </w:p>
        </w:tc>
        <w:tc>
          <w:tcPr>
            <w:tcW w:w="1624" w:type="dxa"/>
          </w:tcPr>
          <w:p>
            <w:pPr>
              <w:pStyle w:val="TableParagraph"/>
              <w:spacing w:line="237" w:lineRule="exact"/>
              <w:ind w:left="108"/>
              <w:rPr>
                <w:sz w:val="22"/>
              </w:rPr>
            </w:pPr>
            <w:r>
              <w:rPr>
                <w:w w:val="100"/>
                <w:sz w:val="22"/>
              </w:rPr>
              <w:t>0</w:t>
            </w:r>
          </w:p>
        </w:tc>
        <w:tc>
          <w:tcPr>
            <w:tcW w:w="1619" w:type="dxa"/>
          </w:tcPr>
          <w:p>
            <w:pPr>
              <w:pStyle w:val="TableParagraph"/>
              <w:spacing w:line="237" w:lineRule="exact"/>
              <w:rPr>
                <w:sz w:val="22"/>
              </w:rPr>
            </w:pPr>
            <w:r>
              <w:rPr>
                <w:w w:val="100"/>
                <w:sz w:val="22"/>
              </w:rPr>
              <w:t>0</w:t>
            </w:r>
          </w:p>
        </w:tc>
      </w:tr>
      <w:tr>
        <w:trPr>
          <w:trHeight w:val="294" w:hRule="atLeast"/>
        </w:trPr>
        <w:tc>
          <w:tcPr>
            <w:tcW w:w="9343" w:type="dxa"/>
            <w:gridSpan w:val="5"/>
          </w:tcPr>
          <w:p>
            <w:pPr>
              <w:pStyle w:val="TableParagraph"/>
              <w:spacing w:line="215" w:lineRule="exact"/>
              <w:rPr>
                <w:i/>
                <w:sz w:val="20"/>
              </w:rPr>
            </w:pPr>
            <w:r>
              <w:rPr>
                <w:i/>
                <w:sz w:val="20"/>
              </w:rPr>
              <w:t>Source: Richland School District, 2017.</w:t>
            </w:r>
          </w:p>
        </w:tc>
      </w:tr>
    </w:tbl>
    <w:p>
      <w:pPr>
        <w:pStyle w:val="BodyText"/>
        <w:spacing w:before="6"/>
        <w:rPr>
          <w:rFonts w:ascii="Arial"/>
          <w:b/>
          <w:sz w:val="17"/>
        </w:rPr>
      </w:pPr>
    </w:p>
    <w:p>
      <w:pPr>
        <w:spacing w:before="0"/>
        <w:ind w:left="120" w:right="0" w:firstLine="0"/>
        <w:jc w:val="left"/>
        <w:rPr>
          <w:b/>
          <w:sz w:val="24"/>
        </w:rPr>
      </w:pPr>
      <w:bookmarkStart w:name="LEVEL OF SERVICE" w:id="327"/>
      <w:bookmarkEnd w:id="327"/>
      <w:r>
        <w:rPr/>
      </w:r>
      <w:r>
        <w:rPr>
          <w:b/>
          <w:sz w:val="24"/>
        </w:rPr>
        <w:t>LEVEL OF SERVICE</w:t>
      </w:r>
    </w:p>
    <w:p>
      <w:pPr>
        <w:pStyle w:val="BodyText"/>
        <w:spacing w:before="119"/>
        <w:ind w:left="120"/>
      </w:pPr>
      <w:r>
        <w:rPr/>
        <w:t>Schools will be designed to accommodate the following:</w:t>
      </w:r>
    </w:p>
    <w:p>
      <w:pPr>
        <w:pStyle w:val="ListParagraph"/>
        <w:numPr>
          <w:ilvl w:val="1"/>
          <w:numId w:val="10"/>
        </w:numPr>
        <w:tabs>
          <w:tab w:pos="839" w:val="left" w:leader="none"/>
          <w:tab w:pos="841" w:val="left" w:leader="none"/>
        </w:tabs>
        <w:spacing w:line="240" w:lineRule="auto" w:before="59" w:after="0"/>
        <w:ind w:left="840" w:right="0" w:hanging="362"/>
        <w:jc w:val="left"/>
        <w:rPr>
          <w:sz w:val="22"/>
        </w:rPr>
      </w:pPr>
      <w:r>
        <w:rPr>
          <w:sz w:val="22"/>
        </w:rPr>
        <w:t>Elementary: 500 to 600 students per</w:t>
      </w:r>
      <w:r>
        <w:rPr>
          <w:spacing w:val="-8"/>
          <w:sz w:val="22"/>
        </w:rPr>
        <w:t> </w:t>
      </w:r>
      <w:r>
        <w:rPr>
          <w:sz w:val="22"/>
        </w:rPr>
        <w:t>school;</w:t>
      </w:r>
    </w:p>
    <w:p>
      <w:pPr>
        <w:pStyle w:val="ListParagraph"/>
        <w:numPr>
          <w:ilvl w:val="1"/>
          <w:numId w:val="10"/>
        </w:numPr>
        <w:tabs>
          <w:tab w:pos="840" w:val="left" w:leader="none"/>
          <w:tab w:pos="841" w:val="left" w:leader="none"/>
        </w:tabs>
        <w:spacing w:line="240" w:lineRule="auto" w:before="61" w:after="0"/>
        <w:ind w:left="840" w:right="0" w:hanging="361"/>
        <w:jc w:val="left"/>
        <w:rPr>
          <w:sz w:val="22"/>
        </w:rPr>
      </w:pPr>
      <w:r>
        <w:rPr>
          <w:sz w:val="22"/>
        </w:rPr>
        <w:t>Middle: 650 to 800 students per school;</w:t>
      </w:r>
      <w:r>
        <w:rPr>
          <w:spacing w:val="-11"/>
          <w:sz w:val="22"/>
        </w:rPr>
        <w:t> </w:t>
      </w:r>
      <w:r>
        <w:rPr>
          <w:sz w:val="22"/>
        </w:rPr>
        <w:t>and</w:t>
      </w:r>
    </w:p>
    <w:p>
      <w:pPr>
        <w:pStyle w:val="ListParagraph"/>
        <w:numPr>
          <w:ilvl w:val="1"/>
          <w:numId w:val="10"/>
        </w:numPr>
        <w:tabs>
          <w:tab w:pos="840" w:val="left" w:leader="none"/>
          <w:tab w:pos="841" w:val="left" w:leader="none"/>
        </w:tabs>
        <w:spacing w:line="240" w:lineRule="auto" w:before="59" w:after="0"/>
        <w:ind w:left="840" w:right="0" w:hanging="361"/>
        <w:jc w:val="left"/>
        <w:rPr>
          <w:sz w:val="22"/>
        </w:rPr>
      </w:pPr>
      <w:bookmarkStart w:name="DEFICIENCIES AND RECOMMENDATIONS" w:id="328"/>
      <w:bookmarkEnd w:id="328"/>
      <w:r>
        <w:rPr/>
      </w:r>
      <w:bookmarkStart w:name="DEFICIENCIES AND RECOMMENDATIONS" w:id="329"/>
      <w:bookmarkEnd w:id="329"/>
      <w:r>
        <w:rPr>
          <w:sz w:val="22"/>
        </w:rPr>
        <w:t>H</w:t>
      </w:r>
      <w:r>
        <w:rPr>
          <w:sz w:val="22"/>
        </w:rPr>
        <w:t>igh: 1,500 to 1,750 students per</w:t>
      </w:r>
      <w:r>
        <w:rPr>
          <w:spacing w:val="-7"/>
          <w:sz w:val="22"/>
        </w:rPr>
        <w:t> </w:t>
      </w:r>
      <w:r>
        <w:rPr>
          <w:sz w:val="22"/>
        </w:rPr>
        <w:t>school.</w:t>
      </w:r>
    </w:p>
    <w:p>
      <w:pPr>
        <w:spacing w:before="201"/>
        <w:ind w:left="120" w:right="0" w:firstLine="0"/>
        <w:jc w:val="left"/>
        <w:rPr>
          <w:b/>
          <w:sz w:val="24"/>
        </w:rPr>
      </w:pPr>
      <w:r>
        <w:rPr>
          <w:b/>
          <w:sz w:val="24"/>
        </w:rPr>
        <w:t>DEFICIENCIES AND RECOMMENDATIONS</w:t>
      </w:r>
    </w:p>
    <w:p>
      <w:pPr>
        <w:pStyle w:val="BodyText"/>
        <w:spacing w:before="119"/>
        <w:ind w:left="120" w:right="235"/>
        <w:jc w:val="both"/>
      </w:pPr>
      <w:r>
        <w:rPr/>
        <w:t>The Richland School District is required by the State of Washington to provide annual enrollment projections. The District uses the Cohort Survival Method, with consideration of other factors, as the basis for these projections. The Cohort Survival Method uses a five-year average of the percent of</w:t>
      </w:r>
    </w:p>
    <w:p>
      <w:pPr>
        <w:spacing w:after="0"/>
        <w:jc w:val="both"/>
        <w:sectPr>
          <w:pgSz w:w="12240" w:h="15840"/>
          <w:pgMar w:header="0" w:footer="1052" w:top="1440" w:bottom="1320" w:left="1320" w:right="1200"/>
        </w:sectPr>
      </w:pPr>
    </w:p>
    <w:p>
      <w:pPr>
        <w:pStyle w:val="BodyText"/>
        <w:spacing w:before="80"/>
        <w:ind w:left="120" w:right="235"/>
        <w:jc w:val="both"/>
      </w:pPr>
      <w:r>
        <w:rPr/>
        <w:t>students progressing from grade to grade. The average over the most recently completed five-year period is used to project enrollment for the next five years.</w:t>
      </w:r>
    </w:p>
    <w:p>
      <w:pPr>
        <w:pStyle w:val="BodyText"/>
        <w:spacing w:before="120"/>
        <w:ind w:left="120" w:right="235"/>
        <w:jc w:val="both"/>
      </w:pPr>
      <w:r>
        <w:rPr/>
        <w:t>A</w:t>
      </w:r>
      <w:r>
        <w:rPr>
          <w:spacing w:val="-14"/>
        </w:rPr>
        <w:t> </w:t>
      </w:r>
      <w:r>
        <w:rPr/>
        <w:t>long</w:t>
      </w:r>
      <w:r>
        <w:rPr>
          <w:spacing w:val="-12"/>
        </w:rPr>
        <w:t> </w:t>
      </w:r>
      <w:r>
        <w:rPr/>
        <w:t>range</w:t>
      </w:r>
      <w:r>
        <w:rPr>
          <w:spacing w:val="-13"/>
        </w:rPr>
        <w:t> </w:t>
      </w:r>
      <w:r>
        <w:rPr/>
        <w:t>planning</w:t>
      </w:r>
      <w:r>
        <w:rPr>
          <w:spacing w:val="-11"/>
        </w:rPr>
        <w:t> </w:t>
      </w:r>
      <w:r>
        <w:rPr/>
        <w:t>study,</w:t>
      </w:r>
      <w:r>
        <w:rPr>
          <w:spacing w:val="-13"/>
        </w:rPr>
        <w:t> </w:t>
      </w:r>
      <w:r>
        <w:rPr/>
        <w:t>done</w:t>
      </w:r>
      <w:r>
        <w:rPr>
          <w:spacing w:val="-13"/>
        </w:rPr>
        <w:t> </w:t>
      </w:r>
      <w:r>
        <w:rPr/>
        <w:t>for</w:t>
      </w:r>
      <w:r>
        <w:rPr>
          <w:spacing w:val="-13"/>
        </w:rPr>
        <w:t> </w:t>
      </w:r>
      <w:r>
        <w:rPr/>
        <w:t>the</w:t>
      </w:r>
      <w:r>
        <w:rPr>
          <w:spacing w:val="-12"/>
        </w:rPr>
        <w:t> </w:t>
      </w:r>
      <w:r>
        <w:rPr/>
        <w:t>school</w:t>
      </w:r>
      <w:r>
        <w:rPr>
          <w:spacing w:val="-13"/>
        </w:rPr>
        <w:t> </w:t>
      </w:r>
      <w:r>
        <w:rPr/>
        <w:t>district</w:t>
      </w:r>
      <w:r>
        <w:rPr>
          <w:spacing w:val="-13"/>
        </w:rPr>
        <w:t> </w:t>
      </w:r>
      <w:r>
        <w:rPr/>
        <w:t>by</w:t>
      </w:r>
      <w:r>
        <w:rPr>
          <w:spacing w:val="-14"/>
        </w:rPr>
        <w:t> </w:t>
      </w:r>
      <w:r>
        <w:rPr/>
        <w:t>E.D.</w:t>
      </w:r>
      <w:r>
        <w:rPr>
          <w:spacing w:val="-12"/>
        </w:rPr>
        <w:t> </w:t>
      </w:r>
      <w:r>
        <w:rPr/>
        <w:t>Hovee</w:t>
      </w:r>
      <w:r>
        <w:rPr>
          <w:spacing w:val="-13"/>
        </w:rPr>
        <w:t> </w:t>
      </w:r>
      <w:r>
        <w:rPr/>
        <w:t>&amp;</w:t>
      </w:r>
      <w:r>
        <w:rPr>
          <w:spacing w:val="-14"/>
        </w:rPr>
        <w:t> </w:t>
      </w:r>
      <w:r>
        <w:rPr/>
        <w:t>Company</w:t>
      </w:r>
      <w:r>
        <w:rPr>
          <w:spacing w:val="-14"/>
        </w:rPr>
        <w:t> </w:t>
      </w:r>
      <w:r>
        <w:rPr/>
        <w:t>in</w:t>
      </w:r>
      <w:r>
        <w:rPr>
          <w:spacing w:val="-13"/>
        </w:rPr>
        <w:t> </w:t>
      </w:r>
      <w:r>
        <w:rPr/>
        <w:t>2011,</w:t>
      </w:r>
      <w:r>
        <w:rPr>
          <w:spacing w:val="-13"/>
        </w:rPr>
        <w:t> </w:t>
      </w:r>
      <w:r>
        <w:rPr/>
        <w:t>developed projections and long range enrollment trends in four areas of the school district: north Richland, central</w:t>
      </w:r>
      <w:r>
        <w:rPr>
          <w:spacing w:val="-12"/>
        </w:rPr>
        <w:t> </w:t>
      </w:r>
      <w:r>
        <w:rPr/>
        <w:t>Richland,</w:t>
      </w:r>
      <w:r>
        <w:rPr>
          <w:spacing w:val="-11"/>
        </w:rPr>
        <w:t> </w:t>
      </w:r>
      <w:r>
        <w:rPr/>
        <w:t>south</w:t>
      </w:r>
      <w:r>
        <w:rPr>
          <w:spacing w:val="-11"/>
        </w:rPr>
        <w:t> </w:t>
      </w:r>
      <w:r>
        <w:rPr/>
        <w:t>Richland,</w:t>
      </w:r>
      <w:r>
        <w:rPr>
          <w:spacing w:val="-11"/>
        </w:rPr>
        <w:t> </w:t>
      </w:r>
      <w:r>
        <w:rPr/>
        <w:t>and</w:t>
      </w:r>
      <w:r>
        <w:rPr>
          <w:spacing w:val="-13"/>
        </w:rPr>
        <w:t> </w:t>
      </w:r>
      <w:r>
        <w:rPr/>
        <w:t>West</w:t>
      </w:r>
      <w:r>
        <w:rPr>
          <w:spacing w:val="-12"/>
        </w:rPr>
        <w:t> </w:t>
      </w:r>
      <w:r>
        <w:rPr/>
        <w:t>Richland.</w:t>
      </w:r>
      <w:r>
        <w:rPr>
          <w:spacing w:val="-11"/>
        </w:rPr>
        <w:t> </w:t>
      </w:r>
      <w:r>
        <w:rPr/>
        <w:t>These</w:t>
      </w:r>
      <w:r>
        <w:rPr>
          <w:spacing w:val="-11"/>
        </w:rPr>
        <w:t> </w:t>
      </w:r>
      <w:r>
        <w:rPr/>
        <w:t>planning</w:t>
      </w:r>
      <w:r>
        <w:rPr>
          <w:spacing w:val="-11"/>
        </w:rPr>
        <w:t> </w:t>
      </w:r>
      <w:r>
        <w:rPr/>
        <w:t>projections,</w:t>
      </w:r>
      <w:r>
        <w:rPr>
          <w:spacing w:val="-11"/>
        </w:rPr>
        <w:t> </w:t>
      </w:r>
      <w:r>
        <w:rPr/>
        <w:t>summarized</w:t>
      </w:r>
      <w:r>
        <w:rPr>
          <w:spacing w:val="-12"/>
        </w:rPr>
        <w:t> </w:t>
      </w:r>
      <w:r>
        <w:rPr/>
        <w:t>below, were used to develop the bond issue in</w:t>
      </w:r>
      <w:r>
        <w:rPr>
          <w:spacing w:val="-14"/>
        </w:rPr>
        <w:t> </w:t>
      </w:r>
      <w:r>
        <w:rPr/>
        <w:t>2013.</w:t>
      </w:r>
    </w:p>
    <w:p>
      <w:pPr>
        <w:pStyle w:val="BodyText"/>
        <w:spacing w:before="120"/>
        <w:ind w:left="120" w:right="233"/>
        <w:jc w:val="both"/>
      </w:pPr>
      <w:r>
        <w:rPr/>
        <w:t>The</w:t>
      </w:r>
      <w:r>
        <w:rPr>
          <w:spacing w:val="-6"/>
        </w:rPr>
        <w:t> </w:t>
      </w:r>
      <w:r>
        <w:rPr/>
        <w:t>planned</w:t>
      </w:r>
      <w:r>
        <w:rPr>
          <w:spacing w:val="-7"/>
        </w:rPr>
        <w:t> </w:t>
      </w:r>
      <w:r>
        <w:rPr/>
        <w:t>growth</w:t>
      </w:r>
      <w:r>
        <w:rPr>
          <w:spacing w:val="-6"/>
        </w:rPr>
        <w:t> </w:t>
      </w:r>
      <w:r>
        <w:rPr/>
        <w:t>of</w:t>
      </w:r>
      <w:r>
        <w:rPr>
          <w:spacing w:val="-6"/>
        </w:rPr>
        <w:t> </w:t>
      </w:r>
      <w:r>
        <w:rPr/>
        <w:t>the</w:t>
      </w:r>
      <w:r>
        <w:rPr>
          <w:spacing w:val="-6"/>
        </w:rPr>
        <w:t> </w:t>
      </w:r>
      <w:r>
        <w:rPr/>
        <w:t>Badger</w:t>
      </w:r>
      <w:r>
        <w:rPr>
          <w:spacing w:val="-6"/>
        </w:rPr>
        <w:t> </w:t>
      </w:r>
      <w:r>
        <w:rPr/>
        <w:t>Mountain</w:t>
      </w:r>
      <w:r>
        <w:rPr>
          <w:spacing w:val="-8"/>
        </w:rPr>
        <w:t> </w:t>
      </w:r>
      <w:r>
        <w:rPr/>
        <w:t>South</w:t>
      </w:r>
      <w:r>
        <w:rPr>
          <w:spacing w:val="-9"/>
        </w:rPr>
        <w:t> </w:t>
      </w:r>
      <w:r>
        <w:rPr/>
        <w:t>area</w:t>
      </w:r>
      <w:r>
        <w:rPr>
          <w:spacing w:val="-6"/>
        </w:rPr>
        <w:t> </w:t>
      </w:r>
      <w:r>
        <w:rPr/>
        <w:t>(BMS)</w:t>
      </w:r>
      <w:r>
        <w:rPr>
          <w:spacing w:val="-8"/>
        </w:rPr>
        <w:t> </w:t>
      </w:r>
      <w:r>
        <w:rPr/>
        <w:t>is</w:t>
      </w:r>
      <w:r>
        <w:rPr>
          <w:spacing w:val="-8"/>
        </w:rPr>
        <w:t> </w:t>
      </w:r>
      <w:r>
        <w:rPr/>
        <w:t>creating</w:t>
      </w:r>
      <w:r>
        <w:rPr>
          <w:spacing w:val="-5"/>
        </w:rPr>
        <w:t> </w:t>
      </w:r>
      <w:r>
        <w:rPr/>
        <w:t>the</w:t>
      </w:r>
      <w:r>
        <w:rPr>
          <w:spacing w:val="-9"/>
        </w:rPr>
        <w:t> </w:t>
      </w:r>
      <w:r>
        <w:rPr/>
        <w:t>need</w:t>
      </w:r>
      <w:r>
        <w:rPr>
          <w:spacing w:val="-7"/>
        </w:rPr>
        <w:t> </w:t>
      </w:r>
      <w:r>
        <w:rPr/>
        <w:t>for</w:t>
      </w:r>
      <w:r>
        <w:rPr>
          <w:spacing w:val="-6"/>
        </w:rPr>
        <w:t> </w:t>
      </w:r>
      <w:r>
        <w:rPr/>
        <w:t>future</w:t>
      </w:r>
      <w:r>
        <w:rPr>
          <w:spacing w:val="-9"/>
        </w:rPr>
        <w:t> </w:t>
      </w:r>
      <w:r>
        <w:rPr/>
        <w:t>schools in</w:t>
      </w:r>
      <w:r>
        <w:rPr>
          <w:spacing w:val="-10"/>
        </w:rPr>
        <w:t> </w:t>
      </w:r>
      <w:r>
        <w:rPr/>
        <w:t>that</w:t>
      </w:r>
      <w:r>
        <w:rPr>
          <w:spacing w:val="-9"/>
        </w:rPr>
        <w:t> </w:t>
      </w:r>
      <w:r>
        <w:rPr/>
        <w:t>area</w:t>
      </w:r>
      <w:r>
        <w:rPr>
          <w:spacing w:val="-10"/>
        </w:rPr>
        <w:t> </w:t>
      </w:r>
      <w:r>
        <w:rPr/>
        <w:t>of</w:t>
      </w:r>
      <w:r>
        <w:rPr>
          <w:spacing w:val="-9"/>
        </w:rPr>
        <w:t> </w:t>
      </w:r>
      <w:r>
        <w:rPr/>
        <w:t>the</w:t>
      </w:r>
      <w:r>
        <w:rPr>
          <w:spacing w:val="-11"/>
        </w:rPr>
        <w:t> </w:t>
      </w:r>
      <w:r>
        <w:rPr/>
        <w:t>city.</w:t>
      </w:r>
      <w:r>
        <w:rPr>
          <w:spacing w:val="-10"/>
        </w:rPr>
        <w:t> </w:t>
      </w:r>
      <w:r>
        <w:rPr/>
        <w:t>The</w:t>
      </w:r>
      <w:r>
        <w:rPr>
          <w:spacing w:val="-9"/>
        </w:rPr>
        <w:t> </w:t>
      </w:r>
      <w:r>
        <w:rPr/>
        <w:t>school</w:t>
      </w:r>
      <w:r>
        <w:rPr>
          <w:spacing w:val="-9"/>
        </w:rPr>
        <w:t> </w:t>
      </w:r>
      <w:r>
        <w:rPr/>
        <w:t>district</w:t>
      </w:r>
      <w:r>
        <w:rPr>
          <w:spacing w:val="-8"/>
        </w:rPr>
        <w:t> </w:t>
      </w:r>
      <w:r>
        <w:rPr/>
        <w:t>owns</w:t>
      </w:r>
      <w:r>
        <w:rPr>
          <w:spacing w:val="-8"/>
        </w:rPr>
        <w:t> </w:t>
      </w:r>
      <w:r>
        <w:rPr/>
        <w:t>approximately</w:t>
      </w:r>
      <w:r>
        <w:rPr>
          <w:spacing w:val="-9"/>
        </w:rPr>
        <w:t> </w:t>
      </w:r>
      <w:r>
        <w:rPr/>
        <w:t>54</w:t>
      </w:r>
      <w:r>
        <w:rPr>
          <w:spacing w:val="-9"/>
        </w:rPr>
        <w:t> </w:t>
      </w:r>
      <w:r>
        <w:rPr/>
        <w:t>acres</w:t>
      </w:r>
      <w:r>
        <w:rPr>
          <w:spacing w:val="-8"/>
        </w:rPr>
        <w:t> </w:t>
      </w:r>
      <w:r>
        <w:rPr/>
        <w:t>in</w:t>
      </w:r>
      <w:r>
        <w:rPr>
          <w:spacing w:val="-9"/>
        </w:rPr>
        <w:t> </w:t>
      </w:r>
      <w:r>
        <w:rPr/>
        <w:t>BMS</w:t>
      </w:r>
      <w:r>
        <w:rPr>
          <w:spacing w:val="-8"/>
        </w:rPr>
        <w:t> </w:t>
      </w:r>
      <w:r>
        <w:rPr/>
        <w:t>for</w:t>
      </w:r>
      <w:r>
        <w:rPr>
          <w:spacing w:val="-9"/>
        </w:rPr>
        <w:t> </w:t>
      </w:r>
      <w:r>
        <w:rPr/>
        <w:t>schools.</w:t>
      </w:r>
      <w:r>
        <w:rPr>
          <w:spacing w:val="-8"/>
        </w:rPr>
        <w:t> </w:t>
      </w:r>
      <w:r>
        <w:rPr/>
        <w:t>Improved transportation</w:t>
      </w:r>
      <w:r>
        <w:rPr>
          <w:spacing w:val="-11"/>
        </w:rPr>
        <w:t> </w:t>
      </w:r>
      <w:r>
        <w:rPr/>
        <w:t>to</w:t>
      </w:r>
      <w:r>
        <w:rPr>
          <w:spacing w:val="-11"/>
        </w:rPr>
        <w:t> </w:t>
      </w:r>
      <w:r>
        <w:rPr/>
        <w:t>meet</w:t>
      </w:r>
      <w:r>
        <w:rPr>
          <w:spacing w:val="-9"/>
        </w:rPr>
        <w:t> </w:t>
      </w:r>
      <w:r>
        <w:rPr/>
        <w:t>the</w:t>
      </w:r>
      <w:r>
        <w:rPr>
          <w:spacing w:val="-10"/>
        </w:rPr>
        <w:t> </w:t>
      </w:r>
      <w:r>
        <w:rPr/>
        <w:t>access</w:t>
      </w:r>
      <w:r>
        <w:rPr>
          <w:spacing w:val="-10"/>
        </w:rPr>
        <w:t> </w:t>
      </w:r>
      <w:r>
        <w:rPr/>
        <w:t>needs</w:t>
      </w:r>
      <w:r>
        <w:rPr>
          <w:spacing w:val="-8"/>
        </w:rPr>
        <w:t> </w:t>
      </w:r>
      <w:r>
        <w:rPr/>
        <w:t>of</w:t>
      </w:r>
      <w:r>
        <w:rPr>
          <w:spacing w:val="-10"/>
        </w:rPr>
        <w:t> </w:t>
      </w:r>
      <w:r>
        <w:rPr/>
        <w:t>the</w:t>
      </w:r>
      <w:r>
        <w:rPr>
          <w:spacing w:val="-9"/>
        </w:rPr>
        <w:t> </w:t>
      </w:r>
      <w:r>
        <w:rPr/>
        <w:t>new</w:t>
      </w:r>
      <w:r>
        <w:rPr>
          <w:spacing w:val="-12"/>
        </w:rPr>
        <w:t> </w:t>
      </w:r>
      <w:r>
        <w:rPr/>
        <w:t>schools</w:t>
      </w:r>
      <w:r>
        <w:rPr>
          <w:spacing w:val="-9"/>
        </w:rPr>
        <w:t> </w:t>
      </w:r>
      <w:r>
        <w:rPr/>
        <w:t>will</w:t>
      </w:r>
      <w:r>
        <w:rPr>
          <w:spacing w:val="-12"/>
        </w:rPr>
        <w:t> </w:t>
      </w:r>
      <w:r>
        <w:rPr/>
        <w:t>also</w:t>
      </w:r>
      <w:r>
        <w:rPr>
          <w:spacing w:val="-9"/>
        </w:rPr>
        <w:t> </w:t>
      </w:r>
      <w:r>
        <w:rPr/>
        <w:t>need</w:t>
      </w:r>
      <w:r>
        <w:rPr>
          <w:spacing w:val="-13"/>
        </w:rPr>
        <w:t> </w:t>
      </w:r>
      <w:r>
        <w:rPr/>
        <w:t>to</w:t>
      </w:r>
      <w:r>
        <w:rPr>
          <w:spacing w:val="-9"/>
        </w:rPr>
        <w:t> </w:t>
      </w:r>
      <w:r>
        <w:rPr/>
        <w:t>be</w:t>
      </w:r>
      <w:r>
        <w:rPr>
          <w:spacing w:val="-9"/>
        </w:rPr>
        <w:t> </w:t>
      </w:r>
      <w:r>
        <w:rPr/>
        <w:t>planned.</w:t>
      </w:r>
      <w:r>
        <w:rPr>
          <w:spacing w:val="-12"/>
        </w:rPr>
        <w:t> </w:t>
      </w:r>
      <w:r>
        <w:rPr/>
        <w:t>Construction of a middle school (Leona Libby Middle School) is underway and is expected to open in 2017 near Belmont</w:t>
      </w:r>
      <w:r>
        <w:rPr>
          <w:spacing w:val="-9"/>
        </w:rPr>
        <w:t> </w:t>
      </w:r>
      <w:r>
        <w:rPr/>
        <w:t>Boulevard</w:t>
      </w:r>
      <w:r>
        <w:rPr>
          <w:spacing w:val="-9"/>
        </w:rPr>
        <w:t> </w:t>
      </w:r>
      <w:r>
        <w:rPr/>
        <w:t>and</w:t>
      </w:r>
      <w:r>
        <w:rPr>
          <w:spacing w:val="-9"/>
        </w:rPr>
        <w:t> </w:t>
      </w:r>
      <w:r>
        <w:rPr/>
        <w:t>Keene</w:t>
      </w:r>
      <w:r>
        <w:rPr>
          <w:spacing w:val="-8"/>
        </w:rPr>
        <w:t> </w:t>
      </w:r>
      <w:r>
        <w:rPr/>
        <w:t>Road,</w:t>
      </w:r>
      <w:r>
        <w:rPr>
          <w:spacing w:val="-9"/>
        </w:rPr>
        <w:t> </w:t>
      </w:r>
      <w:r>
        <w:rPr/>
        <w:t>West</w:t>
      </w:r>
      <w:r>
        <w:rPr>
          <w:spacing w:val="-9"/>
        </w:rPr>
        <w:t> </w:t>
      </w:r>
      <w:r>
        <w:rPr/>
        <w:t>Richland.</w:t>
      </w:r>
      <w:r>
        <w:rPr>
          <w:spacing w:val="-10"/>
        </w:rPr>
        <w:t> </w:t>
      </w:r>
      <w:r>
        <w:rPr/>
        <w:t>The</w:t>
      </w:r>
      <w:r>
        <w:rPr>
          <w:spacing w:val="-9"/>
        </w:rPr>
        <w:t> </w:t>
      </w:r>
      <w:r>
        <w:rPr/>
        <w:t>Richland</w:t>
      </w:r>
      <w:r>
        <w:rPr>
          <w:spacing w:val="-9"/>
        </w:rPr>
        <w:t> </w:t>
      </w:r>
      <w:r>
        <w:rPr/>
        <w:t>School</w:t>
      </w:r>
      <w:r>
        <w:rPr>
          <w:spacing w:val="-9"/>
        </w:rPr>
        <w:t> </w:t>
      </w:r>
      <w:r>
        <w:rPr/>
        <w:t>District</w:t>
      </w:r>
      <w:r>
        <w:rPr>
          <w:spacing w:val="-8"/>
        </w:rPr>
        <w:t> </w:t>
      </w:r>
      <w:r>
        <w:rPr/>
        <w:t>purchased</w:t>
      </w:r>
      <w:r>
        <w:rPr>
          <w:spacing w:val="-9"/>
        </w:rPr>
        <w:t> </w:t>
      </w:r>
      <w:r>
        <w:rPr/>
        <w:t>72</w:t>
      </w:r>
      <w:r>
        <w:rPr>
          <w:spacing w:val="-9"/>
        </w:rPr>
        <w:t> </w:t>
      </w:r>
      <w:r>
        <w:rPr/>
        <w:t>acres for</w:t>
      </w:r>
      <w:r>
        <w:rPr>
          <w:spacing w:val="-14"/>
        </w:rPr>
        <w:t> </w:t>
      </w:r>
      <w:r>
        <w:rPr/>
        <w:t>a</w:t>
      </w:r>
      <w:r>
        <w:rPr>
          <w:spacing w:val="-13"/>
        </w:rPr>
        <w:t> </w:t>
      </w:r>
      <w:r>
        <w:rPr/>
        <w:t>potential</w:t>
      </w:r>
      <w:r>
        <w:rPr>
          <w:spacing w:val="-13"/>
        </w:rPr>
        <w:t> </w:t>
      </w:r>
      <w:r>
        <w:rPr/>
        <w:t>high</w:t>
      </w:r>
      <w:r>
        <w:rPr>
          <w:spacing w:val="-13"/>
        </w:rPr>
        <w:t> </w:t>
      </w:r>
      <w:r>
        <w:rPr/>
        <w:t>school</w:t>
      </w:r>
      <w:r>
        <w:rPr>
          <w:spacing w:val="-13"/>
        </w:rPr>
        <w:t> </w:t>
      </w:r>
      <w:r>
        <w:rPr/>
        <w:t>near</w:t>
      </w:r>
      <w:r>
        <w:rPr>
          <w:spacing w:val="-13"/>
        </w:rPr>
        <w:t> </w:t>
      </w:r>
      <w:r>
        <w:rPr/>
        <w:t>the</w:t>
      </w:r>
      <w:r>
        <w:rPr>
          <w:spacing w:val="-14"/>
        </w:rPr>
        <w:t> </w:t>
      </w:r>
      <w:r>
        <w:rPr/>
        <w:t>Leona</w:t>
      </w:r>
      <w:r>
        <w:rPr>
          <w:spacing w:val="-13"/>
        </w:rPr>
        <w:t> </w:t>
      </w:r>
      <w:r>
        <w:rPr/>
        <w:t>Libby</w:t>
      </w:r>
      <w:r>
        <w:rPr>
          <w:spacing w:val="-14"/>
        </w:rPr>
        <w:t> </w:t>
      </w:r>
      <w:r>
        <w:rPr/>
        <w:t>Middle</w:t>
      </w:r>
      <w:r>
        <w:rPr>
          <w:spacing w:val="-13"/>
        </w:rPr>
        <w:t> </w:t>
      </w:r>
      <w:r>
        <w:rPr/>
        <w:t>School</w:t>
      </w:r>
      <w:r>
        <w:rPr>
          <w:spacing w:val="-16"/>
        </w:rPr>
        <w:t> </w:t>
      </w:r>
      <w:r>
        <w:rPr/>
        <w:t>site.</w:t>
      </w:r>
      <w:r>
        <w:rPr>
          <w:spacing w:val="-13"/>
        </w:rPr>
        <w:t> </w:t>
      </w:r>
      <w:r>
        <w:rPr/>
        <w:t>An</w:t>
      </w:r>
      <w:r>
        <w:rPr>
          <w:spacing w:val="-14"/>
        </w:rPr>
        <w:t> </w:t>
      </w:r>
      <w:r>
        <w:rPr/>
        <w:t>elementary</w:t>
      </w:r>
      <w:r>
        <w:rPr>
          <w:spacing w:val="-14"/>
        </w:rPr>
        <w:t> </w:t>
      </w:r>
      <w:r>
        <w:rPr/>
        <w:t>school</w:t>
      </w:r>
      <w:r>
        <w:rPr>
          <w:spacing w:val="-14"/>
        </w:rPr>
        <w:t> </w:t>
      </w:r>
      <w:r>
        <w:rPr/>
        <w:t>is</w:t>
      </w:r>
      <w:r>
        <w:rPr>
          <w:spacing w:val="-12"/>
        </w:rPr>
        <w:t> </w:t>
      </w:r>
      <w:r>
        <w:rPr/>
        <w:t>also</w:t>
      </w:r>
      <w:r>
        <w:rPr>
          <w:spacing w:val="-13"/>
        </w:rPr>
        <w:t> </w:t>
      </w:r>
      <w:r>
        <w:rPr/>
        <w:t>being planned in this</w:t>
      </w:r>
      <w:r>
        <w:rPr>
          <w:spacing w:val="-4"/>
        </w:rPr>
        <w:t> </w:t>
      </w:r>
      <w:r>
        <w:rPr/>
        <w:t>area.</w:t>
      </w:r>
    </w:p>
    <w:p>
      <w:pPr>
        <w:spacing w:after="0"/>
        <w:jc w:val="both"/>
        <w:sectPr>
          <w:pgSz w:w="12240" w:h="15840"/>
          <w:pgMar w:header="0" w:footer="1052" w:top="1360" w:bottom="1320" w:left="1320" w:right="1200"/>
        </w:sectPr>
      </w:pPr>
    </w:p>
    <w:p>
      <w:pPr>
        <w:spacing w:before="79"/>
        <w:ind w:left="120" w:right="0" w:firstLine="0"/>
        <w:jc w:val="left"/>
        <w:rPr>
          <w:rFonts w:ascii="Arial"/>
          <w:b/>
          <w:sz w:val="20"/>
        </w:rPr>
      </w:pPr>
      <w:bookmarkStart w:name="_bookmark107" w:id="330"/>
      <w:bookmarkEnd w:id="330"/>
      <w:r>
        <w:rPr/>
      </w:r>
      <w:r>
        <w:rPr>
          <w:rFonts w:ascii="Arial"/>
          <w:b/>
          <w:sz w:val="20"/>
        </w:rPr>
        <w:t>Figure CF-6: Schools</w:t>
      </w:r>
    </w:p>
    <w:p>
      <w:pPr>
        <w:spacing w:after="0"/>
        <w:jc w:val="left"/>
        <w:rPr>
          <w:rFonts w:ascii="Arial"/>
          <w:sz w:val="20"/>
        </w:rPr>
        <w:sectPr>
          <w:pgSz w:w="12240" w:h="15840"/>
          <w:pgMar w:header="0" w:footer="1052" w:top="1360" w:bottom="1320" w:left="1320" w:right="1200"/>
        </w:sectPr>
      </w:pPr>
    </w:p>
    <w:p>
      <w:pPr>
        <w:pStyle w:val="Heading7"/>
      </w:pPr>
      <w:bookmarkStart w:name="Section Eight" w:id="331"/>
      <w:bookmarkEnd w:id="331"/>
      <w:r>
        <w:rPr/>
      </w:r>
      <w:bookmarkStart w:name="_bookmark108" w:id="332"/>
      <w:bookmarkEnd w:id="332"/>
      <w:r>
        <w:rPr/>
      </w:r>
      <w:r>
        <w:rPr>
          <w:color w:val="4F81BC"/>
        </w:rPr>
        <w:t>SECTION EIGHT</w:t>
      </w:r>
    </w:p>
    <w:p>
      <w:pPr>
        <w:pStyle w:val="Heading6"/>
        <w:ind w:left="120"/>
      </w:pPr>
      <w:bookmarkStart w:name="Essential Public Facilities" w:id="333"/>
      <w:bookmarkEnd w:id="333"/>
      <w:r>
        <w:rPr>
          <w:b w:val="0"/>
        </w:rPr>
      </w:r>
      <w:bookmarkStart w:name="_bookmark109" w:id="334"/>
      <w:bookmarkEnd w:id="334"/>
      <w:r>
        <w:rPr>
          <w:b w:val="0"/>
        </w:rPr>
      </w:r>
      <w:r>
        <w:rPr/>
        <w:t>ESSENTIAL PUBLIC FACILITIES</w:t>
      </w:r>
    </w:p>
    <w:p>
      <w:pPr>
        <w:pStyle w:val="BodyText"/>
        <w:spacing w:before="120"/>
        <w:ind w:left="120" w:right="232"/>
        <w:jc w:val="both"/>
      </w:pPr>
      <w:r>
        <w:rPr/>
        <w:t>According to the GMA, Essential Public Facilities (EPF) include those facilities that are typically difficult to site, such as airports, state education facilities, state or regional transportation facilities as</w:t>
      </w:r>
      <w:r>
        <w:rPr>
          <w:spacing w:val="-8"/>
        </w:rPr>
        <w:t> </w:t>
      </w:r>
      <w:r>
        <w:rPr/>
        <w:t>defined</w:t>
      </w:r>
      <w:r>
        <w:rPr>
          <w:spacing w:val="-8"/>
        </w:rPr>
        <w:t> </w:t>
      </w:r>
      <w:r>
        <w:rPr/>
        <w:t>in</w:t>
      </w:r>
      <w:r>
        <w:rPr>
          <w:spacing w:val="-10"/>
        </w:rPr>
        <w:t> </w:t>
      </w:r>
      <w:r>
        <w:rPr/>
        <w:t>RCW</w:t>
      </w:r>
      <w:r>
        <w:rPr>
          <w:spacing w:val="-8"/>
        </w:rPr>
        <w:t> </w:t>
      </w:r>
      <w:r>
        <w:rPr/>
        <w:t>47.06.140;</w:t>
      </w:r>
      <w:r>
        <w:rPr>
          <w:spacing w:val="-9"/>
        </w:rPr>
        <w:t> </w:t>
      </w:r>
      <w:r>
        <w:rPr/>
        <w:t>regional</w:t>
      </w:r>
      <w:r>
        <w:rPr>
          <w:spacing w:val="-9"/>
        </w:rPr>
        <w:t> </w:t>
      </w:r>
      <w:r>
        <w:rPr/>
        <w:t>transit</w:t>
      </w:r>
      <w:r>
        <w:rPr>
          <w:spacing w:val="-8"/>
        </w:rPr>
        <w:t> </w:t>
      </w:r>
      <w:r>
        <w:rPr/>
        <w:t>authority</w:t>
      </w:r>
      <w:r>
        <w:rPr>
          <w:spacing w:val="-9"/>
        </w:rPr>
        <w:t> </w:t>
      </w:r>
      <w:r>
        <w:rPr/>
        <w:t>facilities</w:t>
      </w:r>
      <w:r>
        <w:rPr>
          <w:spacing w:val="-8"/>
        </w:rPr>
        <w:t> </w:t>
      </w:r>
      <w:r>
        <w:rPr/>
        <w:t>as</w:t>
      </w:r>
      <w:r>
        <w:rPr>
          <w:spacing w:val="-7"/>
        </w:rPr>
        <w:t> </w:t>
      </w:r>
      <w:r>
        <w:rPr/>
        <w:t>defined</w:t>
      </w:r>
      <w:r>
        <w:rPr>
          <w:spacing w:val="-8"/>
        </w:rPr>
        <w:t> </w:t>
      </w:r>
      <w:r>
        <w:rPr/>
        <w:t>in</w:t>
      </w:r>
      <w:r>
        <w:rPr>
          <w:spacing w:val="-10"/>
        </w:rPr>
        <w:t> </w:t>
      </w:r>
      <w:r>
        <w:rPr/>
        <w:t>RCW</w:t>
      </w:r>
      <w:r>
        <w:rPr>
          <w:spacing w:val="-8"/>
        </w:rPr>
        <w:t> </w:t>
      </w:r>
      <w:r>
        <w:rPr/>
        <w:t>81.112.020;</w:t>
      </w:r>
      <w:r>
        <w:rPr>
          <w:spacing w:val="-9"/>
        </w:rPr>
        <w:t> </w:t>
      </w:r>
      <w:r>
        <w:rPr/>
        <w:t>state and local correctional facilities, solid waste handling facilities, and inpatient facilities including substance abuse facilities, mental health facilities, group homes, and secure community transition facilities as defined in RCW</w:t>
      </w:r>
      <w:r>
        <w:rPr>
          <w:spacing w:val="-4"/>
        </w:rPr>
        <w:t> </w:t>
      </w:r>
      <w:r>
        <w:rPr/>
        <w:t>71.09.020.</w:t>
      </w:r>
    </w:p>
    <w:p>
      <w:pPr>
        <w:spacing w:before="203"/>
        <w:ind w:left="120" w:right="0" w:firstLine="0"/>
        <w:jc w:val="left"/>
        <w:rPr>
          <w:b/>
          <w:sz w:val="24"/>
        </w:rPr>
      </w:pPr>
      <w:bookmarkStart w:name="EXISTING Facilities" w:id="335"/>
      <w:bookmarkEnd w:id="335"/>
      <w:r>
        <w:rPr/>
      </w:r>
      <w:r>
        <w:rPr>
          <w:b/>
          <w:sz w:val="24"/>
        </w:rPr>
        <w:t>EXISTING FACILITIES</w:t>
      </w:r>
    </w:p>
    <w:p>
      <w:pPr>
        <w:pStyle w:val="BodyText"/>
        <w:spacing w:before="119"/>
        <w:ind w:left="119" w:right="252"/>
      </w:pPr>
      <w:r>
        <w:rPr/>
        <w:t>The City provided essential public facilities are already identified under the Utility Elements. This includes Richland’s landfill in the Horn Rapids area. Other facilities within the City but operated by the state or other public agency include the existing airport, Interstate Highway I-182, interregional State principal arterials of SR 240 and SR 224, and the freight railroad system (BNSF, Union Pacific, Port of Benton). The Columbia-Snake River System is also identified as an EPF as it provides an important inter-modal commercial transportation network for the state extending to the Pacific Ocean. Other EPF provided by institutions in Richland include mental health facilities associated with Kadlec and the Lourdes Counseling Center.</w:t>
      </w:r>
    </w:p>
    <w:p>
      <w:pPr>
        <w:spacing w:before="200"/>
        <w:ind w:left="120" w:right="0" w:firstLine="0"/>
        <w:jc w:val="left"/>
        <w:rPr>
          <w:b/>
          <w:sz w:val="24"/>
        </w:rPr>
      </w:pPr>
      <w:bookmarkStart w:name="SITING" w:id="336"/>
      <w:bookmarkEnd w:id="336"/>
      <w:r>
        <w:rPr/>
      </w:r>
      <w:r>
        <w:rPr>
          <w:b/>
          <w:sz w:val="24"/>
        </w:rPr>
        <w:t>SITING</w:t>
      </w:r>
    </w:p>
    <w:p>
      <w:pPr>
        <w:pStyle w:val="BodyText"/>
        <w:spacing w:before="119"/>
        <w:ind w:left="119" w:right="235"/>
        <w:jc w:val="both"/>
      </w:pPr>
      <w:r>
        <w:rPr/>
        <w:t>The siting process should be consistent with the Benton CWPP. Policy 11 of the CWPP indicates that the County and Cities, along with public participation, shall develop a cooperative regional process to site essential public facilities of regional and statewide importance. The objective of the process shall be to ensure that such facilities are located so as to protect environmental quality, optimize access and usefulness to all jurisdictions, and equitably distribute economic benefits/burdens throughout the region or county.</w:t>
      </w:r>
    </w:p>
    <w:p>
      <w:pPr>
        <w:pStyle w:val="BodyText"/>
        <w:spacing w:before="121"/>
        <w:ind w:left="120"/>
        <w:jc w:val="both"/>
      </w:pPr>
      <w:r>
        <w:rPr/>
        <w:t>At the Countywide and multi-county level, the following action should be accomplished:</w:t>
      </w:r>
    </w:p>
    <w:p>
      <w:pPr>
        <w:pStyle w:val="BodyText"/>
        <w:spacing w:before="119"/>
        <w:ind w:left="840" w:right="236" w:hanging="361"/>
        <w:jc w:val="both"/>
      </w:pPr>
      <w:r>
        <w:rPr/>
        <w:t>1. Develop a uniform siting procedure which enables selection of optimum project sites and appropriate size and scale relative to intended benefit area.</w:t>
      </w:r>
    </w:p>
    <w:p>
      <w:pPr>
        <w:pStyle w:val="BodyText"/>
        <w:spacing w:before="120"/>
        <w:ind w:left="119" w:right="233"/>
        <w:jc w:val="both"/>
      </w:pPr>
      <w:r>
        <w:rPr/>
        <w:t>Richland’s Capital Facilities Goal 2 Policy 3 states to locate capital facilities identified as essential public facilities so as to provide the necessary service to the intended users with the least impact on surrounding land uses.</w:t>
      </w:r>
    </w:p>
    <w:p>
      <w:pPr>
        <w:pStyle w:val="BodyText"/>
        <w:spacing w:before="121"/>
        <w:ind w:left="120" w:right="234" w:hanging="1"/>
        <w:jc w:val="both"/>
      </w:pPr>
      <w:r>
        <w:rPr/>
        <w:t>The</w:t>
      </w:r>
      <w:r>
        <w:rPr>
          <w:spacing w:val="-9"/>
        </w:rPr>
        <w:t> </w:t>
      </w:r>
      <w:r>
        <w:rPr/>
        <w:t>City</w:t>
      </w:r>
      <w:r>
        <w:rPr>
          <w:spacing w:val="-8"/>
        </w:rPr>
        <w:t> </w:t>
      </w:r>
      <w:r>
        <w:rPr/>
        <w:t>establishes</w:t>
      </w:r>
      <w:r>
        <w:rPr>
          <w:spacing w:val="-6"/>
        </w:rPr>
        <w:t> </w:t>
      </w:r>
      <w:r>
        <w:rPr/>
        <w:t>the</w:t>
      </w:r>
      <w:r>
        <w:rPr>
          <w:spacing w:val="-9"/>
        </w:rPr>
        <w:t> </w:t>
      </w:r>
      <w:r>
        <w:rPr/>
        <w:t>siting</w:t>
      </w:r>
      <w:r>
        <w:rPr>
          <w:spacing w:val="-8"/>
        </w:rPr>
        <w:t> </w:t>
      </w:r>
      <w:r>
        <w:rPr/>
        <w:t>criteria</w:t>
      </w:r>
      <w:r>
        <w:rPr>
          <w:spacing w:val="-6"/>
        </w:rPr>
        <w:t> </w:t>
      </w:r>
      <w:r>
        <w:rPr/>
        <w:t>with</w:t>
      </w:r>
      <w:r>
        <w:rPr>
          <w:spacing w:val="-5"/>
        </w:rPr>
        <w:t> </w:t>
      </w:r>
      <w:r>
        <w:rPr/>
        <w:t>the</w:t>
      </w:r>
      <w:r>
        <w:rPr>
          <w:spacing w:val="-6"/>
        </w:rPr>
        <w:t> </w:t>
      </w:r>
      <w:r>
        <w:rPr/>
        <w:t>understanding</w:t>
      </w:r>
      <w:r>
        <w:rPr>
          <w:spacing w:val="-5"/>
        </w:rPr>
        <w:t> </w:t>
      </w:r>
      <w:r>
        <w:rPr/>
        <w:t>that</w:t>
      </w:r>
      <w:r>
        <w:rPr>
          <w:spacing w:val="-7"/>
        </w:rPr>
        <w:t> </w:t>
      </w:r>
      <w:r>
        <w:rPr/>
        <w:t>some</w:t>
      </w:r>
      <w:r>
        <w:rPr>
          <w:spacing w:val="-11"/>
        </w:rPr>
        <w:t> </w:t>
      </w:r>
      <w:r>
        <w:rPr/>
        <w:t>EPF</w:t>
      </w:r>
      <w:r>
        <w:rPr>
          <w:spacing w:val="-7"/>
        </w:rPr>
        <w:t> </w:t>
      </w:r>
      <w:r>
        <w:rPr/>
        <w:t>may</w:t>
      </w:r>
      <w:r>
        <w:rPr>
          <w:spacing w:val="-8"/>
        </w:rPr>
        <w:t> </w:t>
      </w:r>
      <w:r>
        <w:rPr/>
        <w:t>not</w:t>
      </w:r>
      <w:r>
        <w:rPr>
          <w:spacing w:val="-6"/>
        </w:rPr>
        <w:t> </w:t>
      </w:r>
      <w:r>
        <w:rPr/>
        <w:t>pose</w:t>
      </w:r>
      <w:r>
        <w:rPr>
          <w:spacing w:val="-6"/>
        </w:rPr>
        <w:t> </w:t>
      </w:r>
      <w:r>
        <w:rPr/>
        <w:t>any</w:t>
      </w:r>
      <w:r>
        <w:rPr>
          <w:spacing w:val="-8"/>
        </w:rPr>
        <w:t> </w:t>
      </w:r>
      <w:r>
        <w:rPr/>
        <w:t>siting difficulties beyond those associated with commercial or public developments. Richland reviews the siting of essential public facilities with a process established in the Richland Municipal Code (RMC 23.42.060, Essential Public Facilities). This process first identifies criteria for determining if the facility is to be reviewed as an EPF. The process reviews and addresses mitigation of potential impacts.</w:t>
      </w:r>
    </w:p>
    <w:p>
      <w:pPr>
        <w:spacing w:after="0"/>
        <w:jc w:val="both"/>
        <w:sectPr>
          <w:pgSz w:w="12240" w:h="15840"/>
          <w:pgMar w:header="0" w:footer="1052" w:top="1420" w:bottom="1320" w:left="1320" w:right="1200"/>
        </w:sectPr>
      </w:pPr>
    </w:p>
    <w:p>
      <w:pPr>
        <w:pStyle w:val="Heading2"/>
        <w:ind w:left="120"/>
      </w:pPr>
      <w:bookmarkStart w:name="References" w:id="337"/>
      <w:bookmarkEnd w:id="337"/>
      <w:r>
        <w:rPr>
          <w:b w:val="0"/>
        </w:rPr>
      </w:r>
      <w:bookmarkStart w:name="_bookmark110" w:id="338"/>
      <w:bookmarkEnd w:id="338"/>
      <w:r>
        <w:rPr>
          <w:b w:val="0"/>
        </w:rPr>
      </w:r>
      <w:r>
        <w:rPr/>
        <w:t>REFERENCES</w:t>
      </w:r>
    </w:p>
    <w:p>
      <w:pPr>
        <w:pStyle w:val="BodyText"/>
        <w:spacing w:line="276" w:lineRule="auto" w:before="379"/>
        <w:ind w:left="119" w:right="727"/>
      </w:pPr>
      <w:r>
        <w:rPr/>
        <w:t>Anchor QEA, 2014. City of Richland Shoreline Inventory, Analysis and Characterization Report. 2014.</w:t>
      </w:r>
    </w:p>
    <w:p>
      <w:pPr>
        <w:pStyle w:val="BodyText"/>
        <w:spacing w:line="276" w:lineRule="auto" w:before="201"/>
        <w:ind w:left="119" w:right="332"/>
      </w:pPr>
      <w:r>
        <w:rPr/>
        <w:t>Benton-Franklin Health District, 2014. People in Benton and Franklin Counties, 2014 Demographic &amp; Socioeconomic Report.</w:t>
      </w:r>
    </w:p>
    <w:p>
      <w:pPr>
        <w:pStyle w:val="BodyText"/>
        <w:spacing w:line="276" w:lineRule="auto" w:before="199"/>
        <w:ind w:left="119" w:right="1981"/>
      </w:pPr>
      <w:r>
        <w:rPr/>
        <w:t>Cascade Natural Gas, 2017. Cascade Natural Gas Corporation. Available from: </w:t>
      </w:r>
      <w:hyperlink r:id="rId297">
        <w:r>
          <w:rPr>
            <w:color w:val="0000FF"/>
            <w:u w:val="single" w:color="0000FF"/>
          </w:rPr>
          <w:t>https://www.cngc.com/utility-navigation/about-us</w:t>
        </w:r>
        <w:r>
          <w:rPr/>
          <w:t>. </w:t>
        </w:r>
      </w:hyperlink>
      <w:r>
        <w:rPr/>
        <w:t>Accessed on March 17, 2017</w:t>
      </w:r>
    </w:p>
    <w:p>
      <w:pPr>
        <w:pStyle w:val="BodyText"/>
        <w:spacing w:before="201"/>
        <w:ind w:left="120"/>
      </w:pPr>
      <w:r>
        <w:rPr/>
        <w:t>The Trust for Public Land, 2015. 2015 City Park Facts. April 2015.</w:t>
      </w:r>
    </w:p>
    <w:p>
      <w:pPr>
        <w:pStyle w:val="BodyText"/>
        <w:spacing w:before="4"/>
        <w:rPr>
          <w:sz w:val="20"/>
        </w:rPr>
      </w:pPr>
    </w:p>
    <w:p>
      <w:pPr>
        <w:pStyle w:val="BodyText"/>
        <w:spacing w:line="276" w:lineRule="auto"/>
        <w:ind w:left="120" w:right="359"/>
      </w:pPr>
      <w:r>
        <w:rPr/>
        <w:t>TRIDEC 2016. Tri-Cities Washington 2016 Factsheet. Available from: </w:t>
      </w:r>
      <w:hyperlink r:id="rId298">
        <w:r>
          <w:rPr>
            <w:color w:val="0000FF"/>
            <w:u w:val="single" w:color="0000FF"/>
          </w:rPr>
          <w:t>https://www.tridec.org/wp-</w:t>
        </w:r>
      </w:hyperlink>
      <w:r>
        <w:rPr>
          <w:color w:val="0000FF"/>
        </w:rPr>
        <w:t> </w:t>
      </w:r>
      <w:hyperlink r:id="rId298">
        <w:r>
          <w:rPr>
            <w:color w:val="0000FF"/>
            <w:u w:val="single" w:color="0000FF"/>
          </w:rPr>
          <w:t>content/uploads/2016-Fact-Sheet-Updated-April-2016-for-TRIDEC-Website.pdf</w:t>
        </w:r>
        <w:r>
          <w:rPr/>
          <w:t>. </w:t>
        </w:r>
      </w:hyperlink>
      <w:r>
        <w:rPr/>
        <w:t>Accessed on February 16, 2017</w:t>
      </w:r>
    </w:p>
    <w:sectPr>
      <w:pgSz w:w="12240" w:h="15840"/>
      <w:pgMar w:header="0" w:footer="1052" w:top="1360" w:bottom="1320" w:left="1320" w:right="12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Century Gothic">
    <w:altName w:val="Century Gothic"/>
    <w:charset w:val="0"/>
    <w:family w:val="swiss"/>
    <w:pitch w:val="variable"/>
  </w:font>
  <w:font w:name="Franklin Gothic Book">
    <w:altName w:val="Franklin Gothic Book"/>
    <w:charset w:val="0"/>
    <w:family w:val="swiss"/>
    <w:pitch w:val="variable"/>
  </w:font>
  <w:font w:name="Cambria">
    <w:altName w:val="Cambria"/>
    <w:charset w:val="0"/>
    <w:family w:val="roman"/>
    <w:pitch w:val="variable"/>
  </w:font>
  <w:font w:name="Calibri">
    <w:altName w:val="Calibri"/>
    <w:charset w:val="0"/>
    <w:family w:val="swiss"/>
    <w:pitch w:val="variable"/>
  </w:font>
  <w:font w:name="Arial Narrow">
    <w:altName w:val="Arial Narrow"/>
    <w:charset w:val="0"/>
    <w:family w:val="swiss"/>
    <w:pitch w:val="variable"/>
  </w:font>
  <w:font w:name="Wingdings">
    <w:altName w:val="Wingdings"/>
    <w:charset w:val="2"/>
    <w:family w:val="auto"/>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71pt;margin-top:724.416077pt;width:243.9pt;height:13.7pt;mso-position-horizontal-relative:page;mso-position-vertical-relative:page;z-index:-268379136" type="#_x0000_t202" filled="false" stroked="false">
          <v:textbox inset="0,0,0,0">
            <w:txbxContent>
              <w:p>
                <w:pPr>
                  <w:spacing w:before="19"/>
                  <w:ind w:left="20" w:right="0" w:firstLine="0"/>
                  <w:jc w:val="left"/>
                  <w:rPr>
                    <w:i/>
                    <w:sz w:val="20"/>
                  </w:rPr>
                </w:pPr>
                <w:r>
                  <w:rPr>
                    <w:i/>
                    <w:sz w:val="20"/>
                  </w:rPr>
                  <w:t>City of Richland Comprehensive Plan– Supporting Analysis</w:t>
                </w:r>
              </w:p>
            </w:txbxContent>
          </v:textbox>
          <w10:wrap type="none"/>
        </v:shape>
      </w:pict>
    </w:r>
    <w:r>
      <w:rPr/>
      <w:pict>
        <v:shape style="position:absolute;margin-left:507.078674pt;margin-top:724.416077pt;width:35.9pt;height:13.7pt;mso-position-horizontal-relative:page;mso-position-vertical-relative:page;z-index:-268378112" type="#_x0000_t202" filled="false" stroked="false">
          <v:textbox inset="0,0,0,0">
            <w:txbxContent>
              <w:p>
                <w:pPr>
                  <w:spacing w:before="19"/>
                  <w:ind w:left="20" w:right="0" w:firstLine="0"/>
                  <w:jc w:val="left"/>
                  <w:rPr>
                    <w:b/>
                    <w:i/>
                    <w:sz w:val="20"/>
                  </w:rPr>
                </w:pPr>
                <w:r>
                  <w:rPr>
                    <w:i/>
                    <w:sz w:val="20"/>
                  </w:rPr>
                  <w:t>Page </w:t>
                </w:r>
                <w:r>
                  <w:rPr/>
                  <w:fldChar w:fldCharType="begin"/>
                </w:r>
                <w:r>
                  <w:rPr>
                    <w:b/>
                    <w:i/>
                    <w:sz w:val="20"/>
                  </w:rPr>
                  <w:instrText> PAGE  \* roman </w:instrText>
                </w:r>
                <w:r>
                  <w:rPr/>
                  <w:fldChar w:fldCharType="separate"/>
                </w:r>
                <w:r>
                  <w:rPr/>
                  <w:t>iii</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724.358948pt;width:273.75pt;height:13.75pt;mso-position-horizontal-relative:page;mso-position-vertical-relative:page;z-index:-268375040" type="#_x0000_t202" filled="false" stroked="false">
          <v:textbox inset="0,0,0,0">
            <w:txbxContent>
              <w:p>
                <w:pPr>
                  <w:spacing w:before="20"/>
                  <w:ind w:left="20" w:right="0" w:firstLine="0"/>
                  <w:jc w:val="left"/>
                  <w:rPr>
                    <w:i/>
                    <w:sz w:val="20"/>
                  </w:rPr>
                </w:pPr>
                <w:r>
                  <w:rPr>
                    <w:i/>
                    <w:sz w:val="20"/>
                  </w:rPr>
                  <w:t>Draft ‐ City of Richland Comprehensive Plan– Supporting Analysis</w:t>
                </w:r>
              </w:p>
            </w:txbxContent>
          </v:textbox>
          <w10:wrap type="none"/>
        </v:shape>
      </w:pict>
    </w:r>
    <w:r>
      <w:rPr/>
      <w:pict>
        <v:shape style="position:absolute;margin-left:504.743744pt;margin-top:724.358948pt;width:36.3pt;height:13.75pt;mso-position-horizontal-relative:page;mso-position-vertical-relative:page;z-index:-268374016" type="#_x0000_t202" filled="false" stroked="false">
          <v:textbox inset="0,0,0,0">
            <w:txbxContent>
              <w:p>
                <w:pPr>
                  <w:spacing w:before="20"/>
                  <w:ind w:left="20" w:right="0" w:firstLine="0"/>
                  <w:jc w:val="left"/>
                  <w:rPr>
                    <w:b/>
                    <w:i/>
                    <w:sz w:val="20"/>
                  </w:rPr>
                </w:pPr>
                <w:r>
                  <w:rPr>
                    <w:i/>
                    <w:sz w:val="20"/>
                  </w:rPr>
                  <w:t>Page </w:t>
                </w:r>
                <w:r>
                  <w:rPr>
                    <w:b/>
                    <w:i/>
                    <w:sz w:val="20"/>
                  </w:rPr>
                  <w:t>60</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5"/>
      </w:rPr>
    </w:pPr>
    <w:r>
      <w:rPr/>
      <w:pict>
        <v:shape style="position:absolute;margin-left:71pt;margin-top:724.416077pt;width:243.9pt;height:13.7pt;mso-position-horizontal-relative:page;mso-position-vertical-relative:page;z-index:-268372992" type="#_x0000_t202" filled="false" stroked="false">
          <v:textbox inset="0,0,0,0">
            <w:txbxContent>
              <w:p>
                <w:pPr>
                  <w:spacing w:before="19"/>
                  <w:ind w:left="20" w:right="0" w:firstLine="0"/>
                  <w:jc w:val="left"/>
                  <w:rPr>
                    <w:i/>
                    <w:sz w:val="20"/>
                  </w:rPr>
                </w:pPr>
                <w:r>
                  <w:rPr>
                    <w:i/>
                    <w:sz w:val="20"/>
                  </w:rPr>
                  <w:t>City of Richland Comprehensive Plan– Supporting Analysis</w:t>
                </w:r>
              </w:p>
            </w:txbxContent>
          </v:textbox>
          <w10:wrap type="none"/>
        </v:shape>
      </w:pict>
    </w:r>
    <w:r>
      <w:rPr/>
      <w:pict>
        <v:shape style="position:absolute;margin-left:499.040955pt;margin-top:724.416077pt;width:43.95pt;height:13.7pt;mso-position-horizontal-relative:page;mso-position-vertical-relative:page;z-index:-268371968" type="#_x0000_t202" filled="false" stroked="false">
          <v:textbox inset="0,0,0,0">
            <w:txbxContent>
              <w:p>
                <w:pPr>
                  <w:spacing w:before="19"/>
                  <w:ind w:left="20" w:right="0" w:firstLine="0"/>
                  <w:jc w:val="left"/>
                  <w:rPr>
                    <w:b/>
                    <w:i/>
                    <w:sz w:val="20"/>
                  </w:rPr>
                </w:pPr>
                <w:r>
                  <w:rPr>
                    <w:i/>
                    <w:sz w:val="20"/>
                  </w:rPr>
                  <w:t>Page </w:t>
                </w:r>
                <w:r>
                  <w:rPr/>
                  <w:fldChar w:fldCharType="begin"/>
                </w:r>
                <w:r>
                  <w:rPr>
                    <w:b/>
                    <w:i/>
                    <w:sz w:val="20"/>
                  </w:rPr>
                  <w:instrText> PAGE </w:instrText>
                </w:r>
                <w:r>
                  <w:rPr/>
                  <w:fldChar w:fldCharType="separate"/>
                </w:r>
                <w:r>
                  <w:rPr/>
                  <w:t>100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724.416077pt;width:243.9pt;height:13.7pt;mso-position-horizontal-relative:page;mso-position-vertical-relative:page;z-index:-268377088" type="#_x0000_t202" filled="false" stroked="false">
          <v:textbox inset="0,0,0,0">
            <w:txbxContent>
              <w:p>
                <w:pPr>
                  <w:spacing w:before="19"/>
                  <w:ind w:left="20" w:right="0" w:firstLine="0"/>
                  <w:jc w:val="left"/>
                  <w:rPr>
                    <w:i/>
                    <w:sz w:val="20"/>
                  </w:rPr>
                </w:pPr>
                <w:r>
                  <w:rPr>
                    <w:i/>
                    <w:sz w:val="20"/>
                  </w:rPr>
                  <w:t>City of Richland Comprehensive Plan– Supporting Analysis</w:t>
                </w:r>
              </w:p>
            </w:txbxContent>
          </v:textbox>
          <w10:wrap type="none"/>
        </v:shape>
      </w:pict>
    </w:r>
    <w:r>
      <w:rPr/>
      <w:pict>
        <v:shape style="position:absolute;margin-left:504.678314pt;margin-top:724.416077pt;width:38.15pt;height:13.7pt;mso-position-horizontal-relative:page;mso-position-vertical-relative:page;z-index:-268376064" type="#_x0000_t202" filled="false" stroked="false">
          <v:textbox inset="0,0,0,0">
            <w:txbxContent>
              <w:p>
                <w:pPr>
                  <w:spacing w:before="19"/>
                  <w:ind w:left="20" w:right="0" w:firstLine="0"/>
                  <w:jc w:val="left"/>
                  <w:rPr>
                    <w:b/>
                    <w:i/>
                    <w:sz w:val="20"/>
                  </w:rPr>
                </w:pPr>
                <w:r>
                  <w:rPr>
                    <w:i/>
                    <w:sz w:val="20"/>
                  </w:rPr>
                  <w:t>Page </w:t>
                </w:r>
                <w:r>
                  <w:rPr/>
                  <w:fldChar w:fldCharType="begin"/>
                </w:r>
                <w:r>
                  <w:rPr>
                    <w:b/>
                    <w:i/>
                    <w:sz w:val="20"/>
                  </w:rPr>
                  <w:instrText> PAGE </w:instrText>
                </w:r>
                <w:r>
                  <w:rPr/>
                  <w:fldChar w:fldCharType="separate"/>
                </w:r>
                <w:r>
                  <w:rPr/>
                  <w:t>10</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3">
    <w:multiLevelType w:val="hybridMultilevel"/>
    <w:lvl w:ilvl="0">
      <w:start w:val="1"/>
      <w:numFmt w:val="decimal"/>
      <w:lvlText w:val="%1."/>
      <w:lvlJc w:val="left"/>
      <w:pPr>
        <w:ind w:left="840" w:hanging="361"/>
        <w:jc w:val="left"/>
      </w:pPr>
      <w:rPr>
        <w:rFonts w:hint="default" w:ascii="Cambria" w:hAnsi="Cambria" w:eastAsia="Cambria" w:cs="Cambria"/>
        <w:w w:val="100"/>
        <w:sz w:val="22"/>
        <w:szCs w:val="22"/>
        <w:lang w:val="en-us" w:eastAsia="en-us" w:bidi="en-us"/>
      </w:rPr>
    </w:lvl>
    <w:lvl w:ilvl="1">
      <w:start w:val="0"/>
      <w:numFmt w:val="bullet"/>
      <w:lvlText w:val="•"/>
      <w:lvlJc w:val="left"/>
      <w:pPr>
        <w:ind w:left="1728" w:hanging="361"/>
      </w:pPr>
      <w:rPr>
        <w:rFonts w:hint="default"/>
        <w:lang w:val="en-us" w:eastAsia="en-us" w:bidi="en-us"/>
      </w:rPr>
    </w:lvl>
    <w:lvl w:ilvl="2">
      <w:start w:val="0"/>
      <w:numFmt w:val="bullet"/>
      <w:lvlText w:val="•"/>
      <w:lvlJc w:val="left"/>
      <w:pPr>
        <w:ind w:left="2616" w:hanging="361"/>
      </w:pPr>
      <w:rPr>
        <w:rFonts w:hint="default"/>
        <w:lang w:val="en-us" w:eastAsia="en-us" w:bidi="en-us"/>
      </w:rPr>
    </w:lvl>
    <w:lvl w:ilvl="3">
      <w:start w:val="0"/>
      <w:numFmt w:val="bullet"/>
      <w:lvlText w:val="•"/>
      <w:lvlJc w:val="left"/>
      <w:pPr>
        <w:ind w:left="3504" w:hanging="361"/>
      </w:pPr>
      <w:rPr>
        <w:rFonts w:hint="default"/>
        <w:lang w:val="en-us" w:eastAsia="en-us" w:bidi="en-us"/>
      </w:rPr>
    </w:lvl>
    <w:lvl w:ilvl="4">
      <w:start w:val="0"/>
      <w:numFmt w:val="bullet"/>
      <w:lvlText w:val="•"/>
      <w:lvlJc w:val="left"/>
      <w:pPr>
        <w:ind w:left="4392" w:hanging="361"/>
      </w:pPr>
      <w:rPr>
        <w:rFonts w:hint="default"/>
        <w:lang w:val="en-us" w:eastAsia="en-us" w:bidi="en-us"/>
      </w:rPr>
    </w:lvl>
    <w:lvl w:ilvl="5">
      <w:start w:val="0"/>
      <w:numFmt w:val="bullet"/>
      <w:lvlText w:val="•"/>
      <w:lvlJc w:val="left"/>
      <w:pPr>
        <w:ind w:left="5280" w:hanging="361"/>
      </w:pPr>
      <w:rPr>
        <w:rFonts w:hint="default"/>
        <w:lang w:val="en-us" w:eastAsia="en-us" w:bidi="en-us"/>
      </w:rPr>
    </w:lvl>
    <w:lvl w:ilvl="6">
      <w:start w:val="0"/>
      <w:numFmt w:val="bullet"/>
      <w:lvlText w:val="•"/>
      <w:lvlJc w:val="left"/>
      <w:pPr>
        <w:ind w:left="6168" w:hanging="361"/>
      </w:pPr>
      <w:rPr>
        <w:rFonts w:hint="default"/>
        <w:lang w:val="en-us" w:eastAsia="en-us" w:bidi="en-us"/>
      </w:rPr>
    </w:lvl>
    <w:lvl w:ilvl="7">
      <w:start w:val="0"/>
      <w:numFmt w:val="bullet"/>
      <w:lvlText w:val="•"/>
      <w:lvlJc w:val="left"/>
      <w:pPr>
        <w:ind w:left="7056" w:hanging="361"/>
      </w:pPr>
      <w:rPr>
        <w:rFonts w:hint="default"/>
        <w:lang w:val="en-us" w:eastAsia="en-us" w:bidi="en-us"/>
      </w:rPr>
    </w:lvl>
    <w:lvl w:ilvl="8">
      <w:start w:val="0"/>
      <w:numFmt w:val="bullet"/>
      <w:lvlText w:val="•"/>
      <w:lvlJc w:val="left"/>
      <w:pPr>
        <w:ind w:left="7944" w:hanging="361"/>
      </w:pPr>
      <w:rPr>
        <w:rFonts w:hint="default"/>
        <w:lang w:val="en-us" w:eastAsia="en-us" w:bidi="en-us"/>
      </w:rPr>
    </w:lvl>
  </w:abstractNum>
  <w:abstractNum w:abstractNumId="12">
    <w:multiLevelType w:val="hybridMultilevel"/>
    <w:lvl w:ilvl="0">
      <w:start w:val="1"/>
      <w:numFmt w:val="decimal"/>
      <w:lvlText w:val="%1."/>
      <w:lvlJc w:val="left"/>
      <w:pPr>
        <w:ind w:left="840" w:hanging="361"/>
        <w:jc w:val="left"/>
      </w:pPr>
      <w:rPr>
        <w:rFonts w:hint="default" w:ascii="Cambria" w:hAnsi="Cambria" w:eastAsia="Cambria" w:cs="Cambria"/>
        <w:w w:val="100"/>
        <w:sz w:val="22"/>
        <w:szCs w:val="22"/>
        <w:lang w:val="en-us" w:eastAsia="en-us" w:bidi="en-us"/>
      </w:rPr>
    </w:lvl>
    <w:lvl w:ilvl="1">
      <w:start w:val="1"/>
      <w:numFmt w:val="lowerLetter"/>
      <w:lvlText w:val="%2."/>
      <w:lvlJc w:val="left"/>
      <w:pPr>
        <w:ind w:left="1559" w:hanging="360"/>
        <w:jc w:val="left"/>
      </w:pPr>
      <w:rPr>
        <w:rFonts w:hint="default" w:ascii="Cambria" w:hAnsi="Cambria" w:eastAsia="Cambria" w:cs="Cambria"/>
        <w:w w:val="100"/>
        <w:sz w:val="22"/>
        <w:szCs w:val="22"/>
        <w:lang w:val="en-us" w:eastAsia="en-us" w:bidi="en-us"/>
      </w:rPr>
    </w:lvl>
    <w:lvl w:ilvl="2">
      <w:start w:val="0"/>
      <w:numFmt w:val="bullet"/>
      <w:lvlText w:val="•"/>
      <w:lvlJc w:val="left"/>
      <w:pPr>
        <w:ind w:left="1560" w:hanging="360"/>
      </w:pPr>
      <w:rPr>
        <w:rFonts w:hint="default"/>
        <w:lang w:val="en-us" w:eastAsia="en-us" w:bidi="en-us"/>
      </w:rPr>
    </w:lvl>
    <w:lvl w:ilvl="3">
      <w:start w:val="0"/>
      <w:numFmt w:val="bullet"/>
      <w:lvlText w:val="•"/>
      <w:lvlJc w:val="left"/>
      <w:pPr>
        <w:ind w:left="2580" w:hanging="360"/>
      </w:pPr>
      <w:rPr>
        <w:rFonts w:hint="default"/>
        <w:lang w:val="en-us" w:eastAsia="en-us" w:bidi="en-us"/>
      </w:rPr>
    </w:lvl>
    <w:lvl w:ilvl="4">
      <w:start w:val="0"/>
      <w:numFmt w:val="bullet"/>
      <w:lvlText w:val="•"/>
      <w:lvlJc w:val="left"/>
      <w:pPr>
        <w:ind w:left="3600" w:hanging="360"/>
      </w:pPr>
      <w:rPr>
        <w:rFonts w:hint="default"/>
        <w:lang w:val="en-us" w:eastAsia="en-us" w:bidi="en-us"/>
      </w:rPr>
    </w:lvl>
    <w:lvl w:ilvl="5">
      <w:start w:val="0"/>
      <w:numFmt w:val="bullet"/>
      <w:lvlText w:val="•"/>
      <w:lvlJc w:val="left"/>
      <w:pPr>
        <w:ind w:left="4620" w:hanging="360"/>
      </w:pPr>
      <w:rPr>
        <w:rFonts w:hint="default"/>
        <w:lang w:val="en-us" w:eastAsia="en-us" w:bidi="en-us"/>
      </w:rPr>
    </w:lvl>
    <w:lvl w:ilvl="6">
      <w:start w:val="0"/>
      <w:numFmt w:val="bullet"/>
      <w:lvlText w:val="•"/>
      <w:lvlJc w:val="left"/>
      <w:pPr>
        <w:ind w:left="5640" w:hanging="360"/>
      </w:pPr>
      <w:rPr>
        <w:rFonts w:hint="default"/>
        <w:lang w:val="en-us" w:eastAsia="en-us" w:bidi="en-us"/>
      </w:rPr>
    </w:lvl>
    <w:lvl w:ilvl="7">
      <w:start w:val="0"/>
      <w:numFmt w:val="bullet"/>
      <w:lvlText w:val="•"/>
      <w:lvlJc w:val="left"/>
      <w:pPr>
        <w:ind w:left="6660" w:hanging="360"/>
      </w:pPr>
      <w:rPr>
        <w:rFonts w:hint="default"/>
        <w:lang w:val="en-us" w:eastAsia="en-us" w:bidi="en-us"/>
      </w:rPr>
    </w:lvl>
    <w:lvl w:ilvl="8">
      <w:start w:val="0"/>
      <w:numFmt w:val="bullet"/>
      <w:lvlText w:val="•"/>
      <w:lvlJc w:val="left"/>
      <w:pPr>
        <w:ind w:left="7680" w:hanging="360"/>
      </w:pPr>
      <w:rPr>
        <w:rFonts w:hint="default"/>
        <w:lang w:val="en-us" w:eastAsia="en-us" w:bidi="en-us"/>
      </w:rPr>
    </w:lvl>
  </w:abstractNum>
  <w:abstractNum w:abstractNumId="11">
    <w:multiLevelType w:val="hybridMultilevel"/>
    <w:lvl w:ilvl="0">
      <w:start w:val="1"/>
      <w:numFmt w:val="decimal"/>
      <w:lvlText w:val="%1."/>
      <w:lvlJc w:val="left"/>
      <w:pPr>
        <w:ind w:left="840" w:hanging="361"/>
        <w:jc w:val="left"/>
      </w:pPr>
      <w:rPr>
        <w:rFonts w:hint="default" w:ascii="Cambria" w:hAnsi="Cambria" w:eastAsia="Cambria" w:cs="Cambria"/>
        <w:w w:val="100"/>
        <w:sz w:val="22"/>
        <w:szCs w:val="22"/>
        <w:lang w:val="en-us" w:eastAsia="en-us" w:bidi="en-us"/>
      </w:rPr>
    </w:lvl>
    <w:lvl w:ilvl="1">
      <w:start w:val="0"/>
      <w:numFmt w:val="bullet"/>
      <w:lvlText w:val="•"/>
      <w:lvlJc w:val="left"/>
      <w:pPr>
        <w:ind w:left="1728" w:hanging="361"/>
      </w:pPr>
      <w:rPr>
        <w:rFonts w:hint="default"/>
        <w:lang w:val="en-us" w:eastAsia="en-us" w:bidi="en-us"/>
      </w:rPr>
    </w:lvl>
    <w:lvl w:ilvl="2">
      <w:start w:val="0"/>
      <w:numFmt w:val="bullet"/>
      <w:lvlText w:val="•"/>
      <w:lvlJc w:val="left"/>
      <w:pPr>
        <w:ind w:left="2616" w:hanging="361"/>
      </w:pPr>
      <w:rPr>
        <w:rFonts w:hint="default"/>
        <w:lang w:val="en-us" w:eastAsia="en-us" w:bidi="en-us"/>
      </w:rPr>
    </w:lvl>
    <w:lvl w:ilvl="3">
      <w:start w:val="0"/>
      <w:numFmt w:val="bullet"/>
      <w:lvlText w:val="•"/>
      <w:lvlJc w:val="left"/>
      <w:pPr>
        <w:ind w:left="3504" w:hanging="361"/>
      </w:pPr>
      <w:rPr>
        <w:rFonts w:hint="default"/>
        <w:lang w:val="en-us" w:eastAsia="en-us" w:bidi="en-us"/>
      </w:rPr>
    </w:lvl>
    <w:lvl w:ilvl="4">
      <w:start w:val="0"/>
      <w:numFmt w:val="bullet"/>
      <w:lvlText w:val="•"/>
      <w:lvlJc w:val="left"/>
      <w:pPr>
        <w:ind w:left="4392" w:hanging="361"/>
      </w:pPr>
      <w:rPr>
        <w:rFonts w:hint="default"/>
        <w:lang w:val="en-us" w:eastAsia="en-us" w:bidi="en-us"/>
      </w:rPr>
    </w:lvl>
    <w:lvl w:ilvl="5">
      <w:start w:val="0"/>
      <w:numFmt w:val="bullet"/>
      <w:lvlText w:val="•"/>
      <w:lvlJc w:val="left"/>
      <w:pPr>
        <w:ind w:left="5280" w:hanging="361"/>
      </w:pPr>
      <w:rPr>
        <w:rFonts w:hint="default"/>
        <w:lang w:val="en-us" w:eastAsia="en-us" w:bidi="en-us"/>
      </w:rPr>
    </w:lvl>
    <w:lvl w:ilvl="6">
      <w:start w:val="0"/>
      <w:numFmt w:val="bullet"/>
      <w:lvlText w:val="•"/>
      <w:lvlJc w:val="left"/>
      <w:pPr>
        <w:ind w:left="6168" w:hanging="361"/>
      </w:pPr>
      <w:rPr>
        <w:rFonts w:hint="default"/>
        <w:lang w:val="en-us" w:eastAsia="en-us" w:bidi="en-us"/>
      </w:rPr>
    </w:lvl>
    <w:lvl w:ilvl="7">
      <w:start w:val="0"/>
      <w:numFmt w:val="bullet"/>
      <w:lvlText w:val="•"/>
      <w:lvlJc w:val="left"/>
      <w:pPr>
        <w:ind w:left="7056" w:hanging="361"/>
      </w:pPr>
      <w:rPr>
        <w:rFonts w:hint="default"/>
        <w:lang w:val="en-us" w:eastAsia="en-us" w:bidi="en-us"/>
      </w:rPr>
    </w:lvl>
    <w:lvl w:ilvl="8">
      <w:start w:val="0"/>
      <w:numFmt w:val="bullet"/>
      <w:lvlText w:val="•"/>
      <w:lvlJc w:val="left"/>
      <w:pPr>
        <w:ind w:left="7944" w:hanging="361"/>
      </w:pPr>
      <w:rPr>
        <w:rFonts w:hint="default"/>
        <w:lang w:val="en-us" w:eastAsia="en-us" w:bidi="en-us"/>
      </w:rPr>
    </w:lvl>
  </w:abstractNum>
  <w:abstractNum w:abstractNumId="10">
    <w:multiLevelType w:val="hybridMultilevel"/>
    <w:lvl w:ilvl="0">
      <w:start w:val="1"/>
      <w:numFmt w:val="decimal"/>
      <w:lvlText w:val="%1."/>
      <w:lvlJc w:val="left"/>
      <w:pPr>
        <w:ind w:left="840" w:hanging="361"/>
        <w:jc w:val="left"/>
      </w:pPr>
      <w:rPr>
        <w:rFonts w:hint="default" w:ascii="Cambria" w:hAnsi="Cambria" w:eastAsia="Cambria" w:cs="Cambria"/>
        <w:w w:val="100"/>
        <w:sz w:val="22"/>
        <w:szCs w:val="22"/>
        <w:lang w:val="en-us" w:eastAsia="en-us" w:bidi="en-us"/>
      </w:rPr>
    </w:lvl>
    <w:lvl w:ilvl="1">
      <w:start w:val="0"/>
      <w:numFmt w:val="bullet"/>
      <w:lvlText w:val="•"/>
      <w:lvlJc w:val="left"/>
      <w:pPr>
        <w:ind w:left="1728" w:hanging="361"/>
      </w:pPr>
      <w:rPr>
        <w:rFonts w:hint="default"/>
        <w:lang w:val="en-us" w:eastAsia="en-us" w:bidi="en-us"/>
      </w:rPr>
    </w:lvl>
    <w:lvl w:ilvl="2">
      <w:start w:val="0"/>
      <w:numFmt w:val="bullet"/>
      <w:lvlText w:val="•"/>
      <w:lvlJc w:val="left"/>
      <w:pPr>
        <w:ind w:left="2616" w:hanging="361"/>
      </w:pPr>
      <w:rPr>
        <w:rFonts w:hint="default"/>
        <w:lang w:val="en-us" w:eastAsia="en-us" w:bidi="en-us"/>
      </w:rPr>
    </w:lvl>
    <w:lvl w:ilvl="3">
      <w:start w:val="0"/>
      <w:numFmt w:val="bullet"/>
      <w:lvlText w:val="•"/>
      <w:lvlJc w:val="left"/>
      <w:pPr>
        <w:ind w:left="3504" w:hanging="361"/>
      </w:pPr>
      <w:rPr>
        <w:rFonts w:hint="default"/>
        <w:lang w:val="en-us" w:eastAsia="en-us" w:bidi="en-us"/>
      </w:rPr>
    </w:lvl>
    <w:lvl w:ilvl="4">
      <w:start w:val="0"/>
      <w:numFmt w:val="bullet"/>
      <w:lvlText w:val="•"/>
      <w:lvlJc w:val="left"/>
      <w:pPr>
        <w:ind w:left="4392" w:hanging="361"/>
      </w:pPr>
      <w:rPr>
        <w:rFonts w:hint="default"/>
        <w:lang w:val="en-us" w:eastAsia="en-us" w:bidi="en-us"/>
      </w:rPr>
    </w:lvl>
    <w:lvl w:ilvl="5">
      <w:start w:val="0"/>
      <w:numFmt w:val="bullet"/>
      <w:lvlText w:val="•"/>
      <w:lvlJc w:val="left"/>
      <w:pPr>
        <w:ind w:left="5280" w:hanging="361"/>
      </w:pPr>
      <w:rPr>
        <w:rFonts w:hint="default"/>
        <w:lang w:val="en-us" w:eastAsia="en-us" w:bidi="en-us"/>
      </w:rPr>
    </w:lvl>
    <w:lvl w:ilvl="6">
      <w:start w:val="0"/>
      <w:numFmt w:val="bullet"/>
      <w:lvlText w:val="•"/>
      <w:lvlJc w:val="left"/>
      <w:pPr>
        <w:ind w:left="6168" w:hanging="361"/>
      </w:pPr>
      <w:rPr>
        <w:rFonts w:hint="default"/>
        <w:lang w:val="en-us" w:eastAsia="en-us" w:bidi="en-us"/>
      </w:rPr>
    </w:lvl>
    <w:lvl w:ilvl="7">
      <w:start w:val="0"/>
      <w:numFmt w:val="bullet"/>
      <w:lvlText w:val="•"/>
      <w:lvlJc w:val="left"/>
      <w:pPr>
        <w:ind w:left="7056" w:hanging="361"/>
      </w:pPr>
      <w:rPr>
        <w:rFonts w:hint="default"/>
        <w:lang w:val="en-us" w:eastAsia="en-us" w:bidi="en-us"/>
      </w:rPr>
    </w:lvl>
    <w:lvl w:ilvl="8">
      <w:start w:val="0"/>
      <w:numFmt w:val="bullet"/>
      <w:lvlText w:val="•"/>
      <w:lvlJc w:val="left"/>
      <w:pPr>
        <w:ind w:left="7944" w:hanging="361"/>
      </w:pPr>
      <w:rPr>
        <w:rFonts w:hint="default"/>
        <w:lang w:val="en-us" w:eastAsia="en-us" w:bidi="en-us"/>
      </w:rPr>
    </w:lvl>
  </w:abstractNum>
  <w:abstractNum w:abstractNumId="9">
    <w:multiLevelType w:val="hybridMultilevel"/>
    <w:lvl w:ilvl="0">
      <w:start w:val="4"/>
      <w:numFmt w:val="lowerLetter"/>
      <w:lvlText w:val="%1."/>
      <w:lvlJc w:val="left"/>
      <w:pPr>
        <w:ind w:left="310" w:hanging="190"/>
        <w:jc w:val="left"/>
      </w:pPr>
      <w:rPr>
        <w:rFonts w:hint="default" w:ascii="Cambria" w:hAnsi="Cambria" w:eastAsia="Cambria" w:cs="Cambria"/>
        <w:i/>
        <w:spacing w:val="0"/>
        <w:w w:val="99"/>
        <w:sz w:val="20"/>
        <w:szCs w:val="20"/>
        <w:lang w:val="en-us" w:eastAsia="en-us" w:bidi="en-us"/>
      </w:rPr>
    </w:lvl>
    <w:lvl w:ilvl="1">
      <w:start w:val="0"/>
      <w:numFmt w:val="bullet"/>
      <w:lvlText w:val=""/>
      <w:lvlJc w:val="left"/>
      <w:pPr>
        <w:ind w:left="840" w:hanging="361"/>
      </w:pPr>
      <w:rPr>
        <w:rFonts w:hint="default" w:ascii="Wingdings" w:hAnsi="Wingdings" w:eastAsia="Wingdings" w:cs="Wingdings"/>
        <w:w w:val="100"/>
        <w:sz w:val="22"/>
        <w:szCs w:val="22"/>
        <w:lang w:val="en-us" w:eastAsia="en-us" w:bidi="en-us"/>
      </w:rPr>
    </w:lvl>
    <w:lvl w:ilvl="2">
      <w:start w:val="0"/>
      <w:numFmt w:val="bullet"/>
      <w:lvlText w:val="•"/>
      <w:lvlJc w:val="left"/>
      <w:pPr>
        <w:ind w:left="1826" w:hanging="361"/>
      </w:pPr>
      <w:rPr>
        <w:rFonts w:hint="default"/>
        <w:lang w:val="en-us" w:eastAsia="en-us" w:bidi="en-us"/>
      </w:rPr>
    </w:lvl>
    <w:lvl w:ilvl="3">
      <w:start w:val="0"/>
      <w:numFmt w:val="bullet"/>
      <w:lvlText w:val="•"/>
      <w:lvlJc w:val="left"/>
      <w:pPr>
        <w:ind w:left="2813" w:hanging="361"/>
      </w:pPr>
      <w:rPr>
        <w:rFonts w:hint="default"/>
        <w:lang w:val="en-us" w:eastAsia="en-us" w:bidi="en-us"/>
      </w:rPr>
    </w:lvl>
    <w:lvl w:ilvl="4">
      <w:start w:val="0"/>
      <w:numFmt w:val="bullet"/>
      <w:lvlText w:val="•"/>
      <w:lvlJc w:val="left"/>
      <w:pPr>
        <w:ind w:left="3800" w:hanging="361"/>
      </w:pPr>
      <w:rPr>
        <w:rFonts w:hint="default"/>
        <w:lang w:val="en-us" w:eastAsia="en-us" w:bidi="en-us"/>
      </w:rPr>
    </w:lvl>
    <w:lvl w:ilvl="5">
      <w:start w:val="0"/>
      <w:numFmt w:val="bullet"/>
      <w:lvlText w:val="•"/>
      <w:lvlJc w:val="left"/>
      <w:pPr>
        <w:ind w:left="4786" w:hanging="361"/>
      </w:pPr>
      <w:rPr>
        <w:rFonts w:hint="default"/>
        <w:lang w:val="en-us" w:eastAsia="en-us" w:bidi="en-us"/>
      </w:rPr>
    </w:lvl>
    <w:lvl w:ilvl="6">
      <w:start w:val="0"/>
      <w:numFmt w:val="bullet"/>
      <w:lvlText w:val="•"/>
      <w:lvlJc w:val="left"/>
      <w:pPr>
        <w:ind w:left="5773" w:hanging="361"/>
      </w:pPr>
      <w:rPr>
        <w:rFonts w:hint="default"/>
        <w:lang w:val="en-us" w:eastAsia="en-us" w:bidi="en-us"/>
      </w:rPr>
    </w:lvl>
    <w:lvl w:ilvl="7">
      <w:start w:val="0"/>
      <w:numFmt w:val="bullet"/>
      <w:lvlText w:val="•"/>
      <w:lvlJc w:val="left"/>
      <w:pPr>
        <w:ind w:left="6760" w:hanging="361"/>
      </w:pPr>
      <w:rPr>
        <w:rFonts w:hint="default"/>
        <w:lang w:val="en-us" w:eastAsia="en-us" w:bidi="en-us"/>
      </w:rPr>
    </w:lvl>
    <w:lvl w:ilvl="8">
      <w:start w:val="0"/>
      <w:numFmt w:val="bullet"/>
      <w:lvlText w:val="•"/>
      <w:lvlJc w:val="left"/>
      <w:pPr>
        <w:ind w:left="7746" w:hanging="361"/>
      </w:pPr>
      <w:rPr>
        <w:rFonts w:hint="default"/>
        <w:lang w:val="en-us" w:eastAsia="en-us" w:bidi="en-us"/>
      </w:rPr>
    </w:lvl>
  </w:abstractNum>
  <w:abstractNum w:abstractNumId="8">
    <w:multiLevelType w:val="hybridMultilevel"/>
    <w:lvl w:ilvl="0">
      <w:start w:val="1"/>
      <w:numFmt w:val="lowerLetter"/>
      <w:lvlText w:val="%1."/>
      <w:lvlJc w:val="left"/>
      <w:pPr>
        <w:ind w:left="309" w:hanging="190"/>
        <w:jc w:val="left"/>
      </w:pPr>
      <w:rPr>
        <w:rFonts w:hint="default" w:ascii="Cambria" w:hAnsi="Cambria" w:eastAsia="Cambria" w:cs="Cambria"/>
        <w:i/>
        <w:w w:val="99"/>
        <w:sz w:val="20"/>
        <w:szCs w:val="20"/>
        <w:lang w:val="en-us" w:eastAsia="en-us" w:bidi="en-us"/>
      </w:rPr>
    </w:lvl>
    <w:lvl w:ilvl="1">
      <w:start w:val="0"/>
      <w:numFmt w:val="bullet"/>
      <w:lvlText w:val="•"/>
      <w:lvlJc w:val="left"/>
      <w:pPr>
        <w:ind w:left="1242" w:hanging="190"/>
      </w:pPr>
      <w:rPr>
        <w:rFonts w:hint="default"/>
        <w:lang w:val="en-us" w:eastAsia="en-us" w:bidi="en-us"/>
      </w:rPr>
    </w:lvl>
    <w:lvl w:ilvl="2">
      <w:start w:val="0"/>
      <w:numFmt w:val="bullet"/>
      <w:lvlText w:val="•"/>
      <w:lvlJc w:val="left"/>
      <w:pPr>
        <w:ind w:left="2184" w:hanging="190"/>
      </w:pPr>
      <w:rPr>
        <w:rFonts w:hint="default"/>
        <w:lang w:val="en-us" w:eastAsia="en-us" w:bidi="en-us"/>
      </w:rPr>
    </w:lvl>
    <w:lvl w:ilvl="3">
      <w:start w:val="0"/>
      <w:numFmt w:val="bullet"/>
      <w:lvlText w:val="•"/>
      <w:lvlJc w:val="left"/>
      <w:pPr>
        <w:ind w:left="3126" w:hanging="190"/>
      </w:pPr>
      <w:rPr>
        <w:rFonts w:hint="default"/>
        <w:lang w:val="en-us" w:eastAsia="en-us" w:bidi="en-us"/>
      </w:rPr>
    </w:lvl>
    <w:lvl w:ilvl="4">
      <w:start w:val="0"/>
      <w:numFmt w:val="bullet"/>
      <w:lvlText w:val="•"/>
      <w:lvlJc w:val="left"/>
      <w:pPr>
        <w:ind w:left="4068" w:hanging="190"/>
      </w:pPr>
      <w:rPr>
        <w:rFonts w:hint="default"/>
        <w:lang w:val="en-us" w:eastAsia="en-us" w:bidi="en-us"/>
      </w:rPr>
    </w:lvl>
    <w:lvl w:ilvl="5">
      <w:start w:val="0"/>
      <w:numFmt w:val="bullet"/>
      <w:lvlText w:val="•"/>
      <w:lvlJc w:val="left"/>
      <w:pPr>
        <w:ind w:left="5010" w:hanging="190"/>
      </w:pPr>
      <w:rPr>
        <w:rFonts w:hint="default"/>
        <w:lang w:val="en-us" w:eastAsia="en-us" w:bidi="en-us"/>
      </w:rPr>
    </w:lvl>
    <w:lvl w:ilvl="6">
      <w:start w:val="0"/>
      <w:numFmt w:val="bullet"/>
      <w:lvlText w:val="•"/>
      <w:lvlJc w:val="left"/>
      <w:pPr>
        <w:ind w:left="5952" w:hanging="190"/>
      </w:pPr>
      <w:rPr>
        <w:rFonts w:hint="default"/>
        <w:lang w:val="en-us" w:eastAsia="en-us" w:bidi="en-us"/>
      </w:rPr>
    </w:lvl>
    <w:lvl w:ilvl="7">
      <w:start w:val="0"/>
      <w:numFmt w:val="bullet"/>
      <w:lvlText w:val="•"/>
      <w:lvlJc w:val="left"/>
      <w:pPr>
        <w:ind w:left="6894" w:hanging="190"/>
      </w:pPr>
      <w:rPr>
        <w:rFonts w:hint="default"/>
        <w:lang w:val="en-us" w:eastAsia="en-us" w:bidi="en-us"/>
      </w:rPr>
    </w:lvl>
    <w:lvl w:ilvl="8">
      <w:start w:val="0"/>
      <w:numFmt w:val="bullet"/>
      <w:lvlText w:val="•"/>
      <w:lvlJc w:val="left"/>
      <w:pPr>
        <w:ind w:left="7836" w:hanging="190"/>
      </w:pPr>
      <w:rPr>
        <w:rFonts w:hint="default"/>
        <w:lang w:val="en-us" w:eastAsia="en-us" w:bidi="en-us"/>
      </w:rPr>
    </w:lvl>
  </w:abstractNum>
  <w:abstractNum w:abstractNumId="7">
    <w:multiLevelType w:val="hybridMultilevel"/>
    <w:lvl w:ilvl="0">
      <w:start w:val="1"/>
      <w:numFmt w:val="lowerLetter"/>
      <w:lvlText w:val="%1."/>
      <w:lvlJc w:val="left"/>
      <w:pPr>
        <w:ind w:left="309" w:hanging="190"/>
        <w:jc w:val="left"/>
      </w:pPr>
      <w:rPr>
        <w:rFonts w:hint="default" w:ascii="Cambria" w:hAnsi="Cambria" w:eastAsia="Cambria" w:cs="Cambria"/>
        <w:i/>
        <w:w w:val="99"/>
        <w:sz w:val="20"/>
        <w:szCs w:val="20"/>
        <w:lang w:val="en-us" w:eastAsia="en-us" w:bidi="en-us"/>
      </w:rPr>
    </w:lvl>
    <w:lvl w:ilvl="1">
      <w:start w:val="0"/>
      <w:numFmt w:val="bullet"/>
      <w:lvlText w:val="•"/>
      <w:lvlJc w:val="left"/>
      <w:pPr>
        <w:ind w:left="1242" w:hanging="190"/>
      </w:pPr>
      <w:rPr>
        <w:rFonts w:hint="default"/>
        <w:lang w:val="en-us" w:eastAsia="en-us" w:bidi="en-us"/>
      </w:rPr>
    </w:lvl>
    <w:lvl w:ilvl="2">
      <w:start w:val="0"/>
      <w:numFmt w:val="bullet"/>
      <w:lvlText w:val="•"/>
      <w:lvlJc w:val="left"/>
      <w:pPr>
        <w:ind w:left="2184" w:hanging="190"/>
      </w:pPr>
      <w:rPr>
        <w:rFonts w:hint="default"/>
        <w:lang w:val="en-us" w:eastAsia="en-us" w:bidi="en-us"/>
      </w:rPr>
    </w:lvl>
    <w:lvl w:ilvl="3">
      <w:start w:val="0"/>
      <w:numFmt w:val="bullet"/>
      <w:lvlText w:val="•"/>
      <w:lvlJc w:val="left"/>
      <w:pPr>
        <w:ind w:left="3126" w:hanging="190"/>
      </w:pPr>
      <w:rPr>
        <w:rFonts w:hint="default"/>
        <w:lang w:val="en-us" w:eastAsia="en-us" w:bidi="en-us"/>
      </w:rPr>
    </w:lvl>
    <w:lvl w:ilvl="4">
      <w:start w:val="0"/>
      <w:numFmt w:val="bullet"/>
      <w:lvlText w:val="•"/>
      <w:lvlJc w:val="left"/>
      <w:pPr>
        <w:ind w:left="4068" w:hanging="190"/>
      </w:pPr>
      <w:rPr>
        <w:rFonts w:hint="default"/>
        <w:lang w:val="en-us" w:eastAsia="en-us" w:bidi="en-us"/>
      </w:rPr>
    </w:lvl>
    <w:lvl w:ilvl="5">
      <w:start w:val="0"/>
      <w:numFmt w:val="bullet"/>
      <w:lvlText w:val="•"/>
      <w:lvlJc w:val="left"/>
      <w:pPr>
        <w:ind w:left="5010" w:hanging="190"/>
      </w:pPr>
      <w:rPr>
        <w:rFonts w:hint="default"/>
        <w:lang w:val="en-us" w:eastAsia="en-us" w:bidi="en-us"/>
      </w:rPr>
    </w:lvl>
    <w:lvl w:ilvl="6">
      <w:start w:val="0"/>
      <w:numFmt w:val="bullet"/>
      <w:lvlText w:val="•"/>
      <w:lvlJc w:val="left"/>
      <w:pPr>
        <w:ind w:left="5952" w:hanging="190"/>
      </w:pPr>
      <w:rPr>
        <w:rFonts w:hint="default"/>
        <w:lang w:val="en-us" w:eastAsia="en-us" w:bidi="en-us"/>
      </w:rPr>
    </w:lvl>
    <w:lvl w:ilvl="7">
      <w:start w:val="0"/>
      <w:numFmt w:val="bullet"/>
      <w:lvlText w:val="•"/>
      <w:lvlJc w:val="left"/>
      <w:pPr>
        <w:ind w:left="6894" w:hanging="190"/>
      </w:pPr>
      <w:rPr>
        <w:rFonts w:hint="default"/>
        <w:lang w:val="en-us" w:eastAsia="en-us" w:bidi="en-us"/>
      </w:rPr>
    </w:lvl>
    <w:lvl w:ilvl="8">
      <w:start w:val="0"/>
      <w:numFmt w:val="bullet"/>
      <w:lvlText w:val="•"/>
      <w:lvlJc w:val="left"/>
      <w:pPr>
        <w:ind w:left="7836" w:hanging="190"/>
      </w:pPr>
      <w:rPr>
        <w:rFonts w:hint="default"/>
        <w:lang w:val="en-us" w:eastAsia="en-us" w:bidi="en-us"/>
      </w:rPr>
    </w:lvl>
  </w:abstractNum>
  <w:abstractNum w:abstractNumId="6">
    <w:multiLevelType w:val="hybridMultilevel"/>
    <w:lvl w:ilvl="0">
      <w:start w:val="1"/>
      <w:numFmt w:val="lowerLetter"/>
      <w:lvlText w:val="%1."/>
      <w:lvlJc w:val="left"/>
      <w:pPr>
        <w:ind w:left="554" w:hanging="190"/>
        <w:jc w:val="left"/>
      </w:pPr>
      <w:rPr>
        <w:rFonts w:hint="default" w:ascii="Cambria" w:hAnsi="Cambria" w:eastAsia="Cambria" w:cs="Cambria"/>
        <w:i/>
        <w:w w:val="99"/>
        <w:sz w:val="20"/>
        <w:szCs w:val="20"/>
        <w:lang w:val="en-us" w:eastAsia="en-us" w:bidi="en-us"/>
      </w:rPr>
    </w:lvl>
    <w:lvl w:ilvl="1">
      <w:start w:val="0"/>
      <w:numFmt w:val="bullet"/>
      <w:lvlText w:val="•"/>
      <w:lvlJc w:val="left"/>
      <w:pPr>
        <w:ind w:left="1476" w:hanging="190"/>
      </w:pPr>
      <w:rPr>
        <w:rFonts w:hint="default"/>
        <w:lang w:val="en-us" w:eastAsia="en-us" w:bidi="en-us"/>
      </w:rPr>
    </w:lvl>
    <w:lvl w:ilvl="2">
      <w:start w:val="0"/>
      <w:numFmt w:val="bullet"/>
      <w:lvlText w:val="•"/>
      <w:lvlJc w:val="left"/>
      <w:pPr>
        <w:ind w:left="2392" w:hanging="190"/>
      </w:pPr>
      <w:rPr>
        <w:rFonts w:hint="default"/>
        <w:lang w:val="en-us" w:eastAsia="en-us" w:bidi="en-us"/>
      </w:rPr>
    </w:lvl>
    <w:lvl w:ilvl="3">
      <w:start w:val="0"/>
      <w:numFmt w:val="bullet"/>
      <w:lvlText w:val="•"/>
      <w:lvlJc w:val="left"/>
      <w:pPr>
        <w:ind w:left="3308" w:hanging="190"/>
      </w:pPr>
      <w:rPr>
        <w:rFonts w:hint="default"/>
        <w:lang w:val="en-us" w:eastAsia="en-us" w:bidi="en-us"/>
      </w:rPr>
    </w:lvl>
    <w:lvl w:ilvl="4">
      <w:start w:val="0"/>
      <w:numFmt w:val="bullet"/>
      <w:lvlText w:val="•"/>
      <w:lvlJc w:val="left"/>
      <w:pPr>
        <w:ind w:left="4224" w:hanging="190"/>
      </w:pPr>
      <w:rPr>
        <w:rFonts w:hint="default"/>
        <w:lang w:val="en-us" w:eastAsia="en-us" w:bidi="en-us"/>
      </w:rPr>
    </w:lvl>
    <w:lvl w:ilvl="5">
      <w:start w:val="0"/>
      <w:numFmt w:val="bullet"/>
      <w:lvlText w:val="•"/>
      <w:lvlJc w:val="left"/>
      <w:pPr>
        <w:ind w:left="5140" w:hanging="190"/>
      </w:pPr>
      <w:rPr>
        <w:rFonts w:hint="default"/>
        <w:lang w:val="en-us" w:eastAsia="en-us" w:bidi="en-us"/>
      </w:rPr>
    </w:lvl>
    <w:lvl w:ilvl="6">
      <w:start w:val="0"/>
      <w:numFmt w:val="bullet"/>
      <w:lvlText w:val="•"/>
      <w:lvlJc w:val="left"/>
      <w:pPr>
        <w:ind w:left="6056" w:hanging="190"/>
      </w:pPr>
      <w:rPr>
        <w:rFonts w:hint="default"/>
        <w:lang w:val="en-us" w:eastAsia="en-us" w:bidi="en-us"/>
      </w:rPr>
    </w:lvl>
    <w:lvl w:ilvl="7">
      <w:start w:val="0"/>
      <w:numFmt w:val="bullet"/>
      <w:lvlText w:val="•"/>
      <w:lvlJc w:val="left"/>
      <w:pPr>
        <w:ind w:left="6972" w:hanging="190"/>
      </w:pPr>
      <w:rPr>
        <w:rFonts w:hint="default"/>
        <w:lang w:val="en-us" w:eastAsia="en-us" w:bidi="en-us"/>
      </w:rPr>
    </w:lvl>
    <w:lvl w:ilvl="8">
      <w:start w:val="0"/>
      <w:numFmt w:val="bullet"/>
      <w:lvlText w:val="•"/>
      <w:lvlJc w:val="left"/>
      <w:pPr>
        <w:ind w:left="7888" w:hanging="190"/>
      </w:pPr>
      <w:rPr>
        <w:rFonts w:hint="default"/>
        <w:lang w:val="en-us" w:eastAsia="en-us" w:bidi="en-us"/>
      </w:rPr>
    </w:lvl>
  </w:abstractNum>
  <w:abstractNum w:abstractNumId="5">
    <w:multiLevelType w:val="hybridMultilevel"/>
    <w:lvl w:ilvl="0">
      <w:start w:val="20"/>
      <w:numFmt w:val="upperLetter"/>
      <w:lvlText w:val="%1"/>
      <w:lvlJc w:val="left"/>
      <w:pPr>
        <w:ind w:left="5605" w:hanging="671"/>
        <w:jc w:val="left"/>
      </w:pPr>
      <w:rPr>
        <w:rFonts w:hint="default"/>
        <w:lang w:val="en-us" w:eastAsia="en-us" w:bidi="en-us"/>
      </w:rPr>
    </w:lvl>
    <w:lvl w:ilvl="1">
      <w:start w:val="3"/>
      <w:numFmt w:val="decimal"/>
      <w:lvlText w:val="%1-%2"/>
      <w:lvlJc w:val="left"/>
      <w:pPr>
        <w:ind w:left="5605" w:hanging="671"/>
        <w:jc w:val="right"/>
      </w:pPr>
      <w:rPr>
        <w:rFonts w:hint="default"/>
        <w:b/>
        <w:bCs/>
        <w:spacing w:val="-2"/>
        <w:w w:val="99"/>
        <w:lang w:val="en-us" w:eastAsia="en-us" w:bidi="en-us"/>
      </w:rPr>
    </w:lvl>
    <w:lvl w:ilvl="2">
      <w:start w:val="0"/>
      <w:numFmt w:val="bullet"/>
      <w:lvlText w:val="•"/>
      <w:lvlJc w:val="left"/>
      <w:pPr>
        <w:ind w:left="7648" w:hanging="671"/>
      </w:pPr>
      <w:rPr>
        <w:rFonts w:hint="default"/>
        <w:lang w:val="en-us" w:eastAsia="en-us" w:bidi="en-us"/>
      </w:rPr>
    </w:lvl>
    <w:lvl w:ilvl="3">
      <w:start w:val="0"/>
      <w:numFmt w:val="bullet"/>
      <w:lvlText w:val="•"/>
      <w:lvlJc w:val="left"/>
      <w:pPr>
        <w:ind w:left="8672" w:hanging="671"/>
      </w:pPr>
      <w:rPr>
        <w:rFonts w:hint="default"/>
        <w:lang w:val="en-us" w:eastAsia="en-us" w:bidi="en-us"/>
      </w:rPr>
    </w:lvl>
    <w:lvl w:ilvl="4">
      <w:start w:val="0"/>
      <w:numFmt w:val="bullet"/>
      <w:lvlText w:val="•"/>
      <w:lvlJc w:val="left"/>
      <w:pPr>
        <w:ind w:left="9696" w:hanging="671"/>
      </w:pPr>
      <w:rPr>
        <w:rFonts w:hint="default"/>
        <w:lang w:val="en-us" w:eastAsia="en-us" w:bidi="en-us"/>
      </w:rPr>
    </w:lvl>
    <w:lvl w:ilvl="5">
      <w:start w:val="0"/>
      <w:numFmt w:val="bullet"/>
      <w:lvlText w:val="•"/>
      <w:lvlJc w:val="left"/>
      <w:pPr>
        <w:ind w:left="10720" w:hanging="671"/>
      </w:pPr>
      <w:rPr>
        <w:rFonts w:hint="default"/>
        <w:lang w:val="en-us" w:eastAsia="en-us" w:bidi="en-us"/>
      </w:rPr>
    </w:lvl>
    <w:lvl w:ilvl="6">
      <w:start w:val="0"/>
      <w:numFmt w:val="bullet"/>
      <w:lvlText w:val="•"/>
      <w:lvlJc w:val="left"/>
      <w:pPr>
        <w:ind w:left="11744" w:hanging="671"/>
      </w:pPr>
      <w:rPr>
        <w:rFonts w:hint="default"/>
        <w:lang w:val="en-us" w:eastAsia="en-us" w:bidi="en-us"/>
      </w:rPr>
    </w:lvl>
    <w:lvl w:ilvl="7">
      <w:start w:val="0"/>
      <w:numFmt w:val="bullet"/>
      <w:lvlText w:val="•"/>
      <w:lvlJc w:val="left"/>
      <w:pPr>
        <w:ind w:left="12768" w:hanging="671"/>
      </w:pPr>
      <w:rPr>
        <w:rFonts w:hint="default"/>
        <w:lang w:val="en-us" w:eastAsia="en-us" w:bidi="en-us"/>
      </w:rPr>
    </w:lvl>
    <w:lvl w:ilvl="8">
      <w:start w:val="0"/>
      <w:numFmt w:val="bullet"/>
      <w:lvlText w:val="•"/>
      <w:lvlJc w:val="left"/>
      <w:pPr>
        <w:ind w:left="13792" w:hanging="671"/>
      </w:pPr>
      <w:rPr>
        <w:rFonts w:hint="default"/>
        <w:lang w:val="en-us" w:eastAsia="en-us" w:bidi="en-us"/>
      </w:rPr>
    </w:lvl>
  </w:abstractNum>
  <w:abstractNum w:abstractNumId="4">
    <w:multiLevelType w:val="hybridMultilevel"/>
    <w:lvl w:ilvl="0">
      <w:start w:val="6"/>
      <w:numFmt w:val="decimal"/>
      <w:lvlText w:val="%1"/>
      <w:lvlJc w:val="left"/>
      <w:pPr>
        <w:ind w:left="140" w:hanging="488"/>
        <w:jc w:val="left"/>
      </w:pPr>
      <w:rPr>
        <w:rFonts w:hint="default"/>
        <w:lang w:val="en-us" w:eastAsia="en-us" w:bidi="en-us"/>
      </w:rPr>
    </w:lvl>
    <w:lvl w:ilvl="1">
      <w:start w:val="38"/>
      <w:numFmt w:val="decimal"/>
      <w:lvlText w:val="%1.%2"/>
      <w:lvlJc w:val="left"/>
      <w:pPr>
        <w:ind w:left="140" w:hanging="488"/>
        <w:jc w:val="left"/>
      </w:pPr>
      <w:rPr>
        <w:rFonts w:hint="default" w:ascii="Cambria" w:hAnsi="Cambria" w:eastAsia="Cambria" w:cs="Cambria"/>
        <w:w w:val="100"/>
        <w:sz w:val="22"/>
        <w:szCs w:val="22"/>
        <w:lang w:val="en-us" w:eastAsia="en-us" w:bidi="en-us"/>
      </w:rPr>
    </w:lvl>
    <w:lvl w:ilvl="2">
      <w:start w:val="0"/>
      <w:numFmt w:val="bullet"/>
      <w:lvlText w:val=""/>
      <w:lvlJc w:val="left"/>
      <w:pPr>
        <w:ind w:left="860" w:hanging="361"/>
      </w:pPr>
      <w:rPr>
        <w:rFonts w:hint="default" w:ascii="Wingdings" w:hAnsi="Wingdings" w:eastAsia="Wingdings" w:cs="Wingdings"/>
        <w:w w:val="100"/>
        <w:sz w:val="22"/>
        <w:szCs w:val="22"/>
        <w:lang w:val="en-us" w:eastAsia="en-us" w:bidi="en-us"/>
      </w:rPr>
    </w:lvl>
    <w:lvl w:ilvl="3">
      <w:start w:val="0"/>
      <w:numFmt w:val="bullet"/>
      <w:lvlText w:val="•"/>
      <w:lvlJc w:val="left"/>
      <w:pPr>
        <w:ind w:left="2855" w:hanging="361"/>
      </w:pPr>
      <w:rPr>
        <w:rFonts w:hint="default"/>
        <w:lang w:val="en-us" w:eastAsia="en-us" w:bidi="en-us"/>
      </w:rPr>
    </w:lvl>
    <w:lvl w:ilvl="4">
      <w:start w:val="0"/>
      <w:numFmt w:val="bullet"/>
      <w:lvlText w:val="•"/>
      <w:lvlJc w:val="left"/>
      <w:pPr>
        <w:ind w:left="3853" w:hanging="361"/>
      </w:pPr>
      <w:rPr>
        <w:rFonts w:hint="default"/>
        <w:lang w:val="en-us" w:eastAsia="en-us" w:bidi="en-us"/>
      </w:rPr>
    </w:lvl>
    <w:lvl w:ilvl="5">
      <w:start w:val="0"/>
      <w:numFmt w:val="bullet"/>
      <w:lvlText w:val="•"/>
      <w:lvlJc w:val="left"/>
      <w:pPr>
        <w:ind w:left="4851" w:hanging="361"/>
      </w:pPr>
      <w:rPr>
        <w:rFonts w:hint="default"/>
        <w:lang w:val="en-us" w:eastAsia="en-us" w:bidi="en-us"/>
      </w:rPr>
    </w:lvl>
    <w:lvl w:ilvl="6">
      <w:start w:val="0"/>
      <w:numFmt w:val="bullet"/>
      <w:lvlText w:val="•"/>
      <w:lvlJc w:val="left"/>
      <w:pPr>
        <w:ind w:left="5848" w:hanging="361"/>
      </w:pPr>
      <w:rPr>
        <w:rFonts w:hint="default"/>
        <w:lang w:val="en-us" w:eastAsia="en-us" w:bidi="en-us"/>
      </w:rPr>
    </w:lvl>
    <w:lvl w:ilvl="7">
      <w:start w:val="0"/>
      <w:numFmt w:val="bullet"/>
      <w:lvlText w:val="•"/>
      <w:lvlJc w:val="left"/>
      <w:pPr>
        <w:ind w:left="6846" w:hanging="361"/>
      </w:pPr>
      <w:rPr>
        <w:rFonts w:hint="default"/>
        <w:lang w:val="en-us" w:eastAsia="en-us" w:bidi="en-us"/>
      </w:rPr>
    </w:lvl>
    <w:lvl w:ilvl="8">
      <w:start w:val="0"/>
      <w:numFmt w:val="bullet"/>
      <w:lvlText w:val="•"/>
      <w:lvlJc w:val="left"/>
      <w:pPr>
        <w:ind w:left="7844" w:hanging="361"/>
      </w:pPr>
      <w:rPr>
        <w:rFonts w:hint="default"/>
        <w:lang w:val="en-us" w:eastAsia="en-us" w:bidi="en-us"/>
      </w:rPr>
    </w:lvl>
  </w:abstractNum>
  <w:abstractNum w:abstractNumId="3">
    <w:multiLevelType w:val="hybridMultilevel"/>
    <w:lvl w:ilvl="0">
      <w:start w:val="0"/>
      <w:numFmt w:val="bullet"/>
      <w:lvlText w:val=""/>
      <w:lvlJc w:val="left"/>
      <w:pPr>
        <w:ind w:left="860" w:hanging="361"/>
      </w:pPr>
      <w:rPr>
        <w:rFonts w:hint="default" w:ascii="Wingdings" w:hAnsi="Wingdings" w:eastAsia="Wingdings" w:cs="Wingdings"/>
        <w:w w:val="100"/>
        <w:sz w:val="22"/>
        <w:szCs w:val="22"/>
        <w:lang w:val="en-us" w:eastAsia="en-us" w:bidi="en-us"/>
      </w:rPr>
    </w:lvl>
    <w:lvl w:ilvl="1">
      <w:start w:val="0"/>
      <w:numFmt w:val="bullet"/>
      <w:lvlText w:val="•"/>
      <w:lvlJc w:val="left"/>
      <w:pPr>
        <w:ind w:left="1758" w:hanging="361"/>
      </w:pPr>
      <w:rPr>
        <w:rFonts w:hint="default"/>
        <w:lang w:val="en-us" w:eastAsia="en-us" w:bidi="en-us"/>
      </w:rPr>
    </w:lvl>
    <w:lvl w:ilvl="2">
      <w:start w:val="0"/>
      <w:numFmt w:val="bullet"/>
      <w:lvlText w:val="•"/>
      <w:lvlJc w:val="left"/>
      <w:pPr>
        <w:ind w:left="2656" w:hanging="361"/>
      </w:pPr>
      <w:rPr>
        <w:rFonts w:hint="default"/>
        <w:lang w:val="en-us" w:eastAsia="en-us" w:bidi="en-us"/>
      </w:rPr>
    </w:lvl>
    <w:lvl w:ilvl="3">
      <w:start w:val="0"/>
      <w:numFmt w:val="bullet"/>
      <w:lvlText w:val="•"/>
      <w:lvlJc w:val="left"/>
      <w:pPr>
        <w:ind w:left="3554" w:hanging="361"/>
      </w:pPr>
      <w:rPr>
        <w:rFonts w:hint="default"/>
        <w:lang w:val="en-us" w:eastAsia="en-us" w:bidi="en-us"/>
      </w:rPr>
    </w:lvl>
    <w:lvl w:ilvl="4">
      <w:start w:val="0"/>
      <w:numFmt w:val="bullet"/>
      <w:lvlText w:val="•"/>
      <w:lvlJc w:val="left"/>
      <w:pPr>
        <w:ind w:left="4452" w:hanging="361"/>
      </w:pPr>
      <w:rPr>
        <w:rFonts w:hint="default"/>
        <w:lang w:val="en-us" w:eastAsia="en-us" w:bidi="en-us"/>
      </w:rPr>
    </w:lvl>
    <w:lvl w:ilvl="5">
      <w:start w:val="0"/>
      <w:numFmt w:val="bullet"/>
      <w:lvlText w:val="•"/>
      <w:lvlJc w:val="left"/>
      <w:pPr>
        <w:ind w:left="5350" w:hanging="361"/>
      </w:pPr>
      <w:rPr>
        <w:rFonts w:hint="default"/>
        <w:lang w:val="en-us" w:eastAsia="en-us" w:bidi="en-us"/>
      </w:rPr>
    </w:lvl>
    <w:lvl w:ilvl="6">
      <w:start w:val="0"/>
      <w:numFmt w:val="bullet"/>
      <w:lvlText w:val="•"/>
      <w:lvlJc w:val="left"/>
      <w:pPr>
        <w:ind w:left="6248" w:hanging="361"/>
      </w:pPr>
      <w:rPr>
        <w:rFonts w:hint="default"/>
        <w:lang w:val="en-us" w:eastAsia="en-us" w:bidi="en-us"/>
      </w:rPr>
    </w:lvl>
    <w:lvl w:ilvl="7">
      <w:start w:val="0"/>
      <w:numFmt w:val="bullet"/>
      <w:lvlText w:val="•"/>
      <w:lvlJc w:val="left"/>
      <w:pPr>
        <w:ind w:left="7146" w:hanging="361"/>
      </w:pPr>
      <w:rPr>
        <w:rFonts w:hint="default"/>
        <w:lang w:val="en-us" w:eastAsia="en-us" w:bidi="en-us"/>
      </w:rPr>
    </w:lvl>
    <w:lvl w:ilvl="8">
      <w:start w:val="0"/>
      <w:numFmt w:val="bullet"/>
      <w:lvlText w:val="•"/>
      <w:lvlJc w:val="left"/>
      <w:pPr>
        <w:ind w:left="8044" w:hanging="361"/>
      </w:pPr>
      <w:rPr>
        <w:rFonts w:hint="default"/>
        <w:lang w:val="en-us" w:eastAsia="en-us" w:bidi="en-us"/>
      </w:rPr>
    </w:lvl>
  </w:abstractNum>
  <w:abstractNum w:abstractNumId="2">
    <w:multiLevelType w:val="hybridMultilevel"/>
    <w:lvl w:ilvl="0">
      <w:start w:val="23"/>
      <w:numFmt w:val="upperLetter"/>
      <w:lvlText w:val="%1"/>
      <w:lvlJc w:val="left"/>
      <w:pPr>
        <w:ind w:left="139" w:hanging="475"/>
        <w:jc w:val="left"/>
      </w:pPr>
      <w:rPr>
        <w:rFonts w:hint="default"/>
        <w:lang w:val="en-us" w:eastAsia="en-us" w:bidi="en-us"/>
      </w:rPr>
    </w:lvl>
    <w:lvl w:ilvl="1">
      <w:start w:val="1"/>
      <w:numFmt w:val="decimal"/>
      <w:lvlText w:val="%2."/>
      <w:lvlJc w:val="left"/>
      <w:pPr>
        <w:ind w:left="860" w:hanging="361"/>
        <w:jc w:val="left"/>
      </w:pPr>
      <w:rPr>
        <w:rFonts w:hint="default" w:ascii="Cambria" w:hAnsi="Cambria" w:eastAsia="Cambria" w:cs="Cambria"/>
        <w:w w:val="100"/>
        <w:sz w:val="22"/>
        <w:szCs w:val="22"/>
        <w:lang w:val="en-us" w:eastAsia="en-us" w:bidi="en-us"/>
      </w:rPr>
    </w:lvl>
    <w:lvl w:ilvl="2">
      <w:start w:val="0"/>
      <w:numFmt w:val="bullet"/>
      <w:lvlText w:val="•"/>
      <w:lvlJc w:val="left"/>
      <w:pPr>
        <w:ind w:left="1857" w:hanging="361"/>
      </w:pPr>
      <w:rPr>
        <w:rFonts w:hint="default"/>
        <w:lang w:val="en-us" w:eastAsia="en-us" w:bidi="en-us"/>
      </w:rPr>
    </w:lvl>
    <w:lvl w:ilvl="3">
      <w:start w:val="0"/>
      <w:numFmt w:val="bullet"/>
      <w:lvlText w:val="•"/>
      <w:lvlJc w:val="left"/>
      <w:pPr>
        <w:ind w:left="2855" w:hanging="361"/>
      </w:pPr>
      <w:rPr>
        <w:rFonts w:hint="default"/>
        <w:lang w:val="en-us" w:eastAsia="en-us" w:bidi="en-us"/>
      </w:rPr>
    </w:lvl>
    <w:lvl w:ilvl="4">
      <w:start w:val="0"/>
      <w:numFmt w:val="bullet"/>
      <w:lvlText w:val="•"/>
      <w:lvlJc w:val="left"/>
      <w:pPr>
        <w:ind w:left="3853" w:hanging="361"/>
      </w:pPr>
      <w:rPr>
        <w:rFonts w:hint="default"/>
        <w:lang w:val="en-us" w:eastAsia="en-us" w:bidi="en-us"/>
      </w:rPr>
    </w:lvl>
    <w:lvl w:ilvl="5">
      <w:start w:val="0"/>
      <w:numFmt w:val="bullet"/>
      <w:lvlText w:val="•"/>
      <w:lvlJc w:val="left"/>
      <w:pPr>
        <w:ind w:left="4851" w:hanging="361"/>
      </w:pPr>
      <w:rPr>
        <w:rFonts w:hint="default"/>
        <w:lang w:val="en-us" w:eastAsia="en-us" w:bidi="en-us"/>
      </w:rPr>
    </w:lvl>
    <w:lvl w:ilvl="6">
      <w:start w:val="0"/>
      <w:numFmt w:val="bullet"/>
      <w:lvlText w:val="•"/>
      <w:lvlJc w:val="left"/>
      <w:pPr>
        <w:ind w:left="5848" w:hanging="361"/>
      </w:pPr>
      <w:rPr>
        <w:rFonts w:hint="default"/>
        <w:lang w:val="en-us" w:eastAsia="en-us" w:bidi="en-us"/>
      </w:rPr>
    </w:lvl>
    <w:lvl w:ilvl="7">
      <w:start w:val="0"/>
      <w:numFmt w:val="bullet"/>
      <w:lvlText w:val="•"/>
      <w:lvlJc w:val="left"/>
      <w:pPr>
        <w:ind w:left="6846" w:hanging="361"/>
      </w:pPr>
      <w:rPr>
        <w:rFonts w:hint="default"/>
        <w:lang w:val="en-us" w:eastAsia="en-us" w:bidi="en-us"/>
      </w:rPr>
    </w:lvl>
    <w:lvl w:ilvl="8">
      <w:start w:val="0"/>
      <w:numFmt w:val="bullet"/>
      <w:lvlText w:val="•"/>
      <w:lvlJc w:val="left"/>
      <w:pPr>
        <w:ind w:left="7844" w:hanging="361"/>
      </w:pPr>
      <w:rPr>
        <w:rFonts w:hint="default"/>
        <w:lang w:val="en-us" w:eastAsia="en-us" w:bidi="en-us"/>
      </w:rPr>
    </w:lvl>
  </w:abstractNum>
  <w:abstractNum w:abstractNumId="1">
    <w:multiLevelType w:val="hybridMultilevel"/>
    <w:lvl w:ilvl="0">
      <w:start w:val="0"/>
      <w:numFmt w:val="bullet"/>
      <w:lvlText w:val=""/>
      <w:lvlJc w:val="left"/>
      <w:pPr>
        <w:ind w:left="860" w:hanging="361"/>
      </w:pPr>
      <w:rPr>
        <w:rFonts w:hint="default" w:ascii="Wingdings" w:hAnsi="Wingdings" w:eastAsia="Wingdings" w:cs="Wingdings"/>
        <w:w w:val="100"/>
        <w:sz w:val="22"/>
        <w:szCs w:val="22"/>
        <w:lang w:val="en-us" w:eastAsia="en-us" w:bidi="en-us"/>
      </w:rPr>
    </w:lvl>
    <w:lvl w:ilvl="1">
      <w:start w:val="0"/>
      <w:numFmt w:val="bullet"/>
      <w:lvlText w:val="•"/>
      <w:lvlJc w:val="left"/>
      <w:pPr>
        <w:ind w:left="1758" w:hanging="361"/>
      </w:pPr>
      <w:rPr>
        <w:rFonts w:hint="default"/>
        <w:lang w:val="en-us" w:eastAsia="en-us" w:bidi="en-us"/>
      </w:rPr>
    </w:lvl>
    <w:lvl w:ilvl="2">
      <w:start w:val="0"/>
      <w:numFmt w:val="bullet"/>
      <w:lvlText w:val="•"/>
      <w:lvlJc w:val="left"/>
      <w:pPr>
        <w:ind w:left="2656" w:hanging="361"/>
      </w:pPr>
      <w:rPr>
        <w:rFonts w:hint="default"/>
        <w:lang w:val="en-us" w:eastAsia="en-us" w:bidi="en-us"/>
      </w:rPr>
    </w:lvl>
    <w:lvl w:ilvl="3">
      <w:start w:val="0"/>
      <w:numFmt w:val="bullet"/>
      <w:lvlText w:val="•"/>
      <w:lvlJc w:val="left"/>
      <w:pPr>
        <w:ind w:left="3554" w:hanging="361"/>
      </w:pPr>
      <w:rPr>
        <w:rFonts w:hint="default"/>
        <w:lang w:val="en-us" w:eastAsia="en-us" w:bidi="en-us"/>
      </w:rPr>
    </w:lvl>
    <w:lvl w:ilvl="4">
      <w:start w:val="0"/>
      <w:numFmt w:val="bullet"/>
      <w:lvlText w:val="•"/>
      <w:lvlJc w:val="left"/>
      <w:pPr>
        <w:ind w:left="4452" w:hanging="361"/>
      </w:pPr>
      <w:rPr>
        <w:rFonts w:hint="default"/>
        <w:lang w:val="en-us" w:eastAsia="en-us" w:bidi="en-us"/>
      </w:rPr>
    </w:lvl>
    <w:lvl w:ilvl="5">
      <w:start w:val="0"/>
      <w:numFmt w:val="bullet"/>
      <w:lvlText w:val="•"/>
      <w:lvlJc w:val="left"/>
      <w:pPr>
        <w:ind w:left="5350" w:hanging="361"/>
      </w:pPr>
      <w:rPr>
        <w:rFonts w:hint="default"/>
        <w:lang w:val="en-us" w:eastAsia="en-us" w:bidi="en-us"/>
      </w:rPr>
    </w:lvl>
    <w:lvl w:ilvl="6">
      <w:start w:val="0"/>
      <w:numFmt w:val="bullet"/>
      <w:lvlText w:val="•"/>
      <w:lvlJc w:val="left"/>
      <w:pPr>
        <w:ind w:left="6248" w:hanging="361"/>
      </w:pPr>
      <w:rPr>
        <w:rFonts w:hint="default"/>
        <w:lang w:val="en-us" w:eastAsia="en-us" w:bidi="en-us"/>
      </w:rPr>
    </w:lvl>
    <w:lvl w:ilvl="7">
      <w:start w:val="0"/>
      <w:numFmt w:val="bullet"/>
      <w:lvlText w:val="•"/>
      <w:lvlJc w:val="left"/>
      <w:pPr>
        <w:ind w:left="7146" w:hanging="361"/>
      </w:pPr>
      <w:rPr>
        <w:rFonts w:hint="default"/>
        <w:lang w:val="en-us" w:eastAsia="en-us" w:bidi="en-us"/>
      </w:rPr>
    </w:lvl>
    <w:lvl w:ilvl="8">
      <w:start w:val="0"/>
      <w:numFmt w:val="bullet"/>
      <w:lvlText w:val="•"/>
      <w:lvlJc w:val="left"/>
      <w:pPr>
        <w:ind w:left="8044" w:hanging="361"/>
      </w:pPr>
      <w:rPr>
        <w:rFonts w:hint="default"/>
        <w:lang w:val="en-us" w:eastAsia="en-us" w:bidi="en-us"/>
      </w:rPr>
    </w:lvl>
  </w:abstractNum>
  <w:abstractNum w:abstractNumId="0">
    <w:multiLevelType w:val="hybridMultilevel"/>
    <w:lvl w:ilvl="0">
      <w:start w:val="10"/>
      <w:numFmt w:val="upperLetter"/>
      <w:lvlText w:val="%1"/>
      <w:lvlJc w:val="left"/>
      <w:pPr>
        <w:ind w:left="828" w:hanging="689"/>
        <w:jc w:val="left"/>
      </w:pPr>
      <w:rPr>
        <w:rFonts w:hint="default"/>
        <w:lang w:val="en-us" w:eastAsia="en-us" w:bidi="en-us"/>
      </w:rPr>
    </w:lvl>
    <w:lvl w:ilvl="1">
      <w:start w:val="21"/>
      <w:numFmt w:val="upperLetter"/>
      <w:lvlText w:val="%1-%2"/>
      <w:lvlJc w:val="left"/>
      <w:pPr>
        <w:ind w:left="828" w:hanging="689"/>
        <w:jc w:val="left"/>
      </w:pPr>
      <w:rPr>
        <w:rFonts w:hint="default"/>
        <w:lang w:val="en-us" w:eastAsia="en-us" w:bidi="en-us"/>
      </w:rPr>
    </w:lvl>
    <w:lvl w:ilvl="2">
      <w:start w:val="2"/>
      <w:numFmt w:val="upperLetter"/>
      <w:lvlText w:val="%1-%2-%3"/>
      <w:lvlJc w:val="left"/>
      <w:pPr>
        <w:ind w:left="828" w:hanging="689"/>
        <w:jc w:val="left"/>
      </w:pPr>
      <w:rPr>
        <w:rFonts w:hint="default" w:ascii="Cambria" w:hAnsi="Cambria" w:eastAsia="Cambria" w:cs="Cambria"/>
        <w:spacing w:val="-2"/>
        <w:w w:val="100"/>
        <w:sz w:val="28"/>
        <w:szCs w:val="28"/>
        <w:lang w:val="en-us" w:eastAsia="en-us" w:bidi="en-us"/>
      </w:rPr>
    </w:lvl>
    <w:lvl w:ilvl="3">
      <w:start w:val="1"/>
      <w:numFmt w:val="decimal"/>
      <w:lvlText w:val="%4."/>
      <w:lvlJc w:val="left"/>
      <w:pPr>
        <w:ind w:left="860" w:hanging="361"/>
        <w:jc w:val="left"/>
      </w:pPr>
      <w:rPr>
        <w:rFonts w:hint="default" w:ascii="Cambria" w:hAnsi="Cambria" w:eastAsia="Cambria" w:cs="Cambria"/>
        <w:w w:val="100"/>
        <w:sz w:val="22"/>
        <w:szCs w:val="22"/>
        <w:lang w:val="en-us" w:eastAsia="en-us" w:bidi="en-us"/>
      </w:rPr>
    </w:lvl>
    <w:lvl w:ilvl="4">
      <w:start w:val="0"/>
      <w:numFmt w:val="bullet"/>
      <w:lvlText w:val="•"/>
      <w:lvlJc w:val="left"/>
      <w:pPr>
        <w:ind w:left="3853" w:hanging="361"/>
      </w:pPr>
      <w:rPr>
        <w:rFonts w:hint="default"/>
        <w:lang w:val="en-us" w:eastAsia="en-us" w:bidi="en-us"/>
      </w:rPr>
    </w:lvl>
    <w:lvl w:ilvl="5">
      <w:start w:val="0"/>
      <w:numFmt w:val="bullet"/>
      <w:lvlText w:val="•"/>
      <w:lvlJc w:val="left"/>
      <w:pPr>
        <w:ind w:left="4851" w:hanging="361"/>
      </w:pPr>
      <w:rPr>
        <w:rFonts w:hint="default"/>
        <w:lang w:val="en-us" w:eastAsia="en-us" w:bidi="en-us"/>
      </w:rPr>
    </w:lvl>
    <w:lvl w:ilvl="6">
      <w:start w:val="0"/>
      <w:numFmt w:val="bullet"/>
      <w:lvlText w:val="•"/>
      <w:lvlJc w:val="left"/>
      <w:pPr>
        <w:ind w:left="5848" w:hanging="361"/>
      </w:pPr>
      <w:rPr>
        <w:rFonts w:hint="default"/>
        <w:lang w:val="en-us" w:eastAsia="en-us" w:bidi="en-us"/>
      </w:rPr>
    </w:lvl>
    <w:lvl w:ilvl="7">
      <w:start w:val="0"/>
      <w:numFmt w:val="bullet"/>
      <w:lvlText w:val="•"/>
      <w:lvlJc w:val="left"/>
      <w:pPr>
        <w:ind w:left="6846" w:hanging="361"/>
      </w:pPr>
      <w:rPr>
        <w:rFonts w:hint="default"/>
        <w:lang w:val="en-us" w:eastAsia="en-us" w:bidi="en-us"/>
      </w:rPr>
    </w:lvl>
    <w:lvl w:ilvl="8">
      <w:start w:val="0"/>
      <w:numFmt w:val="bullet"/>
      <w:lvlText w:val="•"/>
      <w:lvlJc w:val="left"/>
      <w:pPr>
        <w:ind w:left="7844" w:hanging="361"/>
      </w:pPr>
      <w:rPr>
        <w:rFonts w:hint="default"/>
        <w:lang w:val="en-us" w:eastAsia="en-us" w:bidi="en-us"/>
      </w:rPr>
    </w:lvl>
  </w:abstract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mbria" w:hAnsi="Cambria" w:eastAsia="Cambria" w:cs="Cambria"/>
      <w:lang w:val="en-us" w:eastAsia="en-us" w:bidi="en-us"/>
    </w:rPr>
  </w:style>
  <w:style w:styleId="TOC1" w:type="paragraph">
    <w:name w:val="TOC 1"/>
    <w:basedOn w:val="Normal"/>
    <w:uiPriority w:val="1"/>
    <w:qFormat/>
    <w:pPr>
      <w:spacing w:before="119"/>
      <w:ind w:left="139"/>
    </w:pPr>
    <w:rPr>
      <w:rFonts w:ascii="Cambria" w:hAnsi="Cambria" w:eastAsia="Cambria" w:cs="Cambria"/>
      <w:b/>
      <w:bCs/>
      <w:sz w:val="22"/>
      <w:szCs w:val="22"/>
      <w:lang w:val="en-us" w:eastAsia="en-us" w:bidi="en-us"/>
    </w:rPr>
  </w:style>
  <w:style w:styleId="TOC2" w:type="paragraph">
    <w:name w:val="TOC 2"/>
    <w:basedOn w:val="Normal"/>
    <w:uiPriority w:val="1"/>
    <w:qFormat/>
    <w:pPr>
      <w:spacing w:before="119"/>
      <w:ind w:left="140"/>
    </w:pPr>
    <w:rPr>
      <w:rFonts w:ascii="Cambria" w:hAnsi="Cambria" w:eastAsia="Cambria" w:cs="Cambria"/>
      <w:b/>
      <w:bCs/>
      <w:sz w:val="22"/>
      <w:szCs w:val="22"/>
      <w:lang w:val="en-us" w:eastAsia="en-us" w:bidi="en-us"/>
    </w:rPr>
  </w:style>
  <w:style w:styleId="TOC3" w:type="paragraph">
    <w:name w:val="TOC 3"/>
    <w:basedOn w:val="Normal"/>
    <w:uiPriority w:val="1"/>
    <w:qFormat/>
    <w:pPr>
      <w:spacing w:before="119"/>
      <w:ind w:left="360"/>
    </w:pPr>
    <w:rPr>
      <w:rFonts w:ascii="Cambria" w:hAnsi="Cambria" w:eastAsia="Cambria" w:cs="Cambria"/>
      <w:sz w:val="22"/>
      <w:szCs w:val="22"/>
      <w:lang w:val="en-us" w:eastAsia="en-us" w:bidi="en-us"/>
    </w:rPr>
  </w:style>
  <w:style w:styleId="TOC4" w:type="paragraph">
    <w:name w:val="TOC 4"/>
    <w:basedOn w:val="Normal"/>
    <w:uiPriority w:val="1"/>
    <w:qFormat/>
    <w:pPr>
      <w:spacing w:before="121"/>
      <w:ind w:left="579"/>
    </w:pPr>
    <w:rPr>
      <w:rFonts w:ascii="Cambria" w:hAnsi="Cambria" w:eastAsia="Cambria" w:cs="Cambria"/>
      <w:sz w:val="22"/>
      <w:szCs w:val="22"/>
      <w:lang w:val="en-us" w:eastAsia="en-us" w:bidi="en-us"/>
    </w:rPr>
  </w:style>
  <w:style w:styleId="BodyText" w:type="paragraph">
    <w:name w:val="Body Text"/>
    <w:basedOn w:val="Normal"/>
    <w:uiPriority w:val="1"/>
    <w:qFormat/>
    <w:pPr/>
    <w:rPr>
      <w:rFonts w:ascii="Cambria" w:hAnsi="Cambria" w:eastAsia="Cambria" w:cs="Cambria"/>
      <w:sz w:val="22"/>
      <w:szCs w:val="22"/>
      <w:lang w:val="en-us" w:eastAsia="en-us" w:bidi="en-us"/>
    </w:rPr>
  </w:style>
  <w:style w:styleId="Heading1" w:type="paragraph">
    <w:name w:val="Heading 1"/>
    <w:basedOn w:val="Normal"/>
    <w:uiPriority w:val="1"/>
    <w:qFormat/>
    <w:pPr>
      <w:spacing w:before="100"/>
      <w:ind w:left="3842" w:right="3837"/>
      <w:jc w:val="center"/>
      <w:outlineLvl w:val="1"/>
    </w:pPr>
    <w:rPr>
      <w:rFonts w:ascii="Century Gothic" w:hAnsi="Century Gothic" w:eastAsia="Century Gothic" w:cs="Century Gothic"/>
      <w:b/>
      <w:bCs/>
      <w:sz w:val="72"/>
      <w:szCs w:val="72"/>
      <w:lang w:val="en-us" w:eastAsia="en-us" w:bidi="en-us"/>
    </w:rPr>
  </w:style>
  <w:style w:styleId="Heading2" w:type="paragraph">
    <w:name w:val="Heading 2"/>
    <w:basedOn w:val="Normal"/>
    <w:uiPriority w:val="1"/>
    <w:qFormat/>
    <w:pPr>
      <w:spacing w:before="80"/>
      <w:ind w:left="140"/>
      <w:outlineLvl w:val="2"/>
    </w:pPr>
    <w:rPr>
      <w:rFonts w:ascii="Cambria" w:hAnsi="Cambria" w:eastAsia="Cambria" w:cs="Cambria"/>
      <w:b/>
      <w:bCs/>
      <w:sz w:val="52"/>
      <w:szCs w:val="52"/>
      <w:lang w:val="en-us" w:eastAsia="en-us" w:bidi="en-us"/>
    </w:rPr>
  </w:style>
  <w:style w:styleId="Heading3" w:type="paragraph">
    <w:name w:val="Heading 3"/>
    <w:basedOn w:val="Normal"/>
    <w:uiPriority w:val="1"/>
    <w:qFormat/>
    <w:pPr>
      <w:spacing w:before="57"/>
      <w:ind w:left="3842" w:hanging="5474"/>
      <w:outlineLvl w:val="3"/>
    </w:pPr>
    <w:rPr>
      <w:rFonts w:ascii="Century Gothic" w:hAnsi="Century Gothic" w:eastAsia="Century Gothic" w:cs="Century Gothic"/>
      <w:b/>
      <w:bCs/>
      <w:sz w:val="39"/>
      <w:szCs w:val="39"/>
      <w:lang w:val="en-us" w:eastAsia="en-us" w:bidi="en-us"/>
    </w:rPr>
  </w:style>
  <w:style w:styleId="Heading4" w:type="paragraph">
    <w:name w:val="Heading 4"/>
    <w:basedOn w:val="Normal"/>
    <w:uiPriority w:val="1"/>
    <w:qFormat/>
    <w:pPr>
      <w:ind w:left="4649"/>
      <w:outlineLvl w:val="4"/>
    </w:pPr>
    <w:rPr>
      <w:rFonts w:ascii="Cambria" w:hAnsi="Cambria" w:eastAsia="Cambria" w:cs="Cambria"/>
      <w:sz w:val="36"/>
      <w:szCs w:val="36"/>
      <w:lang w:val="en-us" w:eastAsia="en-us" w:bidi="en-us"/>
    </w:rPr>
  </w:style>
  <w:style w:styleId="Heading5" w:type="paragraph">
    <w:name w:val="Heading 5"/>
    <w:basedOn w:val="Normal"/>
    <w:uiPriority w:val="1"/>
    <w:qFormat/>
    <w:pPr>
      <w:outlineLvl w:val="5"/>
    </w:pPr>
    <w:rPr>
      <w:rFonts w:ascii="Arial" w:hAnsi="Arial" w:eastAsia="Arial" w:cs="Arial"/>
      <w:sz w:val="35"/>
      <w:szCs w:val="35"/>
      <w:lang w:val="en-us" w:eastAsia="en-us" w:bidi="en-us"/>
    </w:rPr>
  </w:style>
  <w:style w:styleId="Heading6" w:type="paragraph">
    <w:name w:val="Heading 6"/>
    <w:basedOn w:val="Normal"/>
    <w:uiPriority w:val="1"/>
    <w:qFormat/>
    <w:pPr>
      <w:spacing w:before="198"/>
      <w:ind w:left="140"/>
      <w:outlineLvl w:val="6"/>
    </w:pPr>
    <w:rPr>
      <w:rFonts w:ascii="Cambria" w:hAnsi="Cambria" w:eastAsia="Cambria" w:cs="Cambria"/>
      <w:b/>
      <w:bCs/>
      <w:sz w:val="32"/>
      <w:szCs w:val="32"/>
      <w:lang w:val="en-us" w:eastAsia="en-us" w:bidi="en-us"/>
    </w:rPr>
  </w:style>
  <w:style w:styleId="Heading7" w:type="paragraph">
    <w:name w:val="Heading 7"/>
    <w:basedOn w:val="Normal"/>
    <w:uiPriority w:val="1"/>
    <w:qFormat/>
    <w:pPr>
      <w:spacing w:before="20"/>
      <w:ind w:left="120"/>
      <w:outlineLvl w:val="7"/>
    </w:pPr>
    <w:rPr>
      <w:rFonts w:ascii="Calibri" w:hAnsi="Calibri" w:eastAsia="Calibri" w:cs="Calibri"/>
      <w:sz w:val="32"/>
      <w:szCs w:val="32"/>
      <w:lang w:val="en-us" w:eastAsia="en-us" w:bidi="en-us"/>
    </w:rPr>
  </w:style>
  <w:style w:styleId="Heading8" w:type="paragraph">
    <w:name w:val="Heading 8"/>
    <w:basedOn w:val="Normal"/>
    <w:uiPriority w:val="1"/>
    <w:qFormat/>
    <w:pPr>
      <w:outlineLvl w:val="8"/>
    </w:pPr>
    <w:rPr>
      <w:rFonts w:ascii="Arial" w:hAnsi="Arial" w:eastAsia="Arial" w:cs="Arial"/>
      <w:sz w:val="31"/>
      <w:szCs w:val="31"/>
      <w:lang w:val="en-us" w:eastAsia="en-us" w:bidi="en-us"/>
    </w:rPr>
  </w:style>
  <w:style w:styleId="Heading9" w:type="paragraph">
    <w:name w:val="Heading 9"/>
    <w:basedOn w:val="Normal"/>
    <w:uiPriority w:val="1"/>
    <w:qFormat/>
    <w:pPr>
      <w:outlineLvl w:val="9"/>
    </w:pPr>
    <w:rPr>
      <w:rFonts w:ascii="Arial" w:hAnsi="Arial" w:eastAsia="Arial" w:cs="Arial"/>
      <w:sz w:val="30"/>
      <w:szCs w:val="30"/>
      <w:lang w:val="en-us" w:eastAsia="en-us" w:bidi="en-us"/>
    </w:rPr>
  </w:style>
  <w:style w:styleId="ListParagraph" w:type="paragraph">
    <w:name w:val="List Paragraph"/>
    <w:basedOn w:val="Normal"/>
    <w:uiPriority w:val="1"/>
    <w:qFormat/>
    <w:pPr>
      <w:spacing w:before="61"/>
      <w:ind w:left="840" w:hanging="361"/>
    </w:pPr>
    <w:rPr>
      <w:rFonts w:ascii="Cambria" w:hAnsi="Cambria" w:eastAsia="Cambria" w:cs="Cambria"/>
      <w:lang w:val="en-us" w:eastAsia="en-us" w:bidi="en-us"/>
    </w:rPr>
  </w:style>
  <w:style w:styleId="TableParagraph" w:type="paragraph">
    <w:name w:val="Table Paragraph"/>
    <w:basedOn w:val="Normal"/>
    <w:uiPriority w:val="1"/>
    <w:qFormat/>
    <w:pPr>
      <w:spacing w:before="59"/>
      <w:ind w:left="107"/>
    </w:pPr>
    <w:rPr>
      <w:rFonts w:ascii="Cambria" w:hAnsi="Cambria" w:eastAsia="Cambria" w:cs="Cambria"/>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footer" Target="footer2.xml"/><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hyperlink" Target="https://www.tridec.org/major-employers/" TargetMode="External"/><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hyperlink" Target="http://dor.wa.gov/content/aboutus/statisticsandreports/tid/statisticsreports.aspx?query=localsales" TargetMode="External"/><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footer" Target="footer3.xml"/><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footer" Target="footer4.xml"/><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png"/><Relationship Id="rId89" Type="http://schemas.openxmlformats.org/officeDocument/2006/relationships/image" Target="media/image79.png"/><Relationship Id="rId90" Type="http://schemas.openxmlformats.org/officeDocument/2006/relationships/image" Target="media/image80.png"/><Relationship Id="rId91" Type="http://schemas.openxmlformats.org/officeDocument/2006/relationships/image" Target="media/image81.png"/><Relationship Id="rId92" Type="http://schemas.openxmlformats.org/officeDocument/2006/relationships/image" Target="media/image82.png"/><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image" Target="media/image86.png"/><Relationship Id="rId97" Type="http://schemas.openxmlformats.org/officeDocument/2006/relationships/image" Target="media/image87.png"/><Relationship Id="rId98" Type="http://schemas.openxmlformats.org/officeDocument/2006/relationships/image" Target="media/image88.png"/><Relationship Id="rId99" Type="http://schemas.openxmlformats.org/officeDocument/2006/relationships/image" Target="media/image89.png"/><Relationship Id="rId100" Type="http://schemas.openxmlformats.org/officeDocument/2006/relationships/image" Target="media/image90.png"/><Relationship Id="rId101" Type="http://schemas.openxmlformats.org/officeDocument/2006/relationships/image" Target="media/image91.png"/><Relationship Id="rId102" Type="http://schemas.openxmlformats.org/officeDocument/2006/relationships/image" Target="media/image92.png"/><Relationship Id="rId103" Type="http://schemas.openxmlformats.org/officeDocument/2006/relationships/image" Target="media/image93.png"/><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png"/><Relationship Id="rId107" Type="http://schemas.openxmlformats.org/officeDocument/2006/relationships/image" Target="media/image97.png"/><Relationship Id="rId108" Type="http://schemas.openxmlformats.org/officeDocument/2006/relationships/image" Target="media/image98.png"/><Relationship Id="rId109" Type="http://schemas.openxmlformats.org/officeDocument/2006/relationships/image" Target="media/image99.png"/><Relationship Id="rId110" Type="http://schemas.openxmlformats.org/officeDocument/2006/relationships/image" Target="media/image100.png"/><Relationship Id="rId111" Type="http://schemas.openxmlformats.org/officeDocument/2006/relationships/image" Target="media/image101.png"/><Relationship Id="rId112" Type="http://schemas.openxmlformats.org/officeDocument/2006/relationships/image" Target="media/image102.png"/><Relationship Id="rId113" Type="http://schemas.openxmlformats.org/officeDocument/2006/relationships/image" Target="media/image103.png"/><Relationship Id="rId114" Type="http://schemas.openxmlformats.org/officeDocument/2006/relationships/image" Target="media/image104.png"/><Relationship Id="rId115" Type="http://schemas.openxmlformats.org/officeDocument/2006/relationships/image" Target="media/image105.png"/><Relationship Id="rId116" Type="http://schemas.openxmlformats.org/officeDocument/2006/relationships/image" Target="media/image106.png"/><Relationship Id="rId117" Type="http://schemas.openxmlformats.org/officeDocument/2006/relationships/image" Target="media/image107.png"/><Relationship Id="rId118" Type="http://schemas.openxmlformats.org/officeDocument/2006/relationships/image" Target="media/image108.png"/><Relationship Id="rId119" Type="http://schemas.openxmlformats.org/officeDocument/2006/relationships/image" Target="media/image109.png"/><Relationship Id="rId120" Type="http://schemas.openxmlformats.org/officeDocument/2006/relationships/image" Target="media/image110.png"/><Relationship Id="rId121" Type="http://schemas.openxmlformats.org/officeDocument/2006/relationships/image" Target="media/image111.png"/><Relationship Id="rId122" Type="http://schemas.openxmlformats.org/officeDocument/2006/relationships/image" Target="media/image112.png"/><Relationship Id="rId123" Type="http://schemas.openxmlformats.org/officeDocument/2006/relationships/image" Target="media/image113.png"/><Relationship Id="rId124" Type="http://schemas.openxmlformats.org/officeDocument/2006/relationships/image" Target="media/image114.jpeg"/><Relationship Id="rId125" Type="http://schemas.openxmlformats.org/officeDocument/2006/relationships/footer" Target="footer5.xml"/><Relationship Id="rId126" Type="http://schemas.openxmlformats.org/officeDocument/2006/relationships/image" Target="media/image115.png"/><Relationship Id="rId127" Type="http://schemas.openxmlformats.org/officeDocument/2006/relationships/image" Target="media/image116.png"/><Relationship Id="rId128" Type="http://schemas.openxmlformats.org/officeDocument/2006/relationships/image" Target="media/image117.png"/><Relationship Id="rId129" Type="http://schemas.openxmlformats.org/officeDocument/2006/relationships/image" Target="media/image118.png"/><Relationship Id="rId130" Type="http://schemas.openxmlformats.org/officeDocument/2006/relationships/image" Target="media/image119.png"/><Relationship Id="rId131" Type="http://schemas.openxmlformats.org/officeDocument/2006/relationships/image" Target="media/image120.png"/><Relationship Id="rId132" Type="http://schemas.openxmlformats.org/officeDocument/2006/relationships/image" Target="media/image121.png"/><Relationship Id="rId133" Type="http://schemas.openxmlformats.org/officeDocument/2006/relationships/image" Target="media/image122.png"/><Relationship Id="rId134" Type="http://schemas.openxmlformats.org/officeDocument/2006/relationships/image" Target="media/image123.png"/><Relationship Id="rId135" Type="http://schemas.openxmlformats.org/officeDocument/2006/relationships/image" Target="media/image124.png"/><Relationship Id="rId136" Type="http://schemas.openxmlformats.org/officeDocument/2006/relationships/image" Target="media/image125.png"/><Relationship Id="rId137" Type="http://schemas.openxmlformats.org/officeDocument/2006/relationships/image" Target="media/image126.png"/><Relationship Id="rId138" Type="http://schemas.openxmlformats.org/officeDocument/2006/relationships/image" Target="media/image127.png"/><Relationship Id="rId139" Type="http://schemas.openxmlformats.org/officeDocument/2006/relationships/image" Target="media/image128.png"/><Relationship Id="rId140" Type="http://schemas.openxmlformats.org/officeDocument/2006/relationships/image" Target="media/image129.png"/><Relationship Id="rId141" Type="http://schemas.openxmlformats.org/officeDocument/2006/relationships/image" Target="media/image130.png"/><Relationship Id="rId142" Type="http://schemas.openxmlformats.org/officeDocument/2006/relationships/image" Target="media/image131.png"/><Relationship Id="rId143" Type="http://schemas.openxmlformats.org/officeDocument/2006/relationships/image" Target="media/image132.png"/><Relationship Id="rId144" Type="http://schemas.openxmlformats.org/officeDocument/2006/relationships/image" Target="media/image133.png"/><Relationship Id="rId145" Type="http://schemas.openxmlformats.org/officeDocument/2006/relationships/image" Target="media/image134.png"/><Relationship Id="rId146" Type="http://schemas.openxmlformats.org/officeDocument/2006/relationships/image" Target="media/image135.png"/><Relationship Id="rId147" Type="http://schemas.openxmlformats.org/officeDocument/2006/relationships/footer" Target="footer6.xml"/><Relationship Id="rId148" Type="http://schemas.openxmlformats.org/officeDocument/2006/relationships/image" Target="media/image136.png"/><Relationship Id="rId149" Type="http://schemas.openxmlformats.org/officeDocument/2006/relationships/image" Target="media/image137.png"/><Relationship Id="rId150" Type="http://schemas.openxmlformats.org/officeDocument/2006/relationships/image" Target="media/image138.png"/><Relationship Id="rId151" Type="http://schemas.openxmlformats.org/officeDocument/2006/relationships/image" Target="media/image139.png"/><Relationship Id="rId152" Type="http://schemas.openxmlformats.org/officeDocument/2006/relationships/image" Target="media/image140.png"/><Relationship Id="rId153" Type="http://schemas.openxmlformats.org/officeDocument/2006/relationships/image" Target="media/image141.png"/><Relationship Id="rId154" Type="http://schemas.openxmlformats.org/officeDocument/2006/relationships/image" Target="media/image142.png"/><Relationship Id="rId155" Type="http://schemas.openxmlformats.org/officeDocument/2006/relationships/image" Target="media/image143.png"/><Relationship Id="rId156" Type="http://schemas.openxmlformats.org/officeDocument/2006/relationships/image" Target="media/image144.png"/><Relationship Id="rId157" Type="http://schemas.openxmlformats.org/officeDocument/2006/relationships/image" Target="media/image145.png"/><Relationship Id="rId158" Type="http://schemas.openxmlformats.org/officeDocument/2006/relationships/image" Target="media/image146.png"/><Relationship Id="rId159" Type="http://schemas.openxmlformats.org/officeDocument/2006/relationships/image" Target="media/image147.png"/><Relationship Id="rId160" Type="http://schemas.openxmlformats.org/officeDocument/2006/relationships/footer" Target="footer7.xml"/><Relationship Id="rId161" Type="http://schemas.openxmlformats.org/officeDocument/2006/relationships/image" Target="media/image148.png"/><Relationship Id="rId162" Type="http://schemas.openxmlformats.org/officeDocument/2006/relationships/image" Target="media/image149.png"/><Relationship Id="rId163" Type="http://schemas.openxmlformats.org/officeDocument/2006/relationships/image" Target="media/image150.png"/><Relationship Id="rId164" Type="http://schemas.openxmlformats.org/officeDocument/2006/relationships/image" Target="media/image151.png"/><Relationship Id="rId165" Type="http://schemas.openxmlformats.org/officeDocument/2006/relationships/image" Target="media/image152.png"/><Relationship Id="rId166" Type="http://schemas.openxmlformats.org/officeDocument/2006/relationships/image" Target="media/image153.png"/><Relationship Id="rId167" Type="http://schemas.openxmlformats.org/officeDocument/2006/relationships/image" Target="media/image154.png"/><Relationship Id="rId168" Type="http://schemas.openxmlformats.org/officeDocument/2006/relationships/image" Target="media/image155.png"/><Relationship Id="rId169" Type="http://schemas.openxmlformats.org/officeDocument/2006/relationships/image" Target="media/image156.png"/><Relationship Id="rId170" Type="http://schemas.openxmlformats.org/officeDocument/2006/relationships/image" Target="media/image157.png"/><Relationship Id="rId171" Type="http://schemas.openxmlformats.org/officeDocument/2006/relationships/image" Target="media/image158.png"/><Relationship Id="rId172" Type="http://schemas.openxmlformats.org/officeDocument/2006/relationships/image" Target="media/image159.png"/><Relationship Id="rId173" Type="http://schemas.openxmlformats.org/officeDocument/2006/relationships/image" Target="media/image160.png"/><Relationship Id="rId174" Type="http://schemas.openxmlformats.org/officeDocument/2006/relationships/image" Target="media/image161.png"/><Relationship Id="rId175" Type="http://schemas.openxmlformats.org/officeDocument/2006/relationships/footer" Target="footer8.xml"/><Relationship Id="rId176" Type="http://schemas.openxmlformats.org/officeDocument/2006/relationships/image" Target="media/image162.png"/><Relationship Id="rId177" Type="http://schemas.openxmlformats.org/officeDocument/2006/relationships/image" Target="media/image163.png"/><Relationship Id="rId178" Type="http://schemas.openxmlformats.org/officeDocument/2006/relationships/image" Target="media/image164.png"/><Relationship Id="rId179" Type="http://schemas.openxmlformats.org/officeDocument/2006/relationships/image" Target="media/image165.png"/><Relationship Id="rId180" Type="http://schemas.openxmlformats.org/officeDocument/2006/relationships/image" Target="media/image166.png"/><Relationship Id="rId181" Type="http://schemas.openxmlformats.org/officeDocument/2006/relationships/image" Target="media/image167.png"/><Relationship Id="rId182" Type="http://schemas.openxmlformats.org/officeDocument/2006/relationships/image" Target="media/image168.png"/><Relationship Id="rId183" Type="http://schemas.openxmlformats.org/officeDocument/2006/relationships/image" Target="media/image169.png"/><Relationship Id="rId184" Type="http://schemas.openxmlformats.org/officeDocument/2006/relationships/image" Target="media/image170.png"/><Relationship Id="rId185" Type="http://schemas.openxmlformats.org/officeDocument/2006/relationships/image" Target="media/image171.png"/><Relationship Id="rId186" Type="http://schemas.openxmlformats.org/officeDocument/2006/relationships/image" Target="media/image172.png"/><Relationship Id="rId187" Type="http://schemas.openxmlformats.org/officeDocument/2006/relationships/image" Target="media/image173.png"/><Relationship Id="rId188" Type="http://schemas.openxmlformats.org/officeDocument/2006/relationships/image" Target="media/image174.png"/><Relationship Id="rId189" Type="http://schemas.openxmlformats.org/officeDocument/2006/relationships/image" Target="media/image175.png"/><Relationship Id="rId190" Type="http://schemas.openxmlformats.org/officeDocument/2006/relationships/image" Target="media/image176.png"/><Relationship Id="rId191" Type="http://schemas.openxmlformats.org/officeDocument/2006/relationships/image" Target="media/image177.png"/><Relationship Id="rId192" Type="http://schemas.openxmlformats.org/officeDocument/2006/relationships/image" Target="media/image178.png"/><Relationship Id="rId193" Type="http://schemas.openxmlformats.org/officeDocument/2006/relationships/image" Target="media/image179.png"/><Relationship Id="rId194" Type="http://schemas.openxmlformats.org/officeDocument/2006/relationships/image" Target="media/image180.png"/><Relationship Id="rId195" Type="http://schemas.openxmlformats.org/officeDocument/2006/relationships/image" Target="media/image181.png"/><Relationship Id="rId196" Type="http://schemas.openxmlformats.org/officeDocument/2006/relationships/image" Target="media/image182.png"/><Relationship Id="rId197" Type="http://schemas.openxmlformats.org/officeDocument/2006/relationships/image" Target="media/image183.png"/><Relationship Id="rId198" Type="http://schemas.openxmlformats.org/officeDocument/2006/relationships/image" Target="media/image184.png"/><Relationship Id="rId199" Type="http://schemas.openxmlformats.org/officeDocument/2006/relationships/image" Target="media/image185.png"/><Relationship Id="rId200" Type="http://schemas.openxmlformats.org/officeDocument/2006/relationships/image" Target="media/image186.png"/><Relationship Id="rId201" Type="http://schemas.openxmlformats.org/officeDocument/2006/relationships/image" Target="media/image187.png"/><Relationship Id="rId202" Type="http://schemas.openxmlformats.org/officeDocument/2006/relationships/image" Target="media/image188.png"/><Relationship Id="rId203" Type="http://schemas.openxmlformats.org/officeDocument/2006/relationships/image" Target="media/image189.png"/><Relationship Id="rId204" Type="http://schemas.openxmlformats.org/officeDocument/2006/relationships/image" Target="media/image190.png"/><Relationship Id="rId205" Type="http://schemas.openxmlformats.org/officeDocument/2006/relationships/image" Target="media/image191.png"/><Relationship Id="rId206" Type="http://schemas.openxmlformats.org/officeDocument/2006/relationships/image" Target="media/image192.png"/><Relationship Id="rId207" Type="http://schemas.openxmlformats.org/officeDocument/2006/relationships/image" Target="media/image193.png"/><Relationship Id="rId208" Type="http://schemas.openxmlformats.org/officeDocument/2006/relationships/image" Target="media/image194.png"/><Relationship Id="rId209" Type="http://schemas.openxmlformats.org/officeDocument/2006/relationships/image" Target="media/image195.png"/><Relationship Id="rId210" Type="http://schemas.openxmlformats.org/officeDocument/2006/relationships/image" Target="media/image196.png"/><Relationship Id="rId211" Type="http://schemas.openxmlformats.org/officeDocument/2006/relationships/image" Target="media/image197.png"/><Relationship Id="rId212" Type="http://schemas.openxmlformats.org/officeDocument/2006/relationships/image" Target="media/image198.png"/><Relationship Id="rId213" Type="http://schemas.openxmlformats.org/officeDocument/2006/relationships/image" Target="media/image199.png"/><Relationship Id="rId214" Type="http://schemas.openxmlformats.org/officeDocument/2006/relationships/image" Target="media/image200.png"/><Relationship Id="rId215" Type="http://schemas.openxmlformats.org/officeDocument/2006/relationships/image" Target="media/image201.png"/><Relationship Id="rId216" Type="http://schemas.openxmlformats.org/officeDocument/2006/relationships/image" Target="media/image202.png"/><Relationship Id="rId217" Type="http://schemas.openxmlformats.org/officeDocument/2006/relationships/image" Target="media/image203.png"/><Relationship Id="rId218" Type="http://schemas.openxmlformats.org/officeDocument/2006/relationships/image" Target="media/image204.png"/><Relationship Id="rId219" Type="http://schemas.openxmlformats.org/officeDocument/2006/relationships/image" Target="media/image205.png"/><Relationship Id="rId220" Type="http://schemas.openxmlformats.org/officeDocument/2006/relationships/image" Target="media/image206.png"/><Relationship Id="rId221" Type="http://schemas.openxmlformats.org/officeDocument/2006/relationships/image" Target="media/image207.png"/><Relationship Id="rId222" Type="http://schemas.openxmlformats.org/officeDocument/2006/relationships/image" Target="media/image208.png"/><Relationship Id="rId223" Type="http://schemas.openxmlformats.org/officeDocument/2006/relationships/image" Target="media/image209.png"/><Relationship Id="rId224" Type="http://schemas.openxmlformats.org/officeDocument/2006/relationships/image" Target="media/image210.png"/><Relationship Id="rId225" Type="http://schemas.openxmlformats.org/officeDocument/2006/relationships/image" Target="media/image211.png"/><Relationship Id="rId226" Type="http://schemas.openxmlformats.org/officeDocument/2006/relationships/footer" Target="footer9.xml"/><Relationship Id="rId227" Type="http://schemas.openxmlformats.org/officeDocument/2006/relationships/image" Target="media/image212.png"/><Relationship Id="rId228" Type="http://schemas.openxmlformats.org/officeDocument/2006/relationships/footer" Target="footer10.xml"/><Relationship Id="rId229" Type="http://schemas.openxmlformats.org/officeDocument/2006/relationships/image" Target="media/image213.png"/><Relationship Id="rId230" Type="http://schemas.openxmlformats.org/officeDocument/2006/relationships/image" Target="media/image214.png"/><Relationship Id="rId231" Type="http://schemas.openxmlformats.org/officeDocument/2006/relationships/image" Target="media/image215.png"/><Relationship Id="rId232" Type="http://schemas.openxmlformats.org/officeDocument/2006/relationships/image" Target="media/image216.png"/><Relationship Id="rId233" Type="http://schemas.openxmlformats.org/officeDocument/2006/relationships/image" Target="media/image217.png"/><Relationship Id="rId234" Type="http://schemas.openxmlformats.org/officeDocument/2006/relationships/image" Target="media/image218.png"/><Relationship Id="rId235" Type="http://schemas.openxmlformats.org/officeDocument/2006/relationships/image" Target="media/image219.png"/><Relationship Id="rId236" Type="http://schemas.openxmlformats.org/officeDocument/2006/relationships/footer" Target="footer11.xml"/><Relationship Id="rId237" Type="http://schemas.openxmlformats.org/officeDocument/2006/relationships/image" Target="media/image220.png"/><Relationship Id="rId238" Type="http://schemas.openxmlformats.org/officeDocument/2006/relationships/image" Target="media/image221.png"/><Relationship Id="rId239" Type="http://schemas.openxmlformats.org/officeDocument/2006/relationships/image" Target="media/image222.png"/><Relationship Id="rId240" Type="http://schemas.openxmlformats.org/officeDocument/2006/relationships/image" Target="media/image223.png"/><Relationship Id="rId241" Type="http://schemas.openxmlformats.org/officeDocument/2006/relationships/image" Target="media/image224.png"/><Relationship Id="rId242" Type="http://schemas.openxmlformats.org/officeDocument/2006/relationships/image" Target="media/image225.png"/><Relationship Id="rId243" Type="http://schemas.openxmlformats.org/officeDocument/2006/relationships/image" Target="media/image226.png"/><Relationship Id="rId244" Type="http://schemas.openxmlformats.org/officeDocument/2006/relationships/image" Target="media/image227.png"/><Relationship Id="rId245" Type="http://schemas.openxmlformats.org/officeDocument/2006/relationships/image" Target="media/image228.png"/><Relationship Id="rId246" Type="http://schemas.openxmlformats.org/officeDocument/2006/relationships/image" Target="media/image229.png"/><Relationship Id="rId247" Type="http://schemas.openxmlformats.org/officeDocument/2006/relationships/image" Target="media/image230.png"/><Relationship Id="rId248" Type="http://schemas.openxmlformats.org/officeDocument/2006/relationships/image" Target="media/image231.png"/><Relationship Id="rId249" Type="http://schemas.openxmlformats.org/officeDocument/2006/relationships/image" Target="media/image232.png"/><Relationship Id="rId250" Type="http://schemas.openxmlformats.org/officeDocument/2006/relationships/image" Target="media/image233.png"/><Relationship Id="rId251" Type="http://schemas.openxmlformats.org/officeDocument/2006/relationships/image" Target="media/image234.png"/><Relationship Id="rId252" Type="http://schemas.openxmlformats.org/officeDocument/2006/relationships/image" Target="media/image235.png"/><Relationship Id="rId253" Type="http://schemas.openxmlformats.org/officeDocument/2006/relationships/image" Target="media/image236.png"/><Relationship Id="rId254" Type="http://schemas.openxmlformats.org/officeDocument/2006/relationships/image" Target="media/image237.png"/><Relationship Id="rId255" Type="http://schemas.openxmlformats.org/officeDocument/2006/relationships/image" Target="media/image238.png"/><Relationship Id="rId256" Type="http://schemas.openxmlformats.org/officeDocument/2006/relationships/image" Target="media/image239.png"/><Relationship Id="rId257" Type="http://schemas.openxmlformats.org/officeDocument/2006/relationships/image" Target="media/image240.png"/><Relationship Id="rId258" Type="http://schemas.openxmlformats.org/officeDocument/2006/relationships/image" Target="media/image241.png"/><Relationship Id="rId259" Type="http://schemas.openxmlformats.org/officeDocument/2006/relationships/footer" Target="footer12.xml"/><Relationship Id="rId260" Type="http://schemas.openxmlformats.org/officeDocument/2006/relationships/image" Target="media/image242.png"/><Relationship Id="rId261" Type="http://schemas.openxmlformats.org/officeDocument/2006/relationships/image" Target="media/image243.png"/><Relationship Id="rId262" Type="http://schemas.openxmlformats.org/officeDocument/2006/relationships/image" Target="media/image244.png"/><Relationship Id="rId263" Type="http://schemas.openxmlformats.org/officeDocument/2006/relationships/image" Target="media/image245.png"/><Relationship Id="rId264" Type="http://schemas.openxmlformats.org/officeDocument/2006/relationships/image" Target="media/image246.png"/><Relationship Id="rId265" Type="http://schemas.openxmlformats.org/officeDocument/2006/relationships/image" Target="media/image247.png"/><Relationship Id="rId266" Type="http://schemas.openxmlformats.org/officeDocument/2006/relationships/footer" Target="footer13.xml"/><Relationship Id="rId267" Type="http://schemas.openxmlformats.org/officeDocument/2006/relationships/image" Target="media/image248.png"/><Relationship Id="rId268" Type="http://schemas.openxmlformats.org/officeDocument/2006/relationships/image" Target="media/image249.png"/><Relationship Id="rId269" Type="http://schemas.openxmlformats.org/officeDocument/2006/relationships/image" Target="media/image250.png"/><Relationship Id="rId270" Type="http://schemas.openxmlformats.org/officeDocument/2006/relationships/image" Target="media/image251.png"/><Relationship Id="rId271" Type="http://schemas.openxmlformats.org/officeDocument/2006/relationships/image" Target="media/image252.png"/><Relationship Id="rId272" Type="http://schemas.openxmlformats.org/officeDocument/2006/relationships/image" Target="media/image253.png"/><Relationship Id="rId273" Type="http://schemas.openxmlformats.org/officeDocument/2006/relationships/image" Target="media/image254.png"/><Relationship Id="rId274" Type="http://schemas.openxmlformats.org/officeDocument/2006/relationships/image" Target="media/image255.png"/><Relationship Id="rId275" Type="http://schemas.openxmlformats.org/officeDocument/2006/relationships/image" Target="media/image256.png"/><Relationship Id="rId276" Type="http://schemas.openxmlformats.org/officeDocument/2006/relationships/footer" Target="footer14.xml"/><Relationship Id="rId277" Type="http://schemas.openxmlformats.org/officeDocument/2006/relationships/image" Target="media/image257.png"/><Relationship Id="rId278" Type="http://schemas.openxmlformats.org/officeDocument/2006/relationships/image" Target="media/image258.png"/><Relationship Id="rId279" Type="http://schemas.openxmlformats.org/officeDocument/2006/relationships/image" Target="media/image259.png"/><Relationship Id="rId280" Type="http://schemas.openxmlformats.org/officeDocument/2006/relationships/image" Target="media/image260.png"/><Relationship Id="rId281" Type="http://schemas.openxmlformats.org/officeDocument/2006/relationships/image" Target="media/image261.png"/><Relationship Id="rId282" Type="http://schemas.openxmlformats.org/officeDocument/2006/relationships/image" Target="media/image262.png"/><Relationship Id="rId283" Type="http://schemas.openxmlformats.org/officeDocument/2006/relationships/image" Target="media/image263.png"/><Relationship Id="rId284" Type="http://schemas.openxmlformats.org/officeDocument/2006/relationships/image" Target="media/image264.png"/><Relationship Id="rId285" Type="http://schemas.openxmlformats.org/officeDocument/2006/relationships/image" Target="media/image265.png"/><Relationship Id="rId286" Type="http://schemas.openxmlformats.org/officeDocument/2006/relationships/image" Target="media/image266.png"/><Relationship Id="rId287" Type="http://schemas.openxmlformats.org/officeDocument/2006/relationships/image" Target="media/image267.png"/><Relationship Id="rId288" Type="http://schemas.openxmlformats.org/officeDocument/2006/relationships/image" Target="media/image268.png"/><Relationship Id="rId289" Type="http://schemas.openxmlformats.org/officeDocument/2006/relationships/image" Target="media/image269.png"/><Relationship Id="rId290" Type="http://schemas.openxmlformats.org/officeDocument/2006/relationships/image" Target="media/image270.png"/><Relationship Id="rId291" Type="http://schemas.openxmlformats.org/officeDocument/2006/relationships/image" Target="media/image271.png"/><Relationship Id="rId292" Type="http://schemas.openxmlformats.org/officeDocument/2006/relationships/image" Target="media/image272.png"/><Relationship Id="rId293" Type="http://schemas.openxmlformats.org/officeDocument/2006/relationships/footer" Target="footer15.xml"/><Relationship Id="rId294" Type="http://schemas.openxmlformats.org/officeDocument/2006/relationships/image" Target="media/image273.jpeg"/><Relationship Id="rId295" Type="http://schemas.openxmlformats.org/officeDocument/2006/relationships/footer" Target="footer16.xml"/><Relationship Id="rId296" Type="http://schemas.openxmlformats.org/officeDocument/2006/relationships/image" Target="media/image274.jpeg"/><Relationship Id="rId297" Type="http://schemas.openxmlformats.org/officeDocument/2006/relationships/hyperlink" Target="https://www.cngc.com/utility-navigation/about-us" TargetMode="External"/><Relationship Id="rId298" Type="http://schemas.openxmlformats.org/officeDocument/2006/relationships/hyperlink" Target="https://www.tridec.org/wp-content/uploads/2016-Fact-Sheet-Updated-April-2016-for-TRIDEC-Website.pdf" TargetMode="External"/><Relationship Id="rId29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oneza</dc:creator>
  <dcterms:created xsi:type="dcterms:W3CDTF">2025-08-08T21:57:56Z</dcterms:created>
  <dcterms:modified xsi:type="dcterms:W3CDTF">2025-08-08T21:57:56Z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2025-08-08T00:00:00Z</vt:filetime>
  </property>
  <property fmtid="{D5CDD505-2E9C-101B-9397-08002B2CF9AE}" pid="3" name="Creator">
    <vt:lpwstr>Acrobat PDFMaker 20 for Word</vt:lpwstr>
  </property>
  <property fmtid="{D5CDD505-2E9C-101B-9397-08002B2CF9AE}" pid="4" name="LastSaved">
    <vt:filetime>2025-08-08T00:00:00Z</vt:filetime>
  </property>
</Properties>
</file>